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tabs>
          <w:tab w:val="left" w:pos="1134"/>
        </w:tabs>
        <w:ind w:right="639"/>
        <w:rPr>
          <w:rFonts w:cs="Arial"/>
          <w:szCs w:val="22"/>
        </w:rPr>
      </w:pPr>
      <w:bookmarkStart w:id="0" w:name="_Toc91293987"/>
      <w:bookmarkStart w:id="1" w:name="_Toc91294805"/>
    </w:p>
    <w:tbl>
      <w:tblPr>
        <w:tblW w:w="0" w:type="auto"/>
        <w:tblBorders>
          <w:top w:val="single" w:sz="24" w:space="0" w:color="auto"/>
          <w:left w:val="single" w:sz="24" w:space="0" w:color="auto"/>
          <w:bottom w:val="single" w:sz="24" w:space="0" w:color="auto"/>
          <w:right w:val="single" w:sz="24" w:space="0" w:color="auto"/>
        </w:tblBorders>
        <w:tblLook w:val="01E0" w:firstRow="1" w:lastRow="1" w:firstColumn="1" w:lastColumn="1" w:noHBand="0" w:noVBand="0"/>
      </w:tblPr>
      <w:tblGrid>
        <w:gridCol w:w="2041"/>
        <w:gridCol w:w="7607"/>
      </w:tblGrid>
      <w:tr>
        <w:trPr>
          <w:trHeight w:val="843"/>
        </w:trPr>
        <w:tc>
          <w:tcPr>
            <w:tcW w:w="2041" w:type="dxa"/>
            <w:vMerge w:val="restart"/>
          </w:tcPr>
          <w:p>
            <w:pPr>
              <w:jc w:val="center"/>
              <w:rPr>
                <w:rFonts w:ascii="Verdana" w:hAnsi="Verdana"/>
                <w:b/>
                <w:sz w:val="16"/>
                <w:szCs w:val="16"/>
              </w:rPr>
            </w:pPr>
            <w:r>
              <w:rPr>
                <w:rFonts w:ascii="Verdana" w:hAnsi="Verdana"/>
                <w:b/>
                <w:noProof/>
                <w:sz w:val="16"/>
                <w:szCs w:val="16"/>
                <w:lang w:val="fr-BE" w:eastAsia="fr-BE"/>
              </w:rPr>
              <w:drawing>
                <wp:anchor distT="0" distB="0" distL="114300" distR="114300" simplePos="0" relativeHeight="251659264" behindDoc="1" locked="0" layoutInCell="1" allowOverlap="1">
                  <wp:simplePos x="0" y="0"/>
                  <wp:positionH relativeFrom="column">
                    <wp:posOffset>18415</wp:posOffset>
                  </wp:positionH>
                  <wp:positionV relativeFrom="paragraph">
                    <wp:posOffset>-1083310</wp:posOffset>
                  </wp:positionV>
                  <wp:extent cx="849630" cy="958850"/>
                  <wp:effectExtent l="0" t="0" r="7620" b="0"/>
                  <wp:wrapTight wrapText="bothSides">
                    <wp:wrapPolygon edited="0">
                      <wp:start x="0" y="0"/>
                      <wp:lineTo x="0" y="21028"/>
                      <wp:lineTo x="21309" y="21028"/>
                      <wp:lineTo x="21309" y="0"/>
                      <wp:lineTo x="0" y="0"/>
                    </wp:wrapPolygon>
                  </wp:wrapTight>
                  <wp:docPr id="79" name="Image 79" descr="Logo_FWB_Verti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Logo_FWB_Verti_Quadr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9630" cy="958850"/>
                          </a:xfrm>
                          <a:prstGeom prst="rect">
                            <a:avLst/>
                          </a:prstGeom>
                          <a:noFill/>
                        </pic:spPr>
                      </pic:pic>
                    </a:graphicData>
                  </a:graphic>
                  <wp14:sizeRelH relativeFrom="page">
                    <wp14:pctWidth>0</wp14:pctWidth>
                  </wp14:sizeRelH>
                  <wp14:sizeRelV relativeFrom="page">
                    <wp14:pctHeight>0</wp14:pctHeight>
                  </wp14:sizeRelV>
                </wp:anchor>
              </w:drawing>
            </w:r>
          </w:p>
          <w:p>
            <w:pPr>
              <w:jc w:val="center"/>
              <w:rPr>
                <w:rFonts w:ascii="Verdana" w:hAnsi="Verdana"/>
                <w:b/>
                <w:sz w:val="16"/>
                <w:szCs w:val="16"/>
              </w:rPr>
            </w:pPr>
          </w:p>
        </w:tc>
        <w:tc>
          <w:tcPr>
            <w:tcW w:w="7607" w:type="dxa"/>
            <w:tcBorders>
              <w:bottom w:val="single" w:sz="4" w:space="0" w:color="auto"/>
            </w:tcBorders>
          </w:tcPr>
          <w:p>
            <w:pPr>
              <w:tabs>
                <w:tab w:val="left" w:pos="4622"/>
              </w:tabs>
              <w:rPr>
                <w:b/>
              </w:rPr>
            </w:pPr>
            <w:r>
              <w:rPr>
                <w:b/>
              </w:rPr>
              <w:t>Circulaire 6268</w:t>
            </w:r>
            <w:r>
              <w:rPr>
                <w:b/>
              </w:rPr>
              <w:tab/>
              <w:t>du 30/06/2017</w:t>
            </w:r>
            <w:bookmarkStart w:id="2" w:name="_GoBack"/>
            <w:bookmarkEnd w:id="2"/>
          </w:p>
          <w:p/>
          <w:p>
            <w:pPr>
              <w:rPr>
                <w:b/>
                <w:smallCaps/>
              </w:rPr>
            </w:pPr>
            <w:r>
              <w:rPr>
                <w:b/>
                <w:smallCaps/>
              </w:rPr>
              <w:t>Organisation de l’enseignement maternel et primaire ordinaire</w:t>
            </w:r>
          </w:p>
          <w:p>
            <w:pPr>
              <w:rPr>
                <w:b/>
              </w:rPr>
            </w:pPr>
            <w:r>
              <w:rPr>
                <w:b/>
                <w:smallCaps/>
              </w:rPr>
              <w:t>Année scolaire 2017-2018</w:t>
            </w:r>
          </w:p>
        </w:tc>
      </w:tr>
      <w:tr>
        <w:trPr>
          <w:trHeight w:val="801"/>
        </w:trPr>
        <w:tc>
          <w:tcPr>
            <w:tcW w:w="2041" w:type="dxa"/>
            <w:vMerge/>
          </w:tcPr>
          <w:p>
            <w:pPr>
              <w:jc w:val="center"/>
              <w:rPr>
                <w:rFonts w:ascii="Verdana" w:hAnsi="Verdana"/>
                <w:b/>
                <w:sz w:val="16"/>
                <w:szCs w:val="16"/>
              </w:rPr>
            </w:pPr>
          </w:p>
        </w:tc>
        <w:tc>
          <w:tcPr>
            <w:tcW w:w="7607" w:type="dxa"/>
            <w:tcBorders>
              <w:top w:val="single" w:sz="4" w:space="0" w:color="auto"/>
            </w:tcBorders>
          </w:tcPr>
          <w:p>
            <w:pPr>
              <w:rPr>
                <w:b/>
                <w:i/>
                <w:sz w:val="20"/>
                <w:szCs w:val="20"/>
                <w:u w:val="single"/>
              </w:rPr>
            </w:pPr>
          </w:p>
          <w:p>
            <w:pPr>
              <w:rPr>
                <w:i/>
                <w:sz w:val="20"/>
                <w:szCs w:val="20"/>
                <w:u w:val="single"/>
              </w:rPr>
            </w:pPr>
            <w:r>
              <w:rPr>
                <w:i/>
                <w:sz w:val="20"/>
                <w:szCs w:val="20"/>
                <w:u w:val="single"/>
              </w:rPr>
              <w:t>Cette circulaire actualise la circulaire n° 5796 du 30/06/2016</w:t>
            </w:r>
          </w:p>
        </w:tc>
      </w:tr>
    </w:tbl>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08"/>
        <w:gridCol w:w="6120"/>
        <w:gridCol w:w="540"/>
      </w:tblGrid>
      <w:tr>
        <w:trPr>
          <w:trHeight w:val="3452"/>
        </w:trPr>
        <w:tc>
          <w:tcPr>
            <w:tcW w:w="3708" w:type="dxa"/>
            <w:vMerge w:val="restart"/>
          </w:tcPr>
          <w:p>
            <w:pPr>
              <w:shd w:val="clear" w:color="auto" w:fill="D9D9D9"/>
              <w:ind w:left="180" w:hanging="180"/>
              <w:rPr>
                <w:sz w:val="20"/>
              </w:rPr>
            </w:pPr>
            <w:r>
              <w:rPr>
                <w:b/>
                <w:sz w:val="20"/>
              </w:rPr>
              <w:t>Réseaux et niveaux concernés</w:t>
            </w:r>
          </w:p>
          <w:p>
            <w:pPr>
              <w:ind w:left="180" w:hanging="180"/>
              <w:rPr>
                <w:sz w:val="16"/>
                <w:szCs w:val="16"/>
              </w:rPr>
            </w:pPr>
          </w:p>
          <w:bookmarkStart w:id="3" w:name="CaseACocher3"/>
          <w:p>
            <w:pPr>
              <w:rPr>
                <w:sz w:val="20"/>
              </w:rPr>
            </w:pPr>
            <w:r>
              <w:rPr>
                <w:sz w:val="20"/>
              </w:rPr>
              <w:fldChar w:fldCharType="begin">
                <w:ffData>
                  <w:name w:val="CaseACocher3"/>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3"/>
            <w:r>
              <w:rPr>
                <w:sz w:val="20"/>
              </w:rPr>
              <w:t xml:space="preserve"> Fédération Wallonie-Bruxelles</w:t>
            </w:r>
          </w:p>
          <w:p>
            <w:pPr>
              <w:rPr>
                <w:sz w:val="20"/>
                <w:szCs w:val="20"/>
              </w:rPr>
            </w:pPr>
          </w:p>
          <w:p>
            <w:pPr>
              <w:rPr>
                <w:sz w:val="20"/>
              </w:rPr>
            </w:pPr>
            <w:r>
              <w:rPr>
                <w:sz w:val="20"/>
              </w:rPr>
              <w:fldChar w:fldCharType="begin">
                <w:ffData>
                  <w:name w:val="CaseACocher4"/>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Libre subventionné </w:t>
            </w:r>
          </w:p>
          <w:p>
            <w:pPr>
              <w:ind w:left="360"/>
              <w:rPr>
                <w:sz w:val="20"/>
              </w:rPr>
            </w:pPr>
            <w:r>
              <w:rPr>
                <w:sz w:val="20"/>
              </w:rPr>
              <w:fldChar w:fldCharType="begin">
                <w:ffData>
                  <w:name w:val="CaseACocher4"/>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libre confessionnel</w:t>
            </w:r>
          </w:p>
          <w:bookmarkStart w:id="4" w:name="CaseACocher7"/>
          <w:p>
            <w:pPr>
              <w:ind w:left="360"/>
              <w:rPr>
                <w:sz w:val="20"/>
              </w:rPr>
            </w:pPr>
            <w:r>
              <w:rPr>
                <w:sz w:val="20"/>
              </w:rPr>
              <w:fldChar w:fldCharType="begin">
                <w:ffData>
                  <w:name w:val="CaseACocher7"/>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4"/>
            <w:r>
              <w:rPr>
                <w:sz w:val="20"/>
              </w:rPr>
              <w:t xml:space="preserve"> libre non confessionnel</w:t>
            </w:r>
          </w:p>
          <w:p>
            <w:pPr>
              <w:rPr>
                <w:sz w:val="20"/>
              </w:rPr>
            </w:pPr>
          </w:p>
          <w:p>
            <w:pPr>
              <w:rPr>
                <w:sz w:val="20"/>
              </w:rPr>
            </w:pPr>
            <w:r>
              <w:rPr>
                <w:sz w:val="20"/>
              </w:rPr>
              <w:fldChar w:fldCharType="begin">
                <w:ffData>
                  <w:name w:val="CaseACocher4"/>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Officiel subventionné </w:t>
            </w:r>
          </w:p>
          <w:p>
            <w:pPr>
              <w:rPr>
                <w:sz w:val="20"/>
              </w:rPr>
            </w:pPr>
            <w:r>
              <w:rPr>
                <w:sz w:val="20"/>
              </w:rPr>
              <w:br/>
            </w:r>
            <w:bookmarkStart w:id="5" w:name="CaseACocher8"/>
            <w:r>
              <w:rPr>
                <w:sz w:val="20"/>
              </w:rPr>
              <w:fldChar w:fldCharType="begin">
                <w:ffData>
                  <w:name w:val="CaseACocher8"/>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5"/>
            <w:r>
              <w:rPr>
                <w:sz w:val="20"/>
              </w:rPr>
              <w:t xml:space="preserve"> Niveaux : maternel et primaire ordinaire</w:t>
            </w:r>
          </w:p>
          <w:p>
            <w:pPr>
              <w:ind w:left="180" w:hanging="180"/>
              <w:rPr>
                <w:sz w:val="16"/>
                <w:szCs w:val="16"/>
              </w:rPr>
            </w:pPr>
          </w:p>
          <w:p>
            <w:pPr>
              <w:shd w:val="clear" w:color="auto" w:fill="D9D9D9"/>
              <w:ind w:left="180" w:hanging="180"/>
              <w:rPr>
                <w:sz w:val="20"/>
              </w:rPr>
            </w:pPr>
            <w:r>
              <w:rPr>
                <w:b/>
                <w:sz w:val="20"/>
              </w:rPr>
              <w:t>Type de circulaire</w:t>
            </w:r>
          </w:p>
          <w:p>
            <w:pPr>
              <w:tabs>
                <w:tab w:val="left" w:pos="5580"/>
              </w:tabs>
              <w:ind w:left="180" w:hanging="180"/>
              <w:rPr>
                <w:sz w:val="16"/>
                <w:szCs w:val="16"/>
              </w:rPr>
            </w:pPr>
          </w:p>
          <w:bookmarkStart w:id="6" w:name="CaseACocher9"/>
          <w:p>
            <w:pPr>
              <w:tabs>
                <w:tab w:val="left" w:pos="5580"/>
              </w:tabs>
              <w:ind w:left="180" w:hanging="180"/>
              <w:rPr>
                <w:sz w:val="20"/>
              </w:rPr>
            </w:pPr>
            <w:r>
              <w:rPr>
                <w:sz w:val="20"/>
              </w:rPr>
              <w:fldChar w:fldCharType="begin">
                <w:ffData>
                  <w:name w:val="CaseACocher9"/>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6"/>
            <w:r>
              <w:rPr>
                <w:sz w:val="20"/>
              </w:rPr>
              <w:t xml:space="preserve"> Circulaire administrative</w:t>
            </w:r>
          </w:p>
          <w:p>
            <w:pPr>
              <w:tabs>
                <w:tab w:val="left" w:pos="5580"/>
              </w:tabs>
              <w:ind w:left="180" w:hanging="180"/>
              <w:rPr>
                <w:sz w:val="16"/>
                <w:szCs w:val="16"/>
              </w:rPr>
            </w:pPr>
          </w:p>
          <w:p>
            <w:pPr>
              <w:tabs>
                <w:tab w:val="left" w:pos="5580"/>
              </w:tabs>
              <w:ind w:left="180" w:hanging="180"/>
              <w:rPr>
                <w:sz w:val="20"/>
              </w:rPr>
            </w:pPr>
            <w:r>
              <w:rPr>
                <w:sz w:val="20"/>
              </w:rPr>
              <w:fldChar w:fldCharType="begin">
                <w:ffData>
                  <w:name w:val="CaseACocher10"/>
                  <w:enabled/>
                  <w:calcOnExit w:val="0"/>
                  <w:checkBox>
                    <w:sizeAuto/>
                    <w:default w:val="0"/>
                    <w:checked w:val="0"/>
                  </w:checkBox>
                </w:ffData>
              </w:fldChar>
            </w:r>
            <w:bookmarkStart w:id="7" w:name="CaseACocher10"/>
            <w:r>
              <w:rPr>
                <w:sz w:val="20"/>
              </w:rPr>
              <w:instrText xml:space="preserve"> FORMCHECKBOX </w:instrText>
            </w:r>
            <w:r>
              <w:rPr>
                <w:sz w:val="20"/>
              </w:rPr>
            </w:r>
            <w:r>
              <w:rPr>
                <w:sz w:val="20"/>
              </w:rPr>
              <w:fldChar w:fldCharType="separate"/>
            </w:r>
            <w:r>
              <w:rPr>
                <w:sz w:val="20"/>
              </w:rPr>
              <w:fldChar w:fldCharType="end"/>
            </w:r>
            <w:bookmarkEnd w:id="7"/>
            <w:r>
              <w:rPr>
                <w:sz w:val="20"/>
              </w:rPr>
              <w:t xml:space="preserve"> Circulaire informative</w:t>
            </w:r>
          </w:p>
          <w:p>
            <w:pPr>
              <w:tabs>
                <w:tab w:val="left" w:pos="5580"/>
              </w:tabs>
              <w:ind w:left="180" w:hanging="180"/>
              <w:rPr>
                <w:sz w:val="20"/>
              </w:rPr>
            </w:pPr>
            <w:r>
              <w:rPr>
                <w:sz w:val="20"/>
              </w:rPr>
              <w:tab/>
            </w:r>
            <w:r>
              <w:rPr>
                <w:sz w:val="20"/>
              </w:rPr>
              <w:tab/>
            </w:r>
          </w:p>
          <w:p>
            <w:pPr>
              <w:shd w:val="clear" w:color="auto" w:fill="D9D9D9"/>
              <w:ind w:left="180" w:hanging="180"/>
              <w:rPr>
                <w:sz w:val="20"/>
              </w:rPr>
            </w:pPr>
            <w:r>
              <w:rPr>
                <w:b/>
                <w:sz w:val="20"/>
              </w:rPr>
              <w:t>Période de validité</w:t>
            </w:r>
          </w:p>
          <w:p>
            <w:pPr>
              <w:tabs>
                <w:tab w:val="left" w:pos="3420"/>
                <w:tab w:val="left" w:pos="6840"/>
              </w:tabs>
              <w:ind w:left="180" w:hanging="180"/>
              <w:rPr>
                <w:sz w:val="16"/>
                <w:szCs w:val="16"/>
              </w:rPr>
            </w:pPr>
          </w:p>
          <w:bookmarkStart w:id="8" w:name="CaseACocher11"/>
          <w:p>
            <w:pPr>
              <w:tabs>
                <w:tab w:val="left" w:pos="3420"/>
                <w:tab w:val="left" w:pos="6840"/>
              </w:tabs>
              <w:ind w:left="180" w:hanging="180"/>
              <w:rPr>
                <w:sz w:val="20"/>
              </w:rPr>
            </w:pPr>
            <w:r>
              <w:rPr>
                <w:sz w:val="20"/>
              </w:rPr>
              <w:fldChar w:fldCharType="begin">
                <w:ffData>
                  <w:name w:val="CaseACocher11"/>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8"/>
            <w:r>
              <w:rPr>
                <w:sz w:val="20"/>
              </w:rPr>
              <w:t xml:space="preserve"> À partir du 1</w:t>
            </w:r>
            <w:r>
              <w:rPr>
                <w:sz w:val="20"/>
                <w:vertAlign w:val="superscript"/>
              </w:rPr>
              <w:t>er</w:t>
            </w:r>
            <w:r>
              <w:rPr>
                <w:sz w:val="20"/>
              </w:rPr>
              <w:t xml:space="preserve"> septembre 2017</w:t>
            </w:r>
          </w:p>
          <w:p>
            <w:pPr>
              <w:tabs>
                <w:tab w:val="left" w:pos="3420"/>
                <w:tab w:val="left" w:pos="6840"/>
              </w:tabs>
              <w:ind w:left="180" w:hanging="180"/>
              <w:rPr>
                <w:sz w:val="20"/>
              </w:rPr>
            </w:pPr>
          </w:p>
          <w:p>
            <w:pPr>
              <w:tabs>
                <w:tab w:val="left" w:pos="3420"/>
                <w:tab w:val="left" w:pos="6840"/>
              </w:tabs>
              <w:ind w:left="180" w:hanging="180"/>
              <w:rPr>
                <w:sz w:val="20"/>
              </w:rPr>
            </w:pPr>
            <w:r>
              <w:rPr>
                <w:sz w:val="20"/>
              </w:rPr>
              <w:fldChar w:fldCharType="begin">
                <w:ffData>
                  <w:name w:val=""/>
                  <w:enabled/>
                  <w:calcOnExit w:val="0"/>
                  <w:checkBox>
                    <w:sizeAuto/>
                    <w:default w:val="0"/>
                  </w:checkBox>
                </w:ffData>
              </w:fldChar>
            </w:r>
            <w:r>
              <w:rPr>
                <w:sz w:val="20"/>
              </w:rPr>
              <w:instrText xml:space="preserve"> FORMCHECKBOX </w:instrText>
            </w:r>
            <w:r>
              <w:rPr>
                <w:sz w:val="20"/>
              </w:rPr>
            </w:r>
            <w:r>
              <w:rPr>
                <w:sz w:val="20"/>
              </w:rPr>
              <w:fldChar w:fldCharType="separate"/>
            </w:r>
            <w:r>
              <w:rPr>
                <w:sz w:val="20"/>
              </w:rPr>
              <w:fldChar w:fldCharType="end"/>
            </w:r>
            <w:r>
              <w:rPr>
                <w:sz w:val="20"/>
              </w:rPr>
              <w:t xml:space="preserve"> Du         au</w:t>
            </w:r>
          </w:p>
          <w:p>
            <w:pPr>
              <w:ind w:left="180" w:hanging="180"/>
              <w:rPr>
                <w:sz w:val="16"/>
                <w:szCs w:val="16"/>
              </w:rPr>
            </w:pPr>
          </w:p>
          <w:p>
            <w:pPr>
              <w:shd w:val="clear" w:color="auto" w:fill="D9D9D9"/>
              <w:ind w:left="180" w:hanging="180"/>
              <w:rPr>
                <w:sz w:val="20"/>
              </w:rPr>
            </w:pPr>
            <w:r>
              <w:rPr>
                <w:b/>
                <w:sz w:val="20"/>
              </w:rPr>
              <w:t>Documents à renvoyer</w:t>
            </w:r>
          </w:p>
          <w:p>
            <w:pPr>
              <w:tabs>
                <w:tab w:val="left" w:pos="3420"/>
                <w:tab w:val="left" w:pos="6840"/>
              </w:tabs>
              <w:ind w:left="180" w:hanging="180"/>
              <w:rPr>
                <w:sz w:val="16"/>
                <w:szCs w:val="16"/>
              </w:rPr>
            </w:pPr>
          </w:p>
          <w:bookmarkStart w:id="9" w:name="CaseACocher13"/>
          <w:p>
            <w:pPr>
              <w:tabs>
                <w:tab w:val="left" w:pos="3420"/>
                <w:tab w:val="left" w:pos="6840"/>
              </w:tabs>
              <w:ind w:left="180" w:hanging="180"/>
              <w:rPr>
                <w:sz w:val="20"/>
              </w:rPr>
            </w:pPr>
            <w:r>
              <w:rPr>
                <w:sz w:val="20"/>
              </w:rPr>
              <w:fldChar w:fldCharType="begin">
                <w:ffData>
                  <w:name w:val="CaseACocher13"/>
                  <w:enabled/>
                  <w:calcOnExit w:val="0"/>
                  <w:checkBox>
                    <w:sizeAuto/>
                    <w:default w:val="1"/>
                  </w:checkBox>
                </w:ffData>
              </w:fldChar>
            </w:r>
            <w:r>
              <w:rPr>
                <w:sz w:val="20"/>
              </w:rPr>
              <w:instrText xml:space="preserve"> FORMCHECKBOX </w:instrText>
            </w:r>
            <w:r>
              <w:rPr>
                <w:sz w:val="20"/>
              </w:rPr>
            </w:r>
            <w:r>
              <w:rPr>
                <w:sz w:val="20"/>
              </w:rPr>
              <w:fldChar w:fldCharType="separate"/>
            </w:r>
            <w:r>
              <w:rPr>
                <w:sz w:val="20"/>
              </w:rPr>
              <w:fldChar w:fldCharType="end"/>
            </w:r>
            <w:bookmarkEnd w:id="9"/>
            <w:r>
              <w:rPr>
                <w:sz w:val="20"/>
              </w:rPr>
              <w:t xml:space="preserve"> Oui </w:t>
            </w:r>
          </w:p>
          <w:p>
            <w:pPr>
              <w:tabs>
                <w:tab w:val="left" w:pos="3420"/>
                <w:tab w:val="left" w:pos="6840"/>
              </w:tabs>
              <w:ind w:left="180" w:hanging="180"/>
              <w:rPr>
                <w:sz w:val="16"/>
                <w:szCs w:val="16"/>
              </w:rPr>
            </w:pPr>
          </w:p>
          <w:p>
            <w:pPr>
              <w:ind w:left="96"/>
              <w:rPr>
                <w:sz w:val="20"/>
              </w:rPr>
            </w:pPr>
            <w:r>
              <w:rPr>
                <w:rFonts w:ascii="Symbol" w:hAnsi="Symbol"/>
                <w:sz w:val="20"/>
              </w:rPr>
              <w:fldChar w:fldCharType="begin">
                <w:ffData>
                  <w:name w:val="CaseACocher15"/>
                  <w:enabled/>
                  <w:calcOnExit w:val="0"/>
                  <w:checkBox>
                    <w:sizeAuto/>
                    <w:default w:val="0"/>
                  </w:checkBox>
                </w:ffData>
              </w:fldChar>
            </w:r>
            <w:bookmarkStart w:id="10" w:name="CaseACocher15"/>
            <w:r>
              <w:rPr>
                <w:rFonts w:ascii="Symbol" w:hAnsi="Symbol"/>
                <w:sz w:val="20"/>
              </w:rPr>
              <w:instrText xml:space="preserve"> FORMCHECKBOX </w:instrText>
            </w:r>
            <w:r>
              <w:rPr>
                <w:rFonts w:ascii="Symbol" w:hAnsi="Symbol"/>
                <w:sz w:val="20"/>
              </w:rPr>
            </w:r>
            <w:r>
              <w:rPr>
                <w:rFonts w:ascii="Symbol" w:hAnsi="Symbol"/>
                <w:sz w:val="20"/>
              </w:rPr>
              <w:fldChar w:fldCharType="separate"/>
            </w:r>
            <w:r>
              <w:rPr>
                <w:rFonts w:ascii="Symbol" w:hAnsi="Symbol"/>
                <w:sz w:val="20"/>
              </w:rPr>
              <w:fldChar w:fldCharType="end"/>
            </w:r>
            <w:bookmarkEnd w:id="10"/>
            <w:r>
              <w:rPr>
                <w:rFonts w:ascii="Symbol" w:hAnsi="Symbol"/>
                <w:sz w:val="20"/>
              </w:rPr>
              <w:t></w:t>
            </w:r>
            <w:r>
              <w:rPr>
                <w:rFonts w:ascii="Symbol" w:hAnsi="Symbol"/>
                <w:sz w:val="20"/>
              </w:rPr>
              <w:t></w:t>
            </w:r>
            <w:r>
              <w:rPr>
                <w:rFonts w:ascii="Symbol" w:hAnsi="Symbol"/>
                <w:sz w:val="20"/>
              </w:rPr>
              <w:t></w:t>
            </w:r>
            <w:r>
              <w:rPr>
                <w:sz w:val="20"/>
              </w:rPr>
              <w:t>Date limite</w:t>
            </w:r>
          </w:p>
          <w:p>
            <w:pPr>
              <w:ind w:left="96"/>
              <w:rPr>
                <w:sz w:val="20"/>
              </w:rPr>
            </w:pPr>
          </w:p>
          <w:p>
            <w:pPr>
              <w:ind w:left="96"/>
              <w:rPr>
                <w:sz w:val="20"/>
              </w:rPr>
            </w:pPr>
            <w:r>
              <w:rPr>
                <w:rFonts w:ascii="Symbol" w:hAnsi="Symbol"/>
                <w:sz w:val="20"/>
              </w:rPr>
              <w:fldChar w:fldCharType="begin">
                <w:ffData>
                  <w:name w:val="CaseACocher15"/>
                  <w:enabled/>
                  <w:calcOnExit w:val="0"/>
                  <w:checkBox>
                    <w:sizeAuto/>
                    <w:default w:val="1"/>
                  </w:checkBox>
                </w:ffData>
              </w:fldChar>
            </w:r>
            <w:r>
              <w:rPr>
                <w:rFonts w:ascii="Symbol" w:hAnsi="Symbol"/>
                <w:sz w:val="20"/>
              </w:rPr>
              <w:instrText xml:space="preserve"> FORMCHECKBOX </w:instrText>
            </w:r>
            <w:r>
              <w:rPr>
                <w:rFonts w:ascii="Symbol" w:hAnsi="Symbol"/>
                <w:sz w:val="20"/>
              </w:rPr>
            </w:r>
            <w:r>
              <w:rPr>
                <w:rFonts w:ascii="Symbol" w:hAnsi="Symbol"/>
                <w:sz w:val="20"/>
              </w:rPr>
              <w:fldChar w:fldCharType="separate"/>
            </w:r>
            <w:r>
              <w:rPr>
                <w:rFonts w:ascii="Symbol" w:hAnsi="Symbol"/>
                <w:sz w:val="20"/>
              </w:rPr>
              <w:fldChar w:fldCharType="end"/>
            </w:r>
            <w:r>
              <w:rPr>
                <w:rFonts w:ascii="Symbol" w:hAnsi="Symbol"/>
                <w:sz w:val="20"/>
              </w:rPr>
              <w:t></w:t>
            </w:r>
            <w:r>
              <w:rPr>
                <w:rFonts w:ascii="Symbol" w:hAnsi="Symbol"/>
                <w:sz w:val="20"/>
              </w:rPr>
              <w:t></w:t>
            </w:r>
            <w:r>
              <w:rPr>
                <w:rFonts w:ascii="Symbol" w:hAnsi="Symbol"/>
                <w:sz w:val="20"/>
              </w:rPr>
              <w:t></w:t>
            </w:r>
            <w:r>
              <w:rPr>
                <w:sz w:val="20"/>
              </w:rPr>
              <w:t>Voir dates figurant dans la circulaire</w:t>
            </w:r>
          </w:p>
          <w:p>
            <w:pPr>
              <w:tabs>
                <w:tab w:val="left" w:pos="3420"/>
                <w:tab w:val="left" w:pos="6840"/>
              </w:tabs>
              <w:rPr>
                <w:sz w:val="16"/>
                <w:szCs w:val="16"/>
              </w:rPr>
            </w:pPr>
          </w:p>
          <w:p>
            <w:pPr>
              <w:shd w:val="clear" w:color="auto" w:fill="D9D9D9"/>
              <w:ind w:left="180" w:hanging="180"/>
              <w:rPr>
                <w:sz w:val="20"/>
              </w:rPr>
            </w:pPr>
            <w:r>
              <w:rPr>
                <w:b/>
                <w:sz w:val="20"/>
              </w:rPr>
              <w:t>Mot-clé:</w:t>
            </w:r>
          </w:p>
          <w:tbl>
            <w:tblPr>
              <w:tblW w:w="7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5"/>
              <w:gridCol w:w="415"/>
            </w:tblGrid>
            <w:tr>
              <w:tc>
                <w:tcPr>
                  <w:tcW w:w="7375" w:type="dxa"/>
                  <w:tcBorders>
                    <w:top w:val="nil"/>
                    <w:left w:val="nil"/>
                    <w:bottom w:val="nil"/>
                    <w:right w:val="nil"/>
                  </w:tcBorders>
                </w:tcPr>
                <w:p>
                  <w:pPr>
                    <w:autoSpaceDE w:val="0"/>
                    <w:autoSpaceDN w:val="0"/>
                    <w:adjustRightInd w:val="0"/>
                    <w:ind w:left="180" w:hanging="180"/>
                    <w:rPr>
                      <w:rFonts w:ascii="Verdana" w:hAnsi="Verdana"/>
                      <w:sz w:val="18"/>
                      <w:szCs w:val="18"/>
                    </w:rPr>
                  </w:pPr>
                  <w:r>
                    <w:rPr>
                      <w:rFonts w:ascii="Verdana" w:hAnsi="Verdana"/>
                      <w:sz w:val="18"/>
                      <w:szCs w:val="18"/>
                    </w:rPr>
                    <w:t>Organisation/Fondamental/Maternel/</w:t>
                  </w:r>
                </w:p>
                <w:p>
                  <w:pPr>
                    <w:autoSpaceDE w:val="0"/>
                    <w:autoSpaceDN w:val="0"/>
                    <w:adjustRightInd w:val="0"/>
                    <w:ind w:left="180" w:hanging="180"/>
                    <w:rPr>
                      <w:rFonts w:ascii="Verdana" w:hAnsi="Verdana"/>
                      <w:sz w:val="18"/>
                      <w:szCs w:val="18"/>
                    </w:rPr>
                  </w:pPr>
                  <w:r>
                    <w:rPr>
                      <w:rFonts w:ascii="Verdana" w:hAnsi="Verdana"/>
                      <w:sz w:val="18"/>
                      <w:szCs w:val="18"/>
                    </w:rPr>
                    <w:t>Primaire/Année scolaire 2017-2018</w:t>
                  </w:r>
                </w:p>
              </w:tc>
              <w:tc>
                <w:tcPr>
                  <w:tcW w:w="415" w:type="dxa"/>
                  <w:tcBorders>
                    <w:top w:val="nil"/>
                    <w:left w:val="nil"/>
                    <w:bottom w:val="nil"/>
                    <w:right w:val="nil"/>
                  </w:tcBorders>
                </w:tcPr>
                <w:p>
                  <w:pPr>
                    <w:tabs>
                      <w:tab w:val="left" w:pos="3420"/>
                      <w:tab w:val="left" w:pos="6840"/>
                    </w:tabs>
                    <w:ind w:left="180" w:hanging="180"/>
                    <w:rPr>
                      <w:rFonts w:ascii="Verdana" w:hAnsi="Verdana"/>
                      <w:sz w:val="18"/>
                      <w:szCs w:val="18"/>
                    </w:rPr>
                  </w:pPr>
                </w:p>
              </w:tc>
            </w:tr>
          </w:tbl>
          <w:p>
            <w:pPr>
              <w:shd w:val="clear" w:color="auto" w:fill="D9D9D9"/>
              <w:ind w:left="284"/>
              <w:rPr>
                <w:b/>
                <w:sz w:val="20"/>
              </w:rPr>
            </w:pPr>
          </w:p>
        </w:tc>
        <w:tc>
          <w:tcPr>
            <w:tcW w:w="6120" w:type="dxa"/>
            <w:vMerge w:val="restart"/>
            <w:tcBorders>
              <w:right w:val="single" w:sz="4" w:space="0" w:color="auto"/>
            </w:tcBorders>
          </w:tcPr>
          <w:p>
            <w:pPr>
              <w:shd w:val="clear" w:color="auto" w:fill="D9D9D9"/>
              <w:ind w:left="284"/>
              <w:rPr>
                <w:sz w:val="20"/>
              </w:rPr>
            </w:pPr>
            <w:r>
              <w:rPr>
                <w:b/>
                <w:sz w:val="20"/>
              </w:rPr>
              <w:t>Destinataires de la circulaire</w:t>
            </w:r>
          </w:p>
          <w:p>
            <w:pPr>
              <w:rPr>
                <w:sz w:val="16"/>
                <w:szCs w:val="16"/>
              </w:rPr>
            </w:pPr>
          </w:p>
          <w:p>
            <w:pPr>
              <w:tabs>
                <w:tab w:val="left" w:pos="1134"/>
              </w:tabs>
              <w:ind w:left="792" w:hanging="792"/>
              <w:rPr>
                <w:rFonts w:cs="Arial"/>
                <w:sz w:val="20"/>
              </w:rPr>
            </w:pPr>
            <w:r>
              <w:rPr>
                <w:rFonts w:cs="Arial"/>
                <w:sz w:val="20"/>
              </w:rPr>
              <w:t>À</w:t>
            </w:r>
            <w:r>
              <w:rPr>
                <w:rFonts w:cs="Arial"/>
                <w:sz w:val="20"/>
              </w:rPr>
              <w:tab/>
              <w:t>Madame la Ministre chargée de l’Education ;</w:t>
            </w:r>
          </w:p>
          <w:p>
            <w:pPr>
              <w:tabs>
                <w:tab w:val="left" w:pos="1134"/>
              </w:tabs>
              <w:ind w:left="792" w:hanging="792"/>
              <w:rPr>
                <w:rFonts w:cs="Arial"/>
                <w:sz w:val="20"/>
              </w:rPr>
            </w:pPr>
            <w:r>
              <w:rPr>
                <w:rFonts w:cs="Arial"/>
                <w:sz w:val="20"/>
              </w:rPr>
              <w:t>Au</w:t>
            </w:r>
            <w:r>
              <w:rPr>
                <w:rFonts w:cs="Arial"/>
                <w:sz w:val="20"/>
              </w:rPr>
              <w:tab/>
              <w:t>Collège provincial ;</w:t>
            </w:r>
          </w:p>
          <w:p>
            <w:pPr>
              <w:tabs>
                <w:tab w:val="left" w:pos="1134"/>
              </w:tabs>
              <w:ind w:left="792" w:hanging="792"/>
              <w:rPr>
                <w:rFonts w:cs="Arial"/>
                <w:sz w:val="20"/>
              </w:rPr>
            </w:pPr>
            <w:r>
              <w:rPr>
                <w:rFonts w:cs="Arial"/>
                <w:sz w:val="20"/>
              </w:rPr>
              <w:t>À</w:t>
            </w:r>
            <w:r>
              <w:rPr>
                <w:rFonts w:cs="Arial"/>
                <w:sz w:val="20"/>
              </w:rPr>
              <w:tab/>
              <w:t>Mesdames et Messieurs les Bourgmestres et Echevins-e-s de l’Instruction publique ;</w:t>
            </w:r>
          </w:p>
          <w:p>
            <w:pPr>
              <w:tabs>
                <w:tab w:val="left" w:pos="1134"/>
              </w:tabs>
              <w:ind w:left="792" w:hanging="792"/>
              <w:rPr>
                <w:rFonts w:cs="Arial"/>
                <w:sz w:val="20"/>
              </w:rPr>
            </w:pPr>
            <w:r>
              <w:rPr>
                <w:rFonts w:cs="Arial"/>
                <w:sz w:val="20"/>
              </w:rPr>
              <w:t>Aux</w:t>
            </w:r>
            <w:r>
              <w:rPr>
                <w:rFonts w:cs="Arial"/>
                <w:sz w:val="20"/>
              </w:rPr>
              <w:tab/>
              <w:t>Chefs d’établissements des écoles organisées ou subventionnées par la Fédération Wallonie-Bruxelles, d’enseignement ordinaire, maternel, primaire et fondamental ;</w:t>
            </w:r>
          </w:p>
          <w:p>
            <w:pPr>
              <w:tabs>
                <w:tab w:val="left" w:pos="1134"/>
              </w:tabs>
              <w:ind w:left="792" w:hanging="792"/>
              <w:rPr>
                <w:rFonts w:cs="Arial"/>
                <w:sz w:val="20"/>
              </w:rPr>
            </w:pPr>
            <w:r>
              <w:rPr>
                <w:rFonts w:cs="Arial"/>
                <w:sz w:val="20"/>
              </w:rPr>
              <w:t>Aux</w:t>
            </w:r>
            <w:r>
              <w:rPr>
                <w:rFonts w:cs="Arial"/>
                <w:sz w:val="20"/>
              </w:rPr>
              <w:tab/>
              <w:t>Pouvoirs organisateurs des écoles subventionnées par la Fédération Wallonie-Bruxelles d’enseignement ordinaire, maternel, primaire et fondamental ;</w:t>
            </w:r>
          </w:p>
          <w:p>
            <w:pPr>
              <w:tabs>
                <w:tab w:val="left" w:pos="1134"/>
              </w:tabs>
              <w:ind w:left="792" w:hanging="792"/>
              <w:rPr>
                <w:rFonts w:cs="Arial"/>
                <w:sz w:val="20"/>
              </w:rPr>
            </w:pPr>
            <w:r>
              <w:rPr>
                <w:rFonts w:cs="Arial"/>
                <w:sz w:val="20"/>
              </w:rPr>
              <w:t>Aux</w:t>
            </w:r>
            <w:r>
              <w:rPr>
                <w:rFonts w:cs="Arial"/>
                <w:sz w:val="20"/>
              </w:rPr>
              <w:tab/>
              <w:t>Membres du Service général de l'Inspection de l’enseignement ordinaire ;</w:t>
            </w:r>
          </w:p>
          <w:p>
            <w:pPr>
              <w:tabs>
                <w:tab w:val="left" w:pos="1134"/>
              </w:tabs>
              <w:ind w:left="792" w:hanging="792"/>
              <w:rPr>
                <w:rFonts w:cs="Arial"/>
                <w:sz w:val="20"/>
              </w:rPr>
            </w:pPr>
            <w:r>
              <w:rPr>
                <w:rFonts w:cs="Arial"/>
                <w:sz w:val="20"/>
              </w:rPr>
              <w:t>Aux</w:t>
            </w:r>
            <w:r>
              <w:rPr>
                <w:rFonts w:cs="Arial"/>
                <w:sz w:val="20"/>
              </w:rPr>
              <w:tab/>
              <w:t>Fédérations d’associations de parents ;</w:t>
            </w:r>
          </w:p>
          <w:p>
            <w:pPr>
              <w:tabs>
                <w:tab w:val="left" w:pos="1134"/>
              </w:tabs>
              <w:ind w:left="792" w:hanging="792"/>
              <w:rPr>
                <w:rFonts w:cs="Arial"/>
                <w:sz w:val="20"/>
              </w:rPr>
            </w:pPr>
            <w:r>
              <w:rPr>
                <w:rFonts w:cs="Arial"/>
                <w:sz w:val="20"/>
              </w:rPr>
              <w:t>Aux</w:t>
            </w:r>
            <w:r>
              <w:rPr>
                <w:rFonts w:cs="Arial"/>
                <w:sz w:val="20"/>
              </w:rPr>
              <w:tab/>
              <w:t xml:space="preserve">Organes de représentation et de coordination des Pouvoirs organisateurs ; </w:t>
            </w:r>
          </w:p>
          <w:p>
            <w:pPr>
              <w:tabs>
                <w:tab w:val="left" w:pos="1134"/>
              </w:tabs>
              <w:ind w:left="792" w:hanging="792"/>
              <w:rPr>
                <w:rFonts w:cs="Arial"/>
                <w:sz w:val="20"/>
              </w:rPr>
            </w:pPr>
            <w:r>
              <w:rPr>
                <w:rFonts w:cs="Arial"/>
                <w:sz w:val="20"/>
              </w:rPr>
              <w:t>Au</w:t>
            </w:r>
            <w:r>
              <w:rPr>
                <w:rFonts w:cs="Arial"/>
                <w:sz w:val="20"/>
              </w:rPr>
              <w:tab/>
              <w:t>Service général de l’Enseignement organisé par la Fédération Wallonie-Bruxelles ;</w:t>
            </w:r>
          </w:p>
          <w:p>
            <w:pPr>
              <w:tabs>
                <w:tab w:val="left" w:pos="1134"/>
              </w:tabs>
              <w:ind w:left="792" w:hanging="792"/>
              <w:rPr>
                <w:rFonts w:cs="Arial"/>
                <w:sz w:val="20"/>
              </w:rPr>
            </w:pPr>
            <w:r>
              <w:rPr>
                <w:rFonts w:cs="Arial"/>
                <w:sz w:val="20"/>
              </w:rPr>
              <w:t>Aux</w:t>
            </w:r>
            <w:r>
              <w:rPr>
                <w:rFonts w:cs="Arial"/>
                <w:sz w:val="20"/>
              </w:rPr>
              <w:tab/>
              <w:t>Organisations syndicales ;</w:t>
            </w:r>
          </w:p>
          <w:p>
            <w:pPr>
              <w:tabs>
                <w:tab w:val="left" w:pos="1134"/>
              </w:tabs>
              <w:ind w:left="792" w:hanging="792"/>
              <w:rPr>
                <w:rFonts w:cs="Arial"/>
                <w:sz w:val="20"/>
              </w:rPr>
            </w:pPr>
            <w:r>
              <w:rPr>
                <w:rFonts w:cs="Arial"/>
                <w:sz w:val="20"/>
              </w:rPr>
              <w:t>Aux</w:t>
            </w:r>
            <w:r>
              <w:rPr>
                <w:rFonts w:cs="Arial"/>
                <w:sz w:val="20"/>
              </w:rPr>
              <w:tab/>
              <w:t>Pouvoirs organisateurs des Centres Psycho Médico-Sociaux ordinaires subventionnés par la Fédération Wallonie-Bruxelles ;</w:t>
            </w:r>
          </w:p>
          <w:p>
            <w:pPr>
              <w:tabs>
                <w:tab w:val="left" w:pos="1134"/>
              </w:tabs>
              <w:ind w:left="792" w:hanging="792"/>
              <w:rPr>
                <w:rFonts w:cs="Arial"/>
                <w:sz w:val="20"/>
              </w:rPr>
            </w:pPr>
            <w:r>
              <w:rPr>
                <w:rFonts w:cs="Arial"/>
                <w:sz w:val="20"/>
              </w:rPr>
              <w:t>Aux</w:t>
            </w:r>
            <w:r>
              <w:rPr>
                <w:rFonts w:cs="Arial"/>
                <w:sz w:val="20"/>
              </w:rPr>
              <w:tab/>
              <w:t>Directions des Centres Psycho Médico-Sociaux ordinaires organisés par la Fédération Wallonie-Bruxelles.</w:t>
            </w:r>
          </w:p>
          <w:p>
            <w:pPr>
              <w:tabs>
                <w:tab w:val="left" w:pos="1134"/>
              </w:tabs>
              <w:jc w:val="both"/>
              <w:rPr>
                <w:rFonts w:cs="Arial"/>
                <w:sz w:val="16"/>
                <w:szCs w:val="16"/>
              </w:rPr>
            </w:pPr>
          </w:p>
          <w:p>
            <w:pPr>
              <w:tabs>
                <w:tab w:val="left" w:pos="1134"/>
              </w:tabs>
              <w:jc w:val="both"/>
              <w:rPr>
                <w:rFonts w:cs="Arial"/>
                <w:sz w:val="16"/>
                <w:szCs w:val="16"/>
              </w:rPr>
            </w:pPr>
          </w:p>
          <w:p>
            <w:pPr>
              <w:tabs>
                <w:tab w:val="left" w:pos="1134"/>
              </w:tabs>
              <w:ind w:left="2160" w:hanging="540"/>
              <w:jc w:val="both"/>
              <w:rPr>
                <w:rFonts w:cs="Arial"/>
                <w:sz w:val="16"/>
                <w:szCs w:val="16"/>
              </w:rPr>
            </w:pPr>
          </w:p>
          <w:p>
            <w:pPr>
              <w:tabs>
                <w:tab w:val="left" w:pos="1134"/>
              </w:tabs>
              <w:ind w:left="792" w:hanging="792"/>
              <w:rPr>
                <w:rFonts w:cs="Arial"/>
                <w:sz w:val="20"/>
              </w:rPr>
            </w:pPr>
          </w:p>
          <w:p>
            <w:pPr>
              <w:ind w:left="792" w:right="-142" w:hanging="792"/>
              <w:rPr>
                <w:rFonts w:cs="Arial"/>
                <w:sz w:val="20"/>
              </w:rPr>
            </w:pPr>
          </w:p>
          <w:p>
            <w:pPr>
              <w:tabs>
                <w:tab w:val="left" w:pos="1134"/>
              </w:tabs>
              <w:ind w:left="792" w:hanging="792"/>
              <w:rPr>
                <w:rFonts w:cs="Arial"/>
                <w:sz w:val="20"/>
              </w:rPr>
            </w:pPr>
          </w:p>
          <w:p>
            <w:pPr>
              <w:tabs>
                <w:tab w:val="left" w:pos="1134"/>
              </w:tabs>
              <w:ind w:left="792" w:hanging="792"/>
              <w:rPr>
                <w:rFonts w:cs="Arial"/>
                <w:sz w:val="20"/>
              </w:rPr>
            </w:pPr>
          </w:p>
          <w:p>
            <w:pPr>
              <w:tabs>
                <w:tab w:val="left" w:pos="1134"/>
              </w:tabs>
              <w:ind w:left="792" w:hanging="792"/>
              <w:rPr>
                <w:rFonts w:cs="Arial"/>
                <w:sz w:val="20"/>
              </w:rPr>
            </w:pPr>
          </w:p>
          <w:p>
            <w:pPr>
              <w:ind w:left="792" w:hanging="792"/>
              <w:rPr>
                <w:sz w:val="20"/>
              </w:rPr>
            </w:pPr>
          </w:p>
          <w:p>
            <w:pPr>
              <w:ind w:left="792" w:hanging="792"/>
              <w:rPr>
                <w:sz w:val="20"/>
              </w:rPr>
            </w:pPr>
          </w:p>
          <w:p>
            <w:pPr>
              <w:rPr>
                <w:sz w:val="20"/>
              </w:rPr>
            </w:pPr>
          </w:p>
        </w:tc>
        <w:tc>
          <w:tcPr>
            <w:tcW w:w="540" w:type="dxa"/>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Verdana" w:hAnsi="Verdana"/>
                <w:sz w:val="18"/>
                <w:szCs w:val="18"/>
              </w:rPr>
            </w:pPr>
          </w:p>
        </w:tc>
      </w:tr>
      <w:tr>
        <w:trPr>
          <w:trHeight w:val="4351"/>
        </w:trPr>
        <w:tc>
          <w:tcPr>
            <w:tcW w:w="3708" w:type="dxa"/>
            <w:vMerge/>
            <w:tcBorders>
              <w:bottom w:val="single" w:sz="4" w:space="0" w:color="auto"/>
            </w:tcBorders>
          </w:tcPr>
          <w:p>
            <w:pPr>
              <w:shd w:val="clear" w:color="auto" w:fill="D9D9D9"/>
              <w:ind w:left="284"/>
              <w:rPr>
                <w:b/>
                <w:sz w:val="20"/>
              </w:rPr>
            </w:pPr>
          </w:p>
        </w:tc>
        <w:tc>
          <w:tcPr>
            <w:tcW w:w="6120" w:type="dxa"/>
            <w:vMerge/>
            <w:tcBorders>
              <w:bottom w:val="single" w:sz="4" w:space="0" w:color="auto"/>
              <w:right w:val="single" w:sz="4" w:space="0" w:color="auto"/>
            </w:tcBorders>
          </w:tcPr>
          <w:p>
            <w:pPr>
              <w:shd w:val="clear" w:color="auto" w:fill="D9D9D9"/>
              <w:ind w:left="284"/>
              <w:rPr>
                <w:b/>
                <w:sz w:val="20"/>
              </w:rPr>
            </w:pPr>
          </w:p>
        </w:tc>
        <w:tc>
          <w:tcPr>
            <w:tcW w:w="540" w:type="dxa"/>
            <w:vMerge w:val="restart"/>
            <w:tcBorders>
              <w:top w:val="nil"/>
              <w:left w:val="single" w:sz="4" w:space="0" w:color="auto"/>
              <w:bottom w:val="nil"/>
              <w:right w:val="nil"/>
            </w:tcBorders>
            <w:shd w:val="clear" w:color="auto" w:fill="auto"/>
          </w:tcPr>
          <w:p>
            <w:pPr>
              <w:tabs>
                <w:tab w:val="left" w:pos="1980"/>
                <w:tab w:val="left" w:pos="4500"/>
                <w:tab w:val="left" w:leader="dot" w:pos="8460"/>
              </w:tabs>
              <w:ind w:left="72"/>
              <w:rPr>
                <w:rFonts w:ascii="Verdana" w:hAnsi="Verdana"/>
                <w:sz w:val="18"/>
                <w:szCs w:val="18"/>
              </w:rPr>
            </w:pPr>
            <w:r>
              <w:rPr>
                <w:rFonts w:ascii="Verdana" w:hAnsi="Verdana"/>
                <w:noProof/>
                <w:sz w:val="18"/>
                <w:szCs w:val="18"/>
                <w:lang w:val="fr-BE" w:eastAsia="fr-BE"/>
              </w:rPr>
              <w:drawing>
                <wp:inline distT="0" distB="0" distL="0" distR="0">
                  <wp:extent cx="304800" cy="5257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800" cy="5257800"/>
                          </a:xfrm>
                          <a:prstGeom prst="rect">
                            <a:avLst/>
                          </a:prstGeom>
                          <a:noFill/>
                          <a:ln>
                            <a:noFill/>
                          </a:ln>
                        </pic:spPr>
                      </pic:pic>
                    </a:graphicData>
                  </a:graphic>
                </wp:inline>
              </w:drawing>
            </w:r>
          </w:p>
        </w:tc>
      </w:tr>
      <w:tr>
        <w:trPr>
          <w:trHeight w:val="296"/>
        </w:trPr>
        <w:tc>
          <w:tcPr>
            <w:tcW w:w="9828" w:type="dxa"/>
            <w:gridSpan w:val="2"/>
            <w:tcBorders>
              <w:top w:val="single" w:sz="4" w:space="0" w:color="auto"/>
              <w:left w:val="nil"/>
              <w:bottom w:val="nil"/>
              <w:right w:val="nil"/>
            </w:tcBorders>
            <w:shd w:val="clear" w:color="auto" w:fill="auto"/>
          </w:tcPr>
          <w:p>
            <w:pPr>
              <w:shd w:val="clear" w:color="auto" w:fill="D9D9D9"/>
              <w:tabs>
                <w:tab w:val="left" w:pos="252"/>
                <w:tab w:val="left" w:pos="1980"/>
                <w:tab w:val="left" w:pos="4500"/>
                <w:tab w:val="left" w:leader="dot" w:pos="8460"/>
              </w:tabs>
              <w:ind w:right="72"/>
              <w:rPr>
                <w:b/>
                <w:sz w:val="20"/>
              </w:rPr>
            </w:pPr>
          </w:p>
          <w:p>
            <w:pPr>
              <w:shd w:val="clear" w:color="auto" w:fill="D9D9D9"/>
              <w:tabs>
                <w:tab w:val="left" w:pos="252"/>
                <w:tab w:val="left" w:pos="1980"/>
                <w:tab w:val="left" w:pos="4500"/>
                <w:tab w:val="left" w:leader="dot" w:pos="8460"/>
              </w:tabs>
              <w:ind w:right="72"/>
              <w:rPr>
                <w:sz w:val="20"/>
              </w:rPr>
            </w:pPr>
            <w:r>
              <w:rPr>
                <w:b/>
                <w:sz w:val="20"/>
              </w:rPr>
              <w:t>Signataire</w:t>
            </w:r>
          </w:p>
          <w:tbl>
            <w:tblPr>
              <w:tblW w:w="0" w:type="auto"/>
              <w:tblInd w:w="648" w:type="dxa"/>
              <w:tblLayout w:type="fixed"/>
              <w:tblLook w:val="01E0" w:firstRow="1" w:lastRow="1" w:firstColumn="1" w:lastColumn="1" w:noHBand="0" w:noVBand="0"/>
            </w:tblPr>
            <w:tblGrid>
              <w:gridCol w:w="1692"/>
              <w:gridCol w:w="7200"/>
            </w:tblGrid>
            <w:tr>
              <w:tc>
                <w:tcPr>
                  <w:tcW w:w="1692" w:type="dxa"/>
                </w:tcPr>
                <w:p>
                  <w:pPr>
                    <w:tabs>
                      <w:tab w:val="left" w:pos="4500"/>
                      <w:tab w:val="left" w:leader="dot" w:pos="8460"/>
                    </w:tabs>
                    <w:rPr>
                      <w:b/>
                      <w:sz w:val="16"/>
                      <w:szCs w:val="16"/>
                    </w:rPr>
                  </w:pPr>
                </w:p>
                <w:p>
                  <w:pPr>
                    <w:tabs>
                      <w:tab w:val="left" w:pos="4500"/>
                      <w:tab w:val="left" w:leader="dot" w:pos="8460"/>
                    </w:tabs>
                    <w:rPr>
                      <w:b/>
                      <w:sz w:val="20"/>
                    </w:rPr>
                  </w:pPr>
                  <w:r>
                    <w:rPr>
                      <w:b/>
                      <w:sz w:val="20"/>
                    </w:rPr>
                    <w:t>Ministre</w:t>
                  </w:r>
                </w:p>
              </w:tc>
              <w:tc>
                <w:tcPr>
                  <w:tcW w:w="7200" w:type="dxa"/>
                </w:tcPr>
                <w:p>
                  <w:pPr>
                    <w:tabs>
                      <w:tab w:val="left" w:pos="4500"/>
                      <w:tab w:val="left" w:leader="dot" w:pos="8460"/>
                    </w:tabs>
                    <w:rPr>
                      <w:b/>
                      <w:sz w:val="16"/>
                      <w:szCs w:val="16"/>
                    </w:rPr>
                  </w:pPr>
                </w:p>
                <w:p>
                  <w:pPr>
                    <w:tabs>
                      <w:tab w:val="left" w:pos="4500"/>
                      <w:tab w:val="left" w:leader="dot" w:pos="8460"/>
                    </w:tabs>
                    <w:rPr>
                      <w:b/>
                      <w:spacing w:val="-2"/>
                      <w:sz w:val="20"/>
                    </w:rPr>
                  </w:pPr>
                  <w:r>
                    <w:rPr>
                      <w:b/>
                      <w:spacing w:val="-2"/>
                      <w:sz w:val="20"/>
                    </w:rPr>
                    <w:t>Madame Marie-Martine SCHYNS, Ministre de l’Education</w:t>
                  </w:r>
                </w:p>
                <w:p>
                  <w:pPr>
                    <w:tabs>
                      <w:tab w:val="left" w:pos="4500"/>
                      <w:tab w:val="left" w:leader="dot" w:pos="8460"/>
                    </w:tabs>
                    <w:rPr>
                      <w:b/>
                      <w:sz w:val="20"/>
                    </w:rPr>
                  </w:pPr>
                </w:p>
              </w:tc>
            </w:tr>
          </w:tbl>
          <w:p>
            <w:pPr>
              <w:tabs>
                <w:tab w:val="left" w:pos="2700"/>
                <w:tab w:val="left" w:leader="dot" w:pos="9540"/>
              </w:tabs>
              <w:ind w:left="284"/>
              <w:rPr>
                <w:sz w:val="16"/>
                <w:szCs w:val="16"/>
              </w:rPr>
            </w:pPr>
          </w:p>
          <w:p>
            <w:pPr>
              <w:shd w:val="clear" w:color="auto" w:fill="D9D9D9"/>
              <w:ind w:right="72"/>
              <w:rPr>
                <w:sz w:val="20"/>
              </w:rPr>
            </w:pPr>
            <w:r>
              <w:rPr>
                <w:b/>
                <w:sz w:val="20"/>
              </w:rPr>
              <w:t>Personnes de contact</w:t>
            </w:r>
          </w:p>
          <w:p>
            <w:pPr>
              <w:tabs>
                <w:tab w:val="left" w:pos="4500"/>
                <w:tab w:val="left" w:leader="dot" w:pos="8460"/>
              </w:tabs>
              <w:ind w:left="540"/>
              <w:rPr>
                <w:sz w:val="16"/>
                <w:szCs w:val="16"/>
              </w:rPr>
            </w:pPr>
          </w:p>
          <w:tbl>
            <w:tblPr>
              <w:tblW w:w="8887" w:type="dxa"/>
              <w:tblInd w:w="64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8887"/>
            </w:tblGrid>
            <w:tr>
              <w:tc>
                <w:tcPr>
                  <w:tcW w:w="8887" w:type="dxa"/>
                </w:tcPr>
                <w:p>
                  <w:pPr>
                    <w:tabs>
                      <w:tab w:val="left" w:pos="4500"/>
                      <w:tab w:val="left" w:leader="dot" w:pos="8460"/>
                    </w:tabs>
                    <w:ind w:left="540"/>
                    <w:rPr>
                      <w:b/>
                      <w:sz w:val="8"/>
                      <w:szCs w:val="8"/>
                    </w:rPr>
                  </w:pPr>
                </w:p>
                <w:p>
                  <w:pPr>
                    <w:tabs>
                      <w:tab w:val="left" w:pos="4500"/>
                      <w:tab w:val="left" w:leader="dot" w:pos="8460"/>
                    </w:tabs>
                    <w:ind w:left="540"/>
                    <w:rPr>
                      <w:b/>
                      <w:sz w:val="20"/>
                    </w:rPr>
                  </w:pPr>
                  <w:r>
                    <w:rPr>
                      <w:b/>
                      <w:sz w:val="20"/>
                    </w:rPr>
                    <w:t>Voir « Contacts utiles » pages 12 à 15</w:t>
                  </w:r>
                </w:p>
                <w:p>
                  <w:pPr>
                    <w:tabs>
                      <w:tab w:val="left" w:pos="4500"/>
                      <w:tab w:val="left" w:leader="dot" w:pos="8460"/>
                    </w:tabs>
                    <w:ind w:left="540"/>
                    <w:rPr>
                      <w:b/>
                      <w:sz w:val="8"/>
                      <w:szCs w:val="8"/>
                    </w:rPr>
                  </w:pPr>
                </w:p>
              </w:tc>
            </w:tr>
          </w:tbl>
          <w:p>
            <w:pPr>
              <w:ind w:left="284"/>
              <w:rPr>
                <w:b/>
                <w:sz w:val="16"/>
                <w:szCs w:val="16"/>
              </w:rPr>
            </w:pPr>
          </w:p>
          <w:p>
            <w:pPr>
              <w:ind w:left="284"/>
              <w:rPr>
                <w:b/>
                <w:sz w:val="20"/>
              </w:rPr>
            </w:pPr>
          </w:p>
          <w:p>
            <w:pPr>
              <w:ind w:left="284"/>
              <w:rPr>
                <w:b/>
                <w:sz w:val="20"/>
              </w:rPr>
            </w:pPr>
          </w:p>
        </w:tc>
        <w:tc>
          <w:tcPr>
            <w:tcW w:w="540" w:type="dxa"/>
            <w:vMerge/>
            <w:tcBorders>
              <w:top w:val="nil"/>
              <w:left w:val="nil"/>
              <w:bottom w:val="nil"/>
              <w:right w:val="nil"/>
            </w:tcBorders>
            <w:shd w:val="clear" w:color="auto" w:fill="auto"/>
          </w:tcPr>
          <w:p>
            <w:pPr>
              <w:tabs>
                <w:tab w:val="left" w:pos="1980"/>
                <w:tab w:val="left" w:pos="4500"/>
                <w:tab w:val="left" w:leader="dot" w:pos="8460"/>
              </w:tabs>
              <w:ind w:left="72"/>
              <w:rPr>
                <w:rFonts w:ascii="Verdana" w:hAnsi="Verdana"/>
                <w:sz w:val="18"/>
                <w:szCs w:val="18"/>
              </w:rPr>
            </w:pPr>
          </w:p>
        </w:tc>
      </w:tr>
    </w:tbl>
    <w:p>
      <w:pPr>
        <w:pStyle w:val="En-tte"/>
        <w:tabs>
          <w:tab w:val="clear" w:pos="4536"/>
          <w:tab w:val="clear" w:pos="9072"/>
        </w:tabs>
      </w:pPr>
      <w:r>
        <w:rPr>
          <w:noProof/>
          <w:lang w:val="fr-BE" w:eastAsia="fr-BE"/>
        </w:rPr>
        <w:lastRenderedPageBreak/>
        <w:drawing>
          <wp:anchor distT="0" distB="0" distL="114300" distR="114300" simplePos="0" relativeHeight="251660288" behindDoc="1" locked="0" layoutInCell="1" allowOverlap="1">
            <wp:simplePos x="0" y="0"/>
            <wp:positionH relativeFrom="column">
              <wp:posOffset>2171700</wp:posOffset>
            </wp:positionH>
            <wp:positionV relativeFrom="paragraph">
              <wp:posOffset>274955</wp:posOffset>
            </wp:positionV>
            <wp:extent cx="1823085" cy="2057400"/>
            <wp:effectExtent l="0" t="0" r="5715" b="0"/>
            <wp:wrapTight wrapText="bothSides">
              <wp:wrapPolygon edited="0">
                <wp:start x="0" y="0"/>
                <wp:lineTo x="0" y="21400"/>
                <wp:lineTo x="21442" y="21400"/>
                <wp:lineTo x="21442" y="0"/>
                <wp:lineTo x="0" y="0"/>
              </wp:wrapPolygon>
            </wp:wrapTight>
            <wp:docPr id="82" name="Image 82" descr="Logo_FWB_Verti_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Logo_FWB_Verti_Quadr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3085" cy="2057400"/>
                    </a:xfrm>
                    <a:prstGeom prst="rect">
                      <a:avLst/>
                    </a:prstGeom>
                    <a:noFill/>
                  </pic:spPr>
                </pic:pic>
              </a:graphicData>
            </a:graphic>
            <wp14:sizeRelH relativeFrom="page">
              <wp14:pctWidth>0</wp14:pctWidth>
            </wp14:sizeRelH>
            <wp14:sizeRelV relativeFrom="page">
              <wp14:pctHeight>0</wp14:pctHeight>
            </wp14:sizeRelV>
          </wp:anchor>
        </w:drawing>
      </w:r>
    </w:p>
    <w:p>
      <w:pPr>
        <w:pStyle w:val="En-tte"/>
        <w:tabs>
          <w:tab w:val="clear" w:pos="4536"/>
          <w:tab w:val="clear" w:pos="9072"/>
        </w:tabs>
      </w:pPr>
    </w:p>
    <w:p>
      <w:pPr>
        <w:autoSpaceDE w:val="0"/>
        <w:autoSpaceDN w:val="0"/>
        <w:adjustRightInd w:val="0"/>
        <w:rPr>
          <w:sz w:val="36"/>
        </w:rPr>
      </w:pPr>
    </w:p>
    <w:p>
      <w:pPr>
        <w:autoSpaceDE w:val="0"/>
        <w:autoSpaceDN w:val="0"/>
        <w:adjustRightInd w:val="0"/>
        <w:rPr>
          <w:sz w:val="36"/>
        </w:rPr>
      </w:pP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b/>
          <w:sz w:val="40"/>
          <w:szCs w:val="40"/>
        </w:rPr>
      </w:pPr>
      <w:r>
        <w:rPr>
          <w:b/>
          <w:sz w:val="40"/>
          <w:szCs w:val="40"/>
        </w:rPr>
        <w:t>ADMINISTRATION GENERALE DE L’ENSEIGNEMENT</w:t>
      </w:r>
    </w:p>
    <w:p>
      <w:pPr>
        <w:autoSpaceDE w:val="0"/>
        <w:autoSpaceDN w:val="0"/>
        <w:adjustRightInd w:val="0"/>
        <w:jc w:val="center"/>
        <w:rPr>
          <w:sz w:val="36"/>
        </w:rPr>
      </w:pPr>
    </w:p>
    <w:p>
      <w:pPr>
        <w:autoSpaceDE w:val="0"/>
        <w:autoSpaceDN w:val="0"/>
        <w:adjustRightInd w:val="0"/>
        <w:jc w:val="center"/>
        <w:rPr>
          <w:b/>
          <w:sz w:val="40"/>
          <w:szCs w:val="40"/>
        </w:rPr>
      </w:pPr>
      <w:r>
        <w:rPr>
          <w:b/>
          <w:sz w:val="40"/>
          <w:szCs w:val="40"/>
        </w:rPr>
        <w:t>DIRECTION GENERALE DE L’ENSEIGNEMENT OBLIGATOIRE</w:t>
      </w: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sz w:val="36"/>
        </w:rPr>
      </w:pPr>
    </w:p>
    <w:p>
      <w:pPr>
        <w:pBdr>
          <w:top w:val="single" w:sz="18" w:space="1" w:color="auto"/>
          <w:left w:val="single" w:sz="18" w:space="4" w:color="auto"/>
          <w:bottom w:val="single" w:sz="18" w:space="1" w:color="auto"/>
          <w:right w:val="single" w:sz="18" w:space="4" w:color="auto"/>
        </w:pBdr>
        <w:autoSpaceDE w:val="0"/>
        <w:autoSpaceDN w:val="0"/>
        <w:adjustRightInd w:val="0"/>
        <w:jc w:val="center"/>
        <w:rPr>
          <w:b/>
          <w:sz w:val="48"/>
          <w:szCs w:val="48"/>
        </w:rPr>
      </w:pPr>
      <w:r>
        <w:rPr>
          <w:b/>
          <w:sz w:val="48"/>
          <w:szCs w:val="48"/>
        </w:rPr>
        <w:t>ORGANISATION DE L’ENSEIGNEMENT MATERNEL ET PRIMAIRE ORDINAIRE</w:t>
      </w: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sz w:val="36"/>
        </w:rPr>
      </w:pPr>
    </w:p>
    <w:p>
      <w:pPr>
        <w:autoSpaceDE w:val="0"/>
        <w:autoSpaceDN w:val="0"/>
        <w:adjustRightInd w:val="0"/>
        <w:jc w:val="center"/>
        <w:rPr>
          <w:b/>
          <w:sz w:val="36"/>
        </w:rPr>
      </w:pPr>
      <w:r>
        <w:rPr>
          <w:b/>
          <w:sz w:val="36"/>
        </w:rPr>
        <w:t>CIRCULAIRE POUR L’ANNEE SCOLAIRE 2017-2018</w:t>
      </w:r>
    </w:p>
    <w:p>
      <w:pPr>
        <w:tabs>
          <w:tab w:val="left" w:pos="1134"/>
        </w:tabs>
        <w:ind w:left="-284" w:right="639"/>
      </w:pPr>
    </w:p>
    <w:p>
      <w:pPr>
        <w:tabs>
          <w:tab w:val="left" w:pos="1134"/>
        </w:tabs>
        <w:ind w:left="-284" w:right="639"/>
        <w:sectPr>
          <w:footerReference w:type="even" r:id="rId11"/>
          <w:footerReference w:type="default" r:id="rId12"/>
          <w:footerReference w:type="first" r:id="rId13"/>
          <w:pgSz w:w="11906" w:h="16838"/>
          <w:pgMar w:top="907" w:right="1134" w:bottom="360" w:left="1134" w:header="567" w:footer="567" w:gutter="0"/>
          <w:cols w:space="708"/>
          <w:titlePg/>
          <w:docGrid w:linePitch="360"/>
        </w:sectPr>
      </w:pPr>
    </w:p>
    <w:p>
      <w:pPr>
        <w:rPr>
          <w:sz w:val="32"/>
        </w:rPr>
      </w:pPr>
      <w:r>
        <w:rPr>
          <w:rFonts w:cs="Arial"/>
          <w:szCs w:val="22"/>
        </w:rPr>
        <w:t xml:space="preserve">Madame, Monsieur, </w:t>
      </w:r>
    </w:p>
    <w:p>
      <w:pPr>
        <w:spacing w:before="120"/>
        <w:jc w:val="both"/>
        <w:rPr>
          <w:rFonts w:cs="Arial"/>
          <w:szCs w:val="22"/>
        </w:rPr>
      </w:pPr>
    </w:p>
    <w:p>
      <w:pPr>
        <w:jc w:val="both"/>
        <w:rPr>
          <w:rFonts w:cs="Arial"/>
          <w:szCs w:val="22"/>
        </w:rPr>
      </w:pPr>
      <w:r>
        <w:rPr>
          <w:rFonts w:cs="Arial"/>
          <w:szCs w:val="22"/>
        </w:rPr>
        <w:t xml:space="preserve">Les </w:t>
      </w:r>
      <w:r>
        <w:rPr>
          <w:rFonts w:cs="Arial"/>
          <w:b/>
          <w:bCs/>
          <w:i/>
          <w:iCs/>
          <w:szCs w:val="22"/>
        </w:rPr>
        <w:t>principales modifications</w:t>
      </w:r>
      <w:r>
        <w:rPr>
          <w:rFonts w:cs="Arial"/>
          <w:szCs w:val="22"/>
        </w:rPr>
        <w:t xml:space="preserve">, </w:t>
      </w:r>
      <w:r>
        <w:rPr>
          <w:rFonts w:cs="Arial"/>
          <w:b/>
          <w:i/>
          <w:szCs w:val="22"/>
        </w:rPr>
        <w:t>précisions complémentaires, suppressions</w:t>
      </w:r>
      <w:r>
        <w:rPr>
          <w:rFonts w:cs="Arial"/>
          <w:szCs w:val="22"/>
        </w:rPr>
        <w:t xml:space="preserve"> ou </w:t>
      </w:r>
      <w:r>
        <w:rPr>
          <w:rFonts w:cs="Arial"/>
          <w:b/>
          <w:i/>
          <w:szCs w:val="22"/>
        </w:rPr>
        <w:t>nouveautés</w:t>
      </w:r>
      <w:r>
        <w:rPr>
          <w:rFonts w:cs="Arial"/>
          <w:szCs w:val="22"/>
        </w:rPr>
        <w:t xml:space="preserve"> sont succinctement énumérées ci-dessous :</w:t>
      </w:r>
    </w:p>
    <w:p>
      <w:pPr>
        <w:spacing w:after="120"/>
        <w:rPr>
          <w:rFonts w:cs="Arial"/>
          <w:szCs w:val="22"/>
        </w:rPr>
      </w:pPr>
    </w:p>
    <w:p>
      <w:pPr>
        <w:spacing w:after="120"/>
        <w:rPr>
          <w:rFonts w:cs="Arial"/>
          <w:b/>
          <w:i/>
          <w:szCs w:val="22"/>
          <w:u w:val="single"/>
        </w:rPr>
      </w:pPr>
      <w:r>
        <w:rPr>
          <w:rFonts w:cs="Arial"/>
          <w:b/>
          <w:i/>
          <w:szCs w:val="22"/>
          <w:u w:val="single"/>
        </w:rPr>
        <w:t xml:space="preserve">Encadrement différencié </w:t>
      </w:r>
    </w:p>
    <w:p>
      <w:pPr>
        <w:jc w:val="both"/>
        <w:rPr>
          <w:rFonts w:cs="Arial"/>
          <w:szCs w:val="22"/>
        </w:rPr>
      </w:pPr>
      <w:r>
        <w:rPr>
          <w:rFonts w:cs="Arial"/>
          <w:szCs w:val="22"/>
        </w:rPr>
        <w:t xml:space="preserve">Cette problématique a été retirée des chapitres 3.2. (encadrement primaire) et 3.4. (encadrement maternel) et fait l’objet de la </w:t>
      </w:r>
      <w:hyperlink r:id="rId14" w:history="1">
        <w:r>
          <w:rPr>
            <w:rStyle w:val="Lienhypertexte"/>
            <w:rFonts w:cs="Arial"/>
            <w:color w:val="auto"/>
            <w:szCs w:val="22"/>
          </w:rPr>
          <w:t>circulaire n° 6224 du 13 juin 2017</w:t>
        </w:r>
      </w:hyperlink>
      <w:r>
        <w:rPr>
          <w:rFonts w:cs="Arial"/>
          <w:szCs w:val="22"/>
        </w:rPr>
        <w:t>.</w:t>
      </w:r>
    </w:p>
    <w:p>
      <w:pPr>
        <w:spacing w:after="120"/>
        <w:rPr>
          <w:rFonts w:cs="Arial"/>
          <w:szCs w:val="22"/>
        </w:rPr>
      </w:pPr>
    </w:p>
    <w:p>
      <w:pPr>
        <w:rPr>
          <w:rFonts w:cs="Arial"/>
          <w:b/>
          <w:i/>
          <w:szCs w:val="22"/>
          <w:u w:val="single"/>
        </w:rPr>
      </w:pPr>
      <w:r>
        <w:rPr>
          <w:rFonts w:cs="Arial"/>
          <w:b/>
          <w:i/>
          <w:szCs w:val="22"/>
          <w:u w:val="single"/>
        </w:rPr>
        <w:t>Classes de dépaysement et de découverte et activités extérieures</w:t>
      </w:r>
    </w:p>
    <w:p>
      <w:pPr>
        <w:spacing w:before="120"/>
        <w:jc w:val="both"/>
        <w:rPr>
          <w:rFonts w:cs="Arial"/>
          <w:szCs w:val="22"/>
        </w:rPr>
      </w:pPr>
      <w:r>
        <w:rPr>
          <w:rFonts w:cs="Arial"/>
          <w:szCs w:val="22"/>
        </w:rPr>
        <w:t xml:space="preserve">Cette matière est supprimée de la présente circulaire et fera l’objet d’une circulaire spécifique. </w:t>
      </w:r>
    </w:p>
    <w:p>
      <w:pPr>
        <w:spacing w:after="120"/>
        <w:rPr>
          <w:rFonts w:cs="Arial"/>
          <w:szCs w:val="22"/>
        </w:rPr>
      </w:pPr>
    </w:p>
    <w:p>
      <w:pPr>
        <w:spacing w:after="120"/>
        <w:rPr>
          <w:rFonts w:cs="Arial"/>
          <w:b/>
          <w:i/>
          <w:szCs w:val="22"/>
          <w:u w:val="single"/>
        </w:rPr>
      </w:pPr>
      <w:r>
        <w:rPr>
          <w:rFonts w:cs="Arial"/>
          <w:b/>
          <w:i/>
          <w:szCs w:val="22"/>
          <w:u w:val="single"/>
        </w:rPr>
        <w:t xml:space="preserve">Chapitre 2.3. Dérogations d’âge </w:t>
      </w:r>
    </w:p>
    <w:p>
      <w:pPr>
        <w:spacing w:after="120"/>
        <w:jc w:val="both"/>
        <w:rPr>
          <w:rFonts w:cs="Arial"/>
          <w:szCs w:val="22"/>
        </w:rPr>
      </w:pPr>
      <w:r>
        <w:rPr>
          <w:rFonts w:cs="Arial"/>
          <w:szCs w:val="22"/>
        </w:rPr>
        <w:t>En sa séance du 8 mars 2017, le Gouvernement de la Communauté française a approuvé un arrêté fixant les modalités pour les remises d’avis et les autorisations visées aux paragraphes 4 et 4 bis de l’article 1</w:t>
      </w:r>
      <w:r>
        <w:rPr>
          <w:rFonts w:cs="Arial"/>
          <w:szCs w:val="22"/>
          <w:vertAlign w:val="superscript"/>
        </w:rPr>
        <w:t>er</w:t>
      </w:r>
      <w:r>
        <w:rPr>
          <w:rFonts w:cs="Arial"/>
          <w:szCs w:val="22"/>
        </w:rPr>
        <w:t xml:space="preserve"> de la loi du 29 juin 1983 concernant l’obligation scolaire. Cet arrêté abroge l’arrêté du Gouvernement de la Communauté française du 18 mai 1999.</w:t>
      </w:r>
    </w:p>
    <w:p>
      <w:pPr>
        <w:spacing w:before="120" w:after="120"/>
        <w:jc w:val="both"/>
        <w:rPr>
          <w:rFonts w:cs="Arial"/>
          <w:szCs w:val="22"/>
        </w:rPr>
      </w:pPr>
      <w:r>
        <w:rPr>
          <w:rFonts w:cs="Arial"/>
          <w:szCs w:val="22"/>
        </w:rPr>
        <w:t>La procédure à suivre concernant les maintiens en 3</w:t>
      </w:r>
      <w:r>
        <w:rPr>
          <w:rFonts w:cs="Arial"/>
          <w:szCs w:val="22"/>
          <w:vertAlign w:val="superscript"/>
        </w:rPr>
        <w:t>e</w:t>
      </w:r>
      <w:r>
        <w:rPr>
          <w:rFonts w:cs="Arial"/>
          <w:szCs w:val="22"/>
        </w:rPr>
        <w:t xml:space="preserve"> maternelle a été entièrement revue et est désormais du ressort du Service de l’Inspection de l’Enseignement fondamental ordinaire.</w:t>
      </w:r>
    </w:p>
    <w:p>
      <w:pPr>
        <w:spacing w:before="120" w:after="120"/>
        <w:jc w:val="both"/>
        <w:rPr>
          <w:rFonts w:cs="Arial"/>
          <w:szCs w:val="22"/>
        </w:rPr>
      </w:pPr>
      <w:r>
        <w:rPr>
          <w:rFonts w:cs="Arial"/>
          <w:szCs w:val="22"/>
        </w:rPr>
        <w:t>La demande de maintien en 3</w:t>
      </w:r>
      <w:r>
        <w:rPr>
          <w:rFonts w:cs="Arial"/>
          <w:szCs w:val="22"/>
          <w:vertAlign w:val="superscript"/>
        </w:rPr>
        <w:t>e</w:t>
      </w:r>
      <w:r>
        <w:rPr>
          <w:rFonts w:cs="Arial"/>
          <w:szCs w:val="22"/>
        </w:rPr>
        <w:t xml:space="preserve"> maternelle repose sur une demande des parents qui devra être attestée du caractère exceptionnel par un spécialiste (logopède, otorhino-laryngologie, neurologue, psychiatre, neuropsychiatre, neuropsychologue, neuropédiatre ou pédiatre). Cette demande devant être accompagnée des avis favorables et motivés de la direction d’école (que fréquente l’enfant durant l’année scolaire qui précède celle pour laquelle l’avis est requis), de l’avis du centre Psycho médical compétent et des services de l’inspection. </w:t>
      </w:r>
    </w:p>
    <w:p>
      <w:pPr>
        <w:autoSpaceDE w:val="0"/>
        <w:autoSpaceDN w:val="0"/>
        <w:adjustRightInd w:val="0"/>
        <w:jc w:val="both"/>
        <w:rPr>
          <w:rFonts w:cs="Arial"/>
          <w:szCs w:val="22"/>
        </w:rPr>
      </w:pPr>
      <w:r>
        <w:rPr>
          <w:rFonts w:cs="Arial"/>
          <w:szCs w:val="22"/>
        </w:rPr>
        <w:t xml:space="preserve">L’avis de la direction d’école et des CPMS permettra la prise en compte d’un résultat élaboré des avis de tous les membres de l’équipe éducative de l’établissement. L’avis à émettre par le chef d’établissement devra obligatoirement, lui, être accompagné, à minima, d’un plan différencié d’apprentissage. </w:t>
      </w:r>
    </w:p>
    <w:p>
      <w:pPr>
        <w:spacing w:before="120" w:after="120"/>
        <w:jc w:val="both"/>
        <w:rPr>
          <w:rFonts w:cs="Arial"/>
          <w:szCs w:val="22"/>
        </w:rPr>
      </w:pPr>
      <w:r>
        <w:rPr>
          <w:rFonts w:cs="Arial"/>
          <w:szCs w:val="22"/>
        </w:rPr>
        <w:t xml:space="preserve">Toute demande de maintien doit être introduite auprès du Service de l’Inspection </w:t>
      </w:r>
      <w:r>
        <w:rPr>
          <w:rFonts w:cs="Arial"/>
          <w:b/>
          <w:szCs w:val="22"/>
          <w:u w:val="single"/>
        </w:rPr>
        <w:t>avant le 30 mai de l’année scolaire en cours</w:t>
      </w:r>
      <w:r>
        <w:rPr>
          <w:rFonts w:cs="Arial"/>
          <w:szCs w:val="22"/>
        </w:rPr>
        <w:t xml:space="preserve">, par la direction de l’école où les parents souhaitent maintenir leur enfant. </w:t>
      </w:r>
    </w:p>
    <w:p>
      <w:pPr>
        <w:spacing w:before="120" w:after="120"/>
        <w:jc w:val="both"/>
        <w:rPr>
          <w:rFonts w:cs="Arial"/>
          <w:szCs w:val="22"/>
        </w:rPr>
      </w:pPr>
      <w:r>
        <w:rPr>
          <w:rFonts w:cs="Arial"/>
          <w:szCs w:val="22"/>
        </w:rPr>
        <w:t>Une Chambre de recours, dont les associations de parents font partie, est également mise en place.</w:t>
      </w:r>
    </w:p>
    <w:p>
      <w:pPr>
        <w:jc w:val="both"/>
        <w:rPr>
          <w:rFonts w:cs="Arial"/>
          <w:szCs w:val="22"/>
        </w:rPr>
      </w:pPr>
      <w:r>
        <w:rPr>
          <w:rFonts w:cs="Arial"/>
          <w:szCs w:val="22"/>
        </w:rPr>
        <w:t>La procédure à suivre pour les avancements en 1</w:t>
      </w:r>
      <w:r>
        <w:rPr>
          <w:rFonts w:cs="Arial"/>
          <w:szCs w:val="22"/>
          <w:vertAlign w:val="superscript"/>
        </w:rPr>
        <w:t>ère</w:t>
      </w:r>
      <w:r>
        <w:rPr>
          <w:rFonts w:cs="Arial"/>
          <w:szCs w:val="22"/>
        </w:rPr>
        <w:t xml:space="preserve"> primaire et les maintiens en primaire (P8 et P9) n’est quant à elle pas modifiée. </w:t>
      </w:r>
    </w:p>
    <w:p>
      <w:pPr>
        <w:jc w:val="both"/>
        <w:rPr>
          <w:rFonts w:cs="Arial"/>
          <w:szCs w:val="22"/>
        </w:rPr>
      </w:pPr>
    </w:p>
    <w:p>
      <w:pPr>
        <w:jc w:val="right"/>
        <w:rPr>
          <w:rFonts w:cs="Arial"/>
          <w:i/>
          <w:szCs w:val="22"/>
          <w:u w:val="single"/>
        </w:rPr>
      </w:pPr>
      <w:r>
        <w:rPr>
          <w:rFonts w:cs="Arial"/>
          <w:i/>
          <w:szCs w:val="22"/>
        </w:rPr>
        <w:t>***</w:t>
      </w:r>
      <w:r>
        <w:rPr>
          <w:rFonts w:cs="Arial"/>
          <w:szCs w:val="22"/>
        </w:rPr>
        <w:t xml:space="preserve"> </w:t>
      </w:r>
      <w:hyperlink w:anchor="chapitre2_3" w:history="1">
        <w:r>
          <w:rPr>
            <w:rStyle w:val="Lienhypertexte"/>
            <w:rFonts w:cs="Arial"/>
            <w:i/>
            <w:color w:val="auto"/>
            <w:szCs w:val="22"/>
          </w:rPr>
          <w:t xml:space="preserve">Voir page </w:t>
        </w:r>
      </w:hyperlink>
      <w:r>
        <w:rPr>
          <w:rStyle w:val="Lienhypertexte"/>
          <w:rFonts w:cs="Arial"/>
          <w:i/>
          <w:color w:val="auto"/>
          <w:szCs w:val="22"/>
        </w:rPr>
        <w:t>34</w:t>
      </w:r>
    </w:p>
    <w:p>
      <w:pPr>
        <w:spacing w:after="120"/>
        <w:jc w:val="right"/>
      </w:pPr>
    </w:p>
    <w:p>
      <w:pPr>
        <w:jc w:val="both"/>
        <w:rPr>
          <w:rFonts w:cs="Arial"/>
          <w:b/>
          <w:i/>
          <w:szCs w:val="22"/>
          <w:u w:val="single"/>
        </w:rPr>
      </w:pPr>
      <w:r>
        <w:rPr>
          <w:rFonts w:cs="Arial"/>
          <w:b/>
          <w:i/>
          <w:szCs w:val="22"/>
          <w:u w:val="single"/>
        </w:rPr>
        <w:t xml:space="preserve">Section 3.1.4. Densité de population </w:t>
      </w:r>
    </w:p>
    <w:p>
      <w:pPr>
        <w:spacing w:before="120"/>
        <w:jc w:val="both"/>
      </w:pPr>
      <w:r>
        <w:t>A partir de l’année scolaire 2017-2018, la densité de population à prendre en considération, pour les normes de rationalisation et de programmation, est celle du 1</w:t>
      </w:r>
      <w:r>
        <w:rPr>
          <w:vertAlign w:val="superscript"/>
        </w:rPr>
        <w:t>er</w:t>
      </w:r>
      <w:r>
        <w:t xml:space="preserve"> janvier 2015. Elle est fixée pour une période de 5 années scolaires, soit jusqu’à l’année scolaire 2021-2022 incluse.</w:t>
      </w:r>
    </w:p>
    <w:p>
      <w:pPr>
        <w:jc w:val="both"/>
      </w:pPr>
    </w:p>
    <w:p>
      <w:pPr>
        <w:spacing w:after="120"/>
        <w:jc w:val="right"/>
      </w:pPr>
      <w:r>
        <w:rPr>
          <w:rFonts w:cs="Arial"/>
          <w:i/>
          <w:szCs w:val="22"/>
        </w:rPr>
        <w:t>***</w:t>
      </w:r>
      <w:r>
        <w:rPr>
          <w:rFonts w:cs="Arial"/>
          <w:szCs w:val="22"/>
        </w:rPr>
        <w:t xml:space="preserve"> </w:t>
      </w:r>
      <w:hyperlink w:anchor="section3_1_4" w:history="1">
        <w:r>
          <w:rPr>
            <w:rStyle w:val="Lienhypertexte"/>
            <w:rFonts w:cs="Arial"/>
            <w:i/>
            <w:color w:val="auto"/>
            <w:szCs w:val="22"/>
          </w:rPr>
          <w:t>Voir page 87</w:t>
        </w:r>
      </w:hyperlink>
    </w:p>
    <w:p>
      <w:pPr>
        <w:spacing w:after="120"/>
        <w:jc w:val="right"/>
      </w:pPr>
    </w:p>
    <w:p>
      <w:pPr>
        <w:spacing w:after="120"/>
        <w:jc w:val="right"/>
      </w:pPr>
    </w:p>
    <w:p>
      <w:pPr>
        <w:spacing w:after="120"/>
        <w:jc w:val="right"/>
      </w:pPr>
    </w:p>
    <w:p>
      <w:pPr>
        <w:spacing w:after="120"/>
        <w:jc w:val="right"/>
      </w:pPr>
    </w:p>
    <w:p>
      <w:pPr>
        <w:spacing w:after="120"/>
        <w:rPr>
          <w:rFonts w:cs="Arial"/>
          <w:b/>
          <w:i/>
          <w:szCs w:val="22"/>
          <w:u w:val="single"/>
        </w:rPr>
      </w:pPr>
      <w:r>
        <w:rPr>
          <w:rFonts w:cs="Arial"/>
          <w:b/>
          <w:i/>
          <w:szCs w:val="22"/>
          <w:u w:val="single"/>
        </w:rPr>
        <w:t>Section 3.2.9. Cours de morale non confessionnelle, de religion, et de philosophie et de citoyenneté (encadrement)</w:t>
      </w:r>
    </w:p>
    <w:p>
      <w:pPr>
        <w:jc w:val="both"/>
        <w:rPr>
          <w:rFonts w:cs="Arial"/>
          <w:szCs w:val="22"/>
        </w:rPr>
      </w:pPr>
      <w:r>
        <w:rPr>
          <w:rFonts w:cs="Arial"/>
          <w:szCs w:val="22"/>
        </w:rPr>
        <w:t>Sur base des expériences vécues sur le terrain lors de la première année de mise en œuvre du cours de philosophie et de citoyenneté, le Gouvernement a prévu certaines adaptations. Une circulaire spécifique à paraître informera des adaptations en matière d’octroi et d’utilisation des périodes supplémentaires destinées à maintenir l’emploi des maitres de religion et de morale non confessionnelle, définitifs, temporaires prioritaires et stagiaires, en perte de charge par rapport à leurs attributions au 30/06/2016, ainsi que la nouvelle disposition en matière d’octroi de périodes en vue de permettre aux membres du personnel concernés de suivre le certificat en didactique du cours de philosophie et de citoyenneté. Cette circulaire remplacera la circulaire n° 5822 et complètera la circulaire n° 5821 du 20/07/2016.</w:t>
      </w:r>
    </w:p>
    <w:p>
      <w:pPr>
        <w:jc w:val="both"/>
        <w:rPr>
          <w:rFonts w:cs="Arial"/>
          <w:szCs w:val="22"/>
        </w:rPr>
      </w:pPr>
    </w:p>
    <w:p>
      <w:pPr>
        <w:jc w:val="right"/>
        <w:rPr>
          <w:rStyle w:val="Lienhypertexte"/>
          <w:rFonts w:cs="Arial"/>
          <w:i/>
          <w:color w:val="auto"/>
          <w:szCs w:val="22"/>
        </w:rPr>
      </w:pPr>
      <w:r>
        <w:rPr>
          <w:rFonts w:cs="Arial"/>
          <w:i/>
          <w:szCs w:val="22"/>
        </w:rPr>
        <w:t xml:space="preserve">*** </w:t>
      </w:r>
      <w:hyperlink w:anchor="section3_2_9" w:history="1">
        <w:r>
          <w:rPr>
            <w:rStyle w:val="Lienhypertexte"/>
            <w:rFonts w:cs="Arial"/>
            <w:i/>
            <w:color w:val="auto"/>
            <w:szCs w:val="22"/>
          </w:rPr>
          <w:t xml:space="preserve">Voir page </w:t>
        </w:r>
      </w:hyperlink>
      <w:r>
        <w:rPr>
          <w:rStyle w:val="Lienhypertexte"/>
          <w:rFonts w:cs="Arial"/>
          <w:i/>
          <w:color w:val="auto"/>
          <w:szCs w:val="22"/>
        </w:rPr>
        <w:t>105</w:t>
      </w:r>
    </w:p>
    <w:p>
      <w:pPr>
        <w:spacing w:after="120"/>
        <w:jc w:val="both"/>
        <w:rPr>
          <w:rFonts w:cs="Arial"/>
          <w:szCs w:val="22"/>
        </w:rPr>
      </w:pPr>
    </w:p>
    <w:p>
      <w:pPr>
        <w:spacing w:after="120"/>
        <w:jc w:val="both"/>
        <w:rPr>
          <w:rFonts w:cs="Arial"/>
          <w:b/>
          <w:i/>
          <w:szCs w:val="22"/>
          <w:u w:val="single"/>
        </w:rPr>
      </w:pPr>
      <w:r>
        <w:rPr>
          <w:rFonts w:cs="Arial"/>
          <w:b/>
          <w:i/>
          <w:szCs w:val="22"/>
          <w:u w:val="single"/>
        </w:rPr>
        <w:t>Section 3.2.10. Mesure permettant la création de nouvelle(s) classe(s) au niveau primaire au 1</w:t>
      </w:r>
      <w:r>
        <w:rPr>
          <w:rFonts w:cs="Arial"/>
          <w:b/>
          <w:i/>
          <w:szCs w:val="22"/>
          <w:u w:val="single"/>
          <w:vertAlign w:val="superscript"/>
        </w:rPr>
        <w:t>er</w:t>
      </w:r>
      <w:r>
        <w:rPr>
          <w:rFonts w:cs="Arial"/>
          <w:b/>
          <w:i/>
          <w:szCs w:val="22"/>
          <w:u w:val="single"/>
        </w:rPr>
        <w:t xml:space="preserve"> septembre 2017</w:t>
      </w:r>
    </w:p>
    <w:p>
      <w:pPr>
        <w:spacing w:after="120"/>
        <w:jc w:val="both"/>
        <w:rPr>
          <w:rFonts w:cs="Arial"/>
          <w:b/>
          <w:i/>
          <w:szCs w:val="22"/>
          <w:u w:val="single"/>
        </w:rPr>
      </w:pPr>
      <w:r>
        <w:rPr>
          <w:rFonts w:cs="Arial"/>
          <w:b/>
          <w:i/>
          <w:szCs w:val="22"/>
          <w:u w:val="single"/>
        </w:rPr>
        <w:t>Section 3.4.6. Adaptation de l’encadrement maternel du mois de septembre</w:t>
      </w:r>
    </w:p>
    <w:p>
      <w:pPr>
        <w:spacing w:after="120"/>
        <w:jc w:val="both"/>
        <w:rPr>
          <w:rFonts w:cs="Arial"/>
          <w:szCs w:val="22"/>
        </w:rPr>
      </w:pPr>
      <w:r>
        <w:rPr>
          <w:rFonts w:cs="Arial"/>
          <w:szCs w:val="22"/>
        </w:rPr>
        <w:t>La liste des communes à tension démographique (</w:t>
      </w:r>
      <w:hyperlink w:anchor="annexe3_4_5" w:history="1">
        <w:r>
          <w:rPr>
            <w:rStyle w:val="Lienhypertexte"/>
            <w:rFonts w:cs="Arial"/>
            <w:color w:val="auto"/>
            <w:szCs w:val="22"/>
          </w:rPr>
          <w:t>annexe 3.4.5</w:t>
        </w:r>
      </w:hyperlink>
      <w:r>
        <w:rPr>
          <w:rFonts w:cs="Arial"/>
          <w:szCs w:val="22"/>
        </w:rPr>
        <w:t xml:space="preserve">) a été mise à jour conformément à la </w:t>
      </w:r>
      <w:hyperlink r:id="rId15" w:history="1">
        <w:r>
          <w:rPr>
            <w:rStyle w:val="Lienhypertexte"/>
            <w:rFonts w:cs="Arial"/>
            <w:color w:val="auto"/>
            <w:szCs w:val="22"/>
          </w:rPr>
          <w:t>circulaire n° 6156 du 27/04/2017</w:t>
        </w:r>
      </w:hyperlink>
      <w:r>
        <w:rPr>
          <w:rFonts w:cs="Arial"/>
          <w:szCs w:val="22"/>
        </w:rPr>
        <w:t xml:space="preserve">. </w:t>
      </w:r>
    </w:p>
    <w:p>
      <w:pPr>
        <w:jc w:val="both"/>
        <w:rPr>
          <w:rFonts w:cs="Arial"/>
          <w:szCs w:val="22"/>
        </w:rPr>
      </w:pPr>
      <w:r>
        <w:rPr>
          <w:rFonts w:cs="Arial"/>
          <w:szCs w:val="22"/>
        </w:rPr>
        <w:t xml:space="preserve">Seules les écoles localisées dans une de ces communes peuvent solliciter une adaptation de l’encadrement maternel et/ou primaire dès le mois de septembre. </w:t>
      </w:r>
    </w:p>
    <w:p>
      <w:pPr>
        <w:jc w:val="both"/>
        <w:rPr>
          <w:rFonts w:cs="Arial"/>
          <w:szCs w:val="22"/>
        </w:rPr>
      </w:pPr>
    </w:p>
    <w:p>
      <w:pPr>
        <w:jc w:val="right"/>
        <w:rPr>
          <w:rFonts w:cs="Arial"/>
          <w:i/>
          <w:szCs w:val="22"/>
          <w:u w:val="single"/>
        </w:rPr>
      </w:pPr>
      <w:r>
        <w:rPr>
          <w:rFonts w:cs="Arial"/>
          <w:i/>
          <w:szCs w:val="22"/>
        </w:rPr>
        <w:t>***</w:t>
      </w:r>
      <w:r>
        <w:rPr>
          <w:rFonts w:cs="Arial"/>
          <w:szCs w:val="22"/>
        </w:rPr>
        <w:t xml:space="preserve"> </w:t>
      </w:r>
      <w:hyperlink w:anchor="Section3_2_11" w:history="1">
        <w:r>
          <w:rPr>
            <w:rStyle w:val="Lienhypertexte"/>
            <w:rFonts w:cs="Arial"/>
            <w:i/>
            <w:color w:val="auto"/>
            <w:szCs w:val="22"/>
          </w:rPr>
          <w:t xml:space="preserve">Voir page </w:t>
        </w:r>
      </w:hyperlink>
      <w:r>
        <w:rPr>
          <w:rStyle w:val="Lienhypertexte"/>
          <w:rFonts w:cs="Arial"/>
          <w:i/>
          <w:color w:val="auto"/>
          <w:szCs w:val="22"/>
        </w:rPr>
        <w:t>106</w:t>
      </w:r>
    </w:p>
    <w:p>
      <w:pPr>
        <w:jc w:val="right"/>
        <w:rPr>
          <w:rFonts w:cs="Arial"/>
          <w:i/>
          <w:szCs w:val="22"/>
          <w:u w:val="single"/>
        </w:rPr>
      </w:pPr>
      <w:r>
        <w:rPr>
          <w:rFonts w:cs="Arial"/>
          <w:i/>
          <w:szCs w:val="22"/>
        </w:rPr>
        <w:t>***</w:t>
      </w:r>
      <w:r>
        <w:rPr>
          <w:rFonts w:cs="Arial"/>
          <w:szCs w:val="22"/>
        </w:rPr>
        <w:t xml:space="preserve"> </w:t>
      </w:r>
      <w:hyperlink w:anchor="Section3_4_7" w:history="1">
        <w:r>
          <w:rPr>
            <w:rStyle w:val="Lienhypertexte"/>
            <w:rFonts w:cs="Arial"/>
            <w:i/>
            <w:color w:val="auto"/>
            <w:szCs w:val="22"/>
          </w:rPr>
          <w:t>Voir page 122</w:t>
        </w:r>
      </w:hyperlink>
    </w:p>
    <w:p>
      <w:pPr>
        <w:spacing w:after="120"/>
        <w:rPr>
          <w:szCs w:val="22"/>
        </w:rPr>
      </w:pPr>
    </w:p>
    <w:p>
      <w:pPr>
        <w:spacing w:before="120" w:after="120"/>
        <w:jc w:val="both"/>
        <w:rPr>
          <w:b/>
          <w:i/>
          <w:u w:val="single"/>
        </w:rPr>
      </w:pPr>
      <w:r>
        <w:rPr>
          <w:b/>
          <w:i/>
          <w:u w:val="single"/>
        </w:rPr>
        <w:t>Section 3.4.1. Emplois d’instituteur maternel</w:t>
      </w:r>
    </w:p>
    <w:p>
      <w:pPr>
        <w:jc w:val="both"/>
      </w:pPr>
      <w:r>
        <w:t>Le tableau récapitulatif du nombre d’emplois créés ou subventionnés dans l’enseignement maternel, est modifié et d’application dès le 1</w:t>
      </w:r>
      <w:r>
        <w:rPr>
          <w:vertAlign w:val="superscript"/>
        </w:rPr>
        <w:t>er</w:t>
      </w:r>
      <w:r>
        <w:t xml:space="preserve"> septembre 2017. </w:t>
      </w:r>
    </w:p>
    <w:p>
      <w:pPr>
        <w:spacing w:before="120"/>
        <w:jc w:val="both"/>
      </w:pPr>
      <w:r>
        <w:t xml:space="preserve">La progression par palier a été revue de façon linéaire. A partir de 35 élèves, le ratio enseignants-enfants est revu à la hausse en faveur de l’encadrement en personnel enseignant. </w:t>
      </w:r>
    </w:p>
    <w:p>
      <w:pPr>
        <w:spacing w:before="120"/>
        <w:jc w:val="both"/>
        <w:rPr>
          <w:rFonts w:cs="Arial"/>
          <w:iCs/>
          <w:lang w:eastAsia="fr-BE"/>
        </w:rPr>
      </w:pPr>
      <w:r>
        <w:rPr>
          <w:rFonts w:cs="Arial"/>
          <w:iCs/>
          <w:lang w:eastAsia="fr-BE"/>
        </w:rPr>
        <w:t xml:space="preserve">Ce tableau est néanmoins d’application </w:t>
      </w:r>
      <w:r>
        <w:rPr>
          <w:rFonts w:cs="Arial"/>
          <w:iCs/>
          <w:u w:val="single"/>
          <w:lang w:eastAsia="fr-BE"/>
        </w:rPr>
        <w:t>sous réserve</w:t>
      </w:r>
      <w:r>
        <w:rPr>
          <w:rFonts w:cs="Arial"/>
          <w:iCs/>
          <w:lang w:eastAsia="fr-BE"/>
        </w:rPr>
        <w:t xml:space="preserve"> de l’approbation par le Parlement de la proposition de décret relatif à l’encadrement dans l’enseignement maternel. </w:t>
      </w:r>
    </w:p>
    <w:p>
      <w:pPr>
        <w:jc w:val="both"/>
      </w:pPr>
    </w:p>
    <w:p>
      <w:pPr>
        <w:ind w:left="6373" w:firstLine="709"/>
        <w:jc w:val="right"/>
        <w:rPr>
          <w:szCs w:val="22"/>
        </w:rPr>
      </w:pPr>
      <w:r>
        <w:rPr>
          <w:i/>
        </w:rPr>
        <w:t>***</w:t>
      </w:r>
      <w:r>
        <w:rPr>
          <w:i/>
          <w:u w:val="single"/>
        </w:rPr>
        <w:t xml:space="preserve"> </w:t>
      </w:r>
      <w:hyperlink w:anchor="Tableau3_4_1" w:history="1">
        <w:r>
          <w:rPr>
            <w:rStyle w:val="Lienhypertexte"/>
            <w:i/>
            <w:color w:val="auto"/>
          </w:rPr>
          <w:t xml:space="preserve">Voir page </w:t>
        </w:r>
      </w:hyperlink>
      <w:r>
        <w:rPr>
          <w:rStyle w:val="Lienhypertexte"/>
          <w:i/>
          <w:color w:val="auto"/>
        </w:rPr>
        <w:t>119</w:t>
      </w:r>
    </w:p>
    <w:p>
      <w:pPr>
        <w:spacing w:after="120"/>
        <w:rPr>
          <w:szCs w:val="22"/>
        </w:rPr>
      </w:pPr>
    </w:p>
    <w:p>
      <w:pPr>
        <w:spacing w:before="120" w:after="120"/>
        <w:rPr>
          <w:b/>
          <w:i/>
          <w:szCs w:val="22"/>
          <w:u w:val="single"/>
        </w:rPr>
      </w:pPr>
      <w:r>
        <w:rPr>
          <w:b/>
          <w:i/>
          <w:szCs w:val="22"/>
          <w:u w:val="single"/>
        </w:rPr>
        <w:t>Section 3.4.5. Périodes de psychomotricité</w:t>
      </w:r>
    </w:p>
    <w:p>
      <w:pPr>
        <w:spacing w:before="120" w:after="120"/>
        <w:jc w:val="both"/>
      </w:pPr>
      <w:r>
        <w:t>La répartition des postes ACS/APE décidée en commissions zonales d’affectation des emplois en 2016-2017 est reconduite pour l’année scolaire 2017-2018.</w:t>
      </w:r>
    </w:p>
    <w:p>
      <w:pPr>
        <w:spacing w:before="120" w:after="120"/>
        <w:jc w:val="both"/>
      </w:pPr>
      <w:r>
        <w:t xml:space="preserve">Le nombre de périodes organiques est obtenu en soustrayant le nombre de périodes ACS/APE attribuées par les commissions zonales, du nombre total de périodes de psychomotricité générées par les emplois </w:t>
      </w:r>
      <w:r>
        <w:rPr>
          <w:u w:val="single"/>
        </w:rPr>
        <w:t>entiers</w:t>
      </w:r>
      <w:r>
        <w:t xml:space="preserve"> d’instituteur maternel.</w:t>
      </w:r>
    </w:p>
    <w:p>
      <w:pPr>
        <w:spacing w:before="120"/>
        <w:jc w:val="both"/>
      </w:pPr>
      <w:r>
        <w:t>A titre tout à fait exceptionnel et afin d’éviter la mise en disponibilité de maîtres de psychomotricité nommés à titre définitif suite aux ajustements opérés au 1</w:t>
      </w:r>
      <w:r>
        <w:rPr>
          <w:vertAlign w:val="superscript"/>
        </w:rPr>
        <w:t>er</w:t>
      </w:r>
      <w:r>
        <w:t xml:space="preserve"> octobre 2017, le pouvoir organisateur pour les réseaux subventionnés ou le préfet/directeur coordonnateur de zone pour le réseau organisé par la FWB, pourra introduire une demande de périodes supplémentaires. </w:t>
      </w:r>
    </w:p>
    <w:p>
      <w:pPr>
        <w:spacing w:after="120"/>
        <w:jc w:val="both"/>
      </w:pPr>
    </w:p>
    <w:p>
      <w:pPr>
        <w:jc w:val="right"/>
        <w:rPr>
          <w:rStyle w:val="Lienhypertexte"/>
          <w:i/>
          <w:color w:val="auto"/>
          <w:szCs w:val="22"/>
        </w:rPr>
      </w:pPr>
      <w:r>
        <w:rPr>
          <w:szCs w:val="22"/>
        </w:rPr>
        <w:t>***</w:t>
      </w:r>
      <w:r>
        <w:rPr>
          <w:i/>
          <w:szCs w:val="22"/>
        </w:rPr>
        <w:t xml:space="preserve"> </w:t>
      </w:r>
      <w:hyperlink w:anchor="Section3_4_5" w:history="1">
        <w:r>
          <w:rPr>
            <w:rStyle w:val="Lienhypertexte"/>
            <w:i/>
            <w:color w:val="auto"/>
            <w:szCs w:val="22"/>
          </w:rPr>
          <w:t xml:space="preserve">Voir page </w:t>
        </w:r>
      </w:hyperlink>
      <w:r>
        <w:rPr>
          <w:rStyle w:val="Lienhypertexte"/>
          <w:i/>
          <w:color w:val="auto"/>
          <w:szCs w:val="22"/>
        </w:rPr>
        <w:t>121</w:t>
      </w:r>
    </w:p>
    <w:p>
      <w:pPr>
        <w:jc w:val="both"/>
        <w:rPr>
          <w:rFonts w:cs="Arial"/>
          <w:szCs w:val="22"/>
        </w:rPr>
      </w:pPr>
    </w:p>
    <w:p>
      <w:pPr>
        <w:jc w:val="both"/>
        <w:rPr>
          <w:rFonts w:cs="Arial"/>
          <w:szCs w:val="22"/>
        </w:rPr>
      </w:pPr>
    </w:p>
    <w:p>
      <w:pPr>
        <w:jc w:val="both"/>
        <w:rPr>
          <w:rFonts w:cs="Arial"/>
          <w:szCs w:val="22"/>
        </w:rPr>
      </w:pPr>
    </w:p>
    <w:p>
      <w:pPr>
        <w:jc w:val="both"/>
        <w:rPr>
          <w:rFonts w:cs="Arial"/>
          <w:b/>
          <w:i/>
          <w:szCs w:val="22"/>
          <w:u w:val="single"/>
        </w:rPr>
      </w:pPr>
      <w:r>
        <w:rPr>
          <w:rFonts w:cs="Arial"/>
          <w:b/>
          <w:i/>
          <w:szCs w:val="22"/>
          <w:u w:val="single"/>
        </w:rPr>
        <w:t>Chapitre 4.3. Cours de morale non confessionnelle, de religion, et de philosophie et de citoyenneté (formulaire de choix)</w:t>
      </w:r>
    </w:p>
    <w:p>
      <w:pPr>
        <w:numPr>
          <w:ilvl w:val="12"/>
          <w:numId w:val="0"/>
        </w:numPr>
        <w:spacing w:before="120"/>
        <w:jc w:val="both"/>
      </w:pPr>
      <w:r>
        <w:t>Le choix du cours philosophique ne peut être modifié que durant le mois de mai</w:t>
      </w:r>
      <w:r>
        <w:rPr>
          <w:rStyle w:val="Appelnotedebasdep"/>
        </w:rPr>
        <w:footnoteReference w:id="1"/>
      </w:r>
      <w:r>
        <w:t>, seulement et uniquement en vue de l’année scolaire suivante.</w:t>
      </w:r>
    </w:p>
    <w:p>
      <w:pPr>
        <w:spacing w:before="120"/>
        <w:jc w:val="both"/>
      </w:pPr>
      <w:r>
        <w:rPr>
          <w:szCs w:val="22"/>
        </w:rPr>
        <w:t>Le formulaire de choix (</w:t>
      </w:r>
      <w:hyperlink w:anchor="Annexe_43" w:history="1">
        <w:r>
          <w:rPr>
            <w:rStyle w:val="Lienhypertexte"/>
            <w:color w:val="auto"/>
          </w:rPr>
          <w:t>annexe 4.3.</w:t>
        </w:r>
      </w:hyperlink>
      <w:r>
        <w:rPr>
          <w:szCs w:val="22"/>
        </w:rPr>
        <w:t xml:space="preserve">) pour l’année suivante est distribué aux parents ou à la personne investie de l’autorité parentale </w:t>
      </w:r>
      <w:r>
        <w:rPr>
          <w:b/>
          <w:szCs w:val="22"/>
        </w:rPr>
        <w:t>durant la première quinzaine du mois de mai</w:t>
      </w:r>
      <w:r>
        <w:rPr>
          <w:szCs w:val="22"/>
        </w:rPr>
        <w:t>. Ce formulaire doit être restitué</w:t>
      </w:r>
      <w:r>
        <w:rPr>
          <w:b/>
          <w:szCs w:val="22"/>
        </w:rPr>
        <w:t>, complété et signé,</w:t>
      </w:r>
      <w:r>
        <w:rPr>
          <w:szCs w:val="22"/>
        </w:rPr>
        <w:t xml:space="preserve"> au plus tard le 1</w:t>
      </w:r>
      <w:r>
        <w:rPr>
          <w:szCs w:val="22"/>
          <w:vertAlign w:val="superscript"/>
        </w:rPr>
        <w:t>er</w:t>
      </w:r>
      <w:r>
        <w:rPr>
          <w:szCs w:val="22"/>
        </w:rPr>
        <w:t xml:space="preserve"> juin au chef d’établissement.</w:t>
      </w:r>
    </w:p>
    <w:p>
      <w:pPr>
        <w:spacing w:before="120"/>
        <w:jc w:val="both"/>
      </w:pPr>
      <w:r>
        <w:t xml:space="preserve">Cette disposition est néanmoins prise </w:t>
      </w:r>
      <w:r>
        <w:rPr>
          <w:u w:val="single"/>
        </w:rPr>
        <w:t>sous réserve</w:t>
      </w:r>
      <w:r>
        <w:t xml:space="preserve"> de l’approbation :</w:t>
      </w:r>
    </w:p>
    <w:p>
      <w:pPr>
        <w:pStyle w:val="Paragraphedeliste"/>
        <w:numPr>
          <w:ilvl w:val="0"/>
          <w:numId w:val="185"/>
        </w:numPr>
        <w:ind w:left="714" w:hanging="357"/>
        <w:jc w:val="both"/>
        <w:rPr>
          <w:sz w:val="24"/>
        </w:rPr>
      </w:pPr>
      <w:r>
        <w:t>par le Parlement de l’avant-projet de décret relatif à la mise en œuvre d’un cours de philosophie et de citoyenneté dans l’enseignement secondaire et portant diverses adaptations dans l’enseignement fondamental ;</w:t>
      </w:r>
    </w:p>
    <w:p>
      <w:pPr>
        <w:pStyle w:val="Paragraphedeliste"/>
        <w:numPr>
          <w:ilvl w:val="0"/>
          <w:numId w:val="185"/>
        </w:numPr>
        <w:ind w:left="714" w:hanging="357"/>
        <w:jc w:val="both"/>
        <w:rPr>
          <w:szCs w:val="22"/>
        </w:rPr>
      </w:pPr>
      <w:r>
        <w:rPr>
          <w:szCs w:val="22"/>
        </w:rPr>
        <w:t xml:space="preserve">par le Gouvernement de l’arrêté portant application de l’article 8 de la Loi du 29 mai 1959 modifiant certaines dispositions de la législation de l’enseignement, arrêté abrogeant celui du 24 août 2016. </w:t>
      </w:r>
    </w:p>
    <w:p>
      <w:pPr>
        <w:spacing w:after="120"/>
        <w:jc w:val="both"/>
        <w:rPr>
          <w:szCs w:val="22"/>
        </w:rPr>
      </w:pPr>
    </w:p>
    <w:p>
      <w:pPr>
        <w:jc w:val="right"/>
        <w:rPr>
          <w:szCs w:val="22"/>
        </w:rPr>
      </w:pPr>
      <w:r>
        <w:rPr>
          <w:rFonts w:cs="Arial"/>
          <w:i/>
          <w:szCs w:val="22"/>
        </w:rPr>
        <w:t>***</w:t>
      </w:r>
      <w:r>
        <w:rPr>
          <w:rFonts w:cs="Arial"/>
          <w:szCs w:val="22"/>
        </w:rPr>
        <w:t xml:space="preserve"> </w:t>
      </w:r>
      <w:hyperlink w:anchor="Chapitre4_3" w:history="1">
        <w:r>
          <w:rPr>
            <w:rStyle w:val="Lienhypertexte"/>
            <w:rFonts w:cs="Arial"/>
            <w:i/>
            <w:color w:val="auto"/>
            <w:szCs w:val="22"/>
          </w:rPr>
          <w:t xml:space="preserve">Voir page </w:t>
        </w:r>
      </w:hyperlink>
      <w:r>
        <w:rPr>
          <w:rStyle w:val="Lienhypertexte"/>
          <w:rFonts w:cs="Arial"/>
          <w:i/>
          <w:color w:val="auto"/>
          <w:szCs w:val="22"/>
        </w:rPr>
        <w:t>129</w:t>
      </w:r>
    </w:p>
    <w:p>
      <w:pPr>
        <w:rPr>
          <w:szCs w:val="22"/>
        </w:rPr>
      </w:pPr>
    </w:p>
    <w:p>
      <w:pPr>
        <w:rPr>
          <w:szCs w:val="22"/>
        </w:rPr>
      </w:pPr>
    </w:p>
    <w:p>
      <w:pPr>
        <w:jc w:val="both"/>
        <w:rPr>
          <w:szCs w:val="22"/>
        </w:rPr>
      </w:pPr>
      <w:r>
        <w:rPr>
          <w:szCs w:val="22"/>
        </w:rPr>
        <w:t xml:space="preserve">Par ailleurs, chaque école dispose d’une adresse mail administrative composée à partir de son numéro FASE : </w:t>
      </w:r>
      <w:hyperlink r:id="rId16" w:history="1">
        <w:r>
          <w:rPr>
            <w:rStyle w:val="Lienhypertexte"/>
            <w:szCs w:val="22"/>
          </w:rPr>
          <w:t>ec00</w:t>
        </w:r>
        <w:r>
          <w:rPr>
            <w:rStyle w:val="Lienhypertexte"/>
            <w:szCs w:val="22"/>
            <w:vertAlign w:val="superscript"/>
          </w:rPr>
          <w:t>****</w:t>
        </w:r>
        <w:r>
          <w:rPr>
            <w:rStyle w:val="Lienhypertexte"/>
            <w:szCs w:val="22"/>
          </w:rPr>
          <w:t>@adm.cfwb.be</w:t>
        </w:r>
      </w:hyperlink>
      <w:r>
        <w:rPr>
          <w:szCs w:val="22"/>
        </w:rPr>
        <w:t xml:space="preserve">, et réservée exclusivement aux communications entre l’école et l’administration. Il s’agit d’une adresse protégée par laquelle vous recevez notamment les messages d’avertissement de publication de nouvelles circulaires. </w:t>
      </w:r>
    </w:p>
    <w:p>
      <w:pPr>
        <w:jc w:val="both"/>
        <w:rPr>
          <w:szCs w:val="22"/>
        </w:rPr>
      </w:pPr>
    </w:p>
    <w:p>
      <w:pPr>
        <w:jc w:val="both"/>
        <w:rPr>
          <w:szCs w:val="22"/>
        </w:rPr>
      </w:pPr>
      <w:r>
        <w:rPr>
          <w:szCs w:val="22"/>
        </w:rPr>
        <w:t xml:space="preserve">Toutefois, la situation en matière d’utilisation d’adresse mail dans les contacts entre les écoles et l’administration ne semble pas actuellement uniformisée. </w:t>
      </w:r>
    </w:p>
    <w:p>
      <w:pPr>
        <w:jc w:val="both"/>
        <w:rPr>
          <w:szCs w:val="22"/>
        </w:rPr>
      </w:pPr>
    </w:p>
    <w:p>
      <w:pPr>
        <w:jc w:val="both"/>
        <w:rPr>
          <w:szCs w:val="22"/>
        </w:rPr>
      </w:pPr>
      <w:r>
        <w:rPr>
          <w:szCs w:val="22"/>
        </w:rPr>
        <w:t xml:space="preserve">C’est pourquoi je me permets de vous rappeler qu’il convient d’utiliser votre adresse mail administrative lors de tous vos contacts avec l’administration. </w:t>
      </w:r>
    </w:p>
    <w:p>
      <w:pPr>
        <w:rPr>
          <w:szCs w:val="22"/>
        </w:rPr>
      </w:pPr>
    </w:p>
    <w:p>
      <w:pPr>
        <w:rPr>
          <w:szCs w:val="22"/>
        </w:rPr>
      </w:pPr>
      <w:r>
        <w:rPr>
          <w:szCs w:val="22"/>
        </w:rPr>
        <w:t xml:space="preserve">Je vous remercie pour votre collaboration. </w:t>
      </w:r>
    </w:p>
    <w:p>
      <w:pPr>
        <w:rPr>
          <w:szCs w:val="22"/>
        </w:rPr>
      </w:pPr>
    </w:p>
    <w:p>
      <w:pPr>
        <w:rPr>
          <w:szCs w:val="22"/>
        </w:rPr>
      </w:pPr>
    </w:p>
    <w:p>
      <w:pPr>
        <w:rPr>
          <w:szCs w:val="22"/>
        </w:rPr>
      </w:pPr>
    </w:p>
    <w:p>
      <w:pPr>
        <w:rPr>
          <w:szCs w:val="22"/>
        </w:rPr>
      </w:pPr>
    </w:p>
    <w:p>
      <w:pPr>
        <w:rPr>
          <w:szCs w:val="22"/>
        </w:rPr>
      </w:pPr>
    </w:p>
    <w:p>
      <w:pPr>
        <w:ind w:left="5399"/>
        <w:rPr>
          <w:szCs w:val="22"/>
        </w:rPr>
      </w:pPr>
      <w:r>
        <w:rPr>
          <w:szCs w:val="22"/>
        </w:rPr>
        <w:t>La Ministre,</w:t>
      </w:r>
    </w:p>
    <w:p>
      <w:pPr>
        <w:ind w:left="5399"/>
        <w:rPr>
          <w:szCs w:val="22"/>
        </w:rPr>
      </w:pPr>
    </w:p>
    <w:p>
      <w:pPr>
        <w:ind w:left="5399"/>
        <w:rPr>
          <w:szCs w:val="22"/>
        </w:rPr>
      </w:pPr>
    </w:p>
    <w:p>
      <w:pPr>
        <w:ind w:left="5399"/>
        <w:rPr>
          <w:szCs w:val="22"/>
        </w:rPr>
      </w:pPr>
    </w:p>
    <w:p>
      <w:pPr>
        <w:ind w:left="5399"/>
        <w:rPr>
          <w:szCs w:val="22"/>
        </w:rPr>
      </w:pPr>
    </w:p>
    <w:p>
      <w:pPr>
        <w:ind w:left="5399"/>
        <w:rPr>
          <w:szCs w:val="22"/>
        </w:rPr>
      </w:pPr>
      <w:r>
        <w:rPr>
          <w:szCs w:val="22"/>
        </w:rPr>
        <w:t>Marie-Martine SCHYNS</w:t>
      </w:r>
    </w:p>
    <w:p>
      <w:pPr>
        <w:jc w:val="center"/>
        <w:rPr>
          <w:b/>
          <w:sz w:val="28"/>
          <w:u w:val="single"/>
        </w:rPr>
      </w:pPr>
      <w:r>
        <w:rPr>
          <w:b/>
          <w:sz w:val="28"/>
          <w:u w:val="single"/>
        </w:rPr>
        <w:br w:type="page"/>
        <w:t>Table des matières</w:t>
      </w:r>
    </w:p>
    <w:p>
      <w:pPr>
        <w:pStyle w:val="TM2"/>
        <w:rPr>
          <w:rFonts w:asciiTheme="minorHAnsi" w:eastAsiaTheme="minorEastAsia" w:hAnsiTheme="minorHAnsi" w:cstheme="minorBidi"/>
          <w:noProof/>
          <w:szCs w:val="22"/>
          <w:lang w:val="fr-BE" w:eastAsia="fr-BE"/>
        </w:rPr>
      </w:pPr>
      <w:r>
        <w:rPr>
          <w:rFonts w:cs="Arial"/>
          <w:sz w:val="28"/>
          <w:u w:val="single"/>
        </w:rPr>
        <w:fldChar w:fldCharType="begin"/>
      </w:r>
      <w:r>
        <w:rPr>
          <w:rFonts w:cs="Arial"/>
          <w:sz w:val="28"/>
          <w:u w:val="single"/>
        </w:rPr>
        <w:instrText xml:space="preserve"> TOC \o "1-5" \h \z \u </w:instrText>
      </w:r>
      <w:r>
        <w:rPr>
          <w:rFonts w:cs="Arial"/>
          <w:sz w:val="28"/>
          <w:u w:val="single"/>
        </w:rPr>
        <w:fldChar w:fldCharType="separate"/>
      </w:r>
      <w:hyperlink w:anchor="_Toc486241659" w:history="1">
        <w:r>
          <w:rPr>
            <w:rStyle w:val="Lienhypertexte"/>
            <w:noProof/>
            <w:color w:val="auto"/>
          </w:rPr>
          <w:t>Contacts utiles</w:t>
        </w:r>
        <w:r>
          <w:rPr>
            <w:noProof/>
            <w:webHidden/>
          </w:rPr>
          <w:tab/>
        </w:r>
        <w:r>
          <w:rPr>
            <w:noProof/>
            <w:webHidden/>
          </w:rPr>
          <w:fldChar w:fldCharType="begin"/>
        </w:r>
        <w:r>
          <w:rPr>
            <w:noProof/>
            <w:webHidden/>
          </w:rPr>
          <w:instrText xml:space="preserve"> PAGEREF _Toc486241659 \h </w:instrText>
        </w:r>
        <w:r>
          <w:rPr>
            <w:noProof/>
            <w:webHidden/>
          </w:rPr>
        </w:r>
        <w:r>
          <w:rPr>
            <w:noProof/>
            <w:webHidden/>
          </w:rPr>
          <w:fldChar w:fldCharType="separate"/>
        </w:r>
        <w:r>
          <w:rPr>
            <w:noProof/>
            <w:webHidden/>
          </w:rPr>
          <w:t>12</w:t>
        </w:r>
        <w:r>
          <w:rPr>
            <w:noProof/>
            <w:webHidden/>
          </w:rPr>
          <w:fldChar w:fldCharType="end"/>
        </w:r>
      </w:hyperlink>
    </w:p>
    <w:p>
      <w:pPr>
        <w:pStyle w:val="TM2"/>
        <w:rPr>
          <w:rStyle w:val="Lienhypertexte"/>
          <w:noProof/>
          <w:color w:val="auto"/>
        </w:rPr>
      </w:pPr>
    </w:p>
    <w:p>
      <w:pPr>
        <w:pStyle w:val="TM2"/>
        <w:rPr>
          <w:rFonts w:asciiTheme="minorHAnsi" w:eastAsiaTheme="minorEastAsia" w:hAnsiTheme="minorHAnsi" w:cstheme="minorBidi"/>
          <w:noProof/>
          <w:szCs w:val="22"/>
          <w:lang w:val="fr-BE" w:eastAsia="fr-BE"/>
        </w:rPr>
      </w:pPr>
      <w:hyperlink w:anchor="_Toc486241660" w:history="1">
        <w:r>
          <w:rPr>
            <w:rStyle w:val="Lienhypertexte"/>
            <w:noProof/>
            <w:color w:val="auto"/>
          </w:rPr>
          <w:t>Définitions préalables</w:t>
        </w:r>
        <w:r>
          <w:rPr>
            <w:noProof/>
            <w:webHidden/>
          </w:rPr>
          <w:tab/>
        </w:r>
        <w:r>
          <w:rPr>
            <w:noProof/>
            <w:webHidden/>
          </w:rPr>
          <w:fldChar w:fldCharType="begin"/>
        </w:r>
        <w:r>
          <w:rPr>
            <w:noProof/>
            <w:webHidden/>
          </w:rPr>
          <w:instrText xml:space="preserve"> PAGEREF _Toc486241660 \h </w:instrText>
        </w:r>
        <w:r>
          <w:rPr>
            <w:noProof/>
            <w:webHidden/>
          </w:rPr>
        </w:r>
        <w:r>
          <w:rPr>
            <w:noProof/>
            <w:webHidden/>
          </w:rPr>
          <w:fldChar w:fldCharType="separate"/>
        </w:r>
        <w:r>
          <w:rPr>
            <w:noProof/>
            <w:webHidden/>
          </w:rPr>
          <w:t>16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61" w:history="1">
        <w:r>
          <w:rPr>
            <w:rStyle w:val="Lienhypertexte"/>
            <w:noProof/>
            <w:color w:val="auto"/>
          </w:rPr>
          <w:t>Réseaux d’enseignement</w:t>
        </w:r>
        <w:r>
          <w:rPr>
            <w:noProof/>
            <w:webHidden/>
          </w:rPr>
          <w:tab/>
        </w:r>
        <w:r>
          <w:rPr>
            <w:noProof/>
            <w:webHidden/>
          </w:rPr>
          <w:fldChar w:fldCharType="begin"/>
        </w:r>
        <w:r>
          <w:rPr>
            <w:noProof/>
            <w:webHidden/>
          </w:rPr>
          <w:instrText xml:space="preserve"> PAGEREF _Toc486241661 \h </w:instrText>
        </w:r>
        <w:r>
          <w:rPr>
            <w:noProof/>
            <w:webHidden/>
          </w:rPr>
        </w:r>
        <w:r>
          <w:rPr>
            <w:noProof/>
            <w:webHidden/>
          </w:rPr>
          <w:fldChar w:fldCharType="separate"/>
        </w:r>
        <w:r>
          <w:rPr>
            <w:noProof/>
            <w:webHidden/>
          </w:rPr>
          <w:t>16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62" w:history="1">
        <w:r>
          <w:rPr>
            <w:rStyle w:val="Lienhypertexte"/>
            <w:noProof/>
            <w:color w:val="auto"/>
          </w:rPr>
          <w:t>Niveaux d’enseignement</w:t>
        </w:r>
        <w:r>
          <w:rPr>
            <w:noProof/>
            <w:webHidden/>
          </w:rPr>
          <w:tab/>
        </w:r>
        <w:r>
          <w:rPr>
            <w:noProof/>
            <w:webHidden/>
          </w:rPr>
          <w:fldChar w:fldCharType="begin"/>
        </w:r>
        <w:r>
          <w:rPr>
            <w:noProof/>
            <w:webHidden/>
          </w:rPr>
          <w:instrText xml:space="preserve"> PAGEREF _Toc486241662 \h </w:instrText>
        </w:r>
        <w:r>
          <w:rPr>
            <w:noProof/>
            <w:webHidden/>
          </w:rPr>
        </w:r>
        <w:r>
          <w:rPr>
            <w:noProof/>
            <w:webHidden/>
          </w:rPr>
          <w:fldChar w:fldCharType="separate"/>
        </w:r>
        <w:r>
          <w:rPr>
            <w:noProof/>
            <w:webHidden/>
          </w:rPr>
          <w:t>16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63" w:history="1">
        <w:r>
          <w:rPr>
            <w:rStyle w:val="Lienhypertexte"/>
            <w:noProof/>
            <w:color w:val="auto"/>
          </w:rPr>
          <w:t>Ecole</w:t>
        </w:r>
        <w:r>
          <w:rPr>
            <w:noProof/>
            <w:webHidden/>
          </w:rPr>
          <w:tab/>
        </w:r>
        <w:r>
          <w:rPr>
            <w:noProof/>
            <w:webHidden/>
          </w:rPr>
          <w:tab/>
        </w:r>
        <w:r>
          <w:rPr>
            <w:noProof/>
            <w:webHidden/>
          </w:rPr>
          <w:fldChar w:fldCharType="begin"/>
        </w:r>
        <w:r>
          <w:rPr>
            <w:noProof/>
            <w:webHidden/>
          </w:rPr>
          <w:instrText xml:space="preserve"> PAGEREF _Toc486241663 \h </w:instrText>
        </w:r>
        <w:r>
          <w:rPr>
            <w:noProof/>
            <w:webHidden/>
          </w:rPr>
        </w:r>
        <w:r>
          <w:rPr>
            <w:noProof/>
            <w:webHidden/>
          </w:rPr>
          <w:fldChar w:fldCharType="separate"/>
        </w:r>
        <w:r>
          <w:rPr>
            <w:noProof/>
            <w:webHidden/>
          </w:rPr>
          <w:t>16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64" w:history="1">
        <w:r>
          <w:rPr>
            <w:rStyle w:val="Lienhypertexte"/>
            <w:noProof/>
            <w:color w:val="auto"/>
          </w:rPr>
          <w:t>Implantation</w:t>
        </w:r>
        <w:r>
          <w:rPr>
            <w:noProof/>
            <w:webHidden/>
          </w:rPr>
          <w:tab/>
        </w:r>
        <w:r>
          <w:rPr>
            <w:noProof/>
            <w:webHidden/>
          </w:rPr>
          <w:fldChar w:fldCharType="begin"/>
        </w:r>
        <w:r>
          <w:rPr>
            <w:noProof/>
            <w:webHidden/>
          </w:rPr>
          <w:instrText xml:space="preserve"> PAGEREF _Toc486241664 \h </w:instrText>
        </w:r>
        <w:r>
          <w:rPr>
            <w:noProof/>
            <w:webHidden/>
          </w:rPr>
        </w:r>
        <w:r>
          <w:rPr>
            <w:noProof/>
            <w:webHidden/>
          </w:rPr>
          <w:fldChar w:fldCharType="separate"/>
        </w:r>
        <w:r>
          <w:rPr>
            <w:noProof/>
            <w:webHidden/>
          </w:rPr>
          <w:t>16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65" w:history="1">
        <w:r>
          <w:rPr>
            <w:rStyle w:val="Lienhypertexte"/>
            <w:noProof/>
            <w:color w:val="auto"/>
          </w:rPr>
          <w:t>Parents</w:t>
        </w:r>
        <w:r>
          <w:rPr>
            <w:noProof/>
            <w:webHidden/>
          </w:rPr>
          <w:tab/>
        </w:r>
        <w:r>
          <w:rPr>
            <w:noProof/>
            <w:webHidden/>
          </w:rPr>
          <w:tab/>
        </w:r>
        <w:r>
          <w:rPr>
            <w:noProof/>
            <w:webHidden/>
          </w:rPr>
          <w:fldChar w:fldCharType="begin"/>
        </w:r>
        <w:r>
          <w:rPr>
            <w:noProof/>
            <w:webHidden/>
          </w:rPr>
          <w:instrText xml:space="preserve"> PAGEREF _Toc486241665 \h </w:instrText>
        </w:r>
        <w:r>
          <w:rPr>
            <w:noProof/>
            <w:webHidden/>
          </w:rPr>
        </w:r>
        <w:r>
          <w:rPr>
            <w:noProof/>
            <w:webHidden/>
          </w:rPr>
          <w:fldChar w:fldCharType="separate"/>
        </w:r>
        <w:r>
          <w:rPr>
            <w:noProof/>
            <w:webHidden/>
          </w:rPr>
          <w:t>17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66" w:history="1">
        <w:r>
          <w:rPr>
            <w:rStyle w:val="Lienhypertexte"/>
            <w:noProof/>
            <w:color w:val="auto"/>
          </w:rPr>
          <w:t>Inspection</w:t>
        </w:r>
        <w:r>
          <w:rPr>
            <w:noProof/>
            <w:webHidden/>
          </w:rPr>
          <w:tab/>
        </w:r>
        <w:r>
          <w:rPr>
            <w:noProof/>
            <w:webHidden/>
          </w:rPr>
          <w:fldChar w:fldCharType="begin"/>
        </w:r>
        <w:r>
          <w:rPr>
            <w:noProof/>
            <w:webHidden/>
          </w:rPr>
          <w:instrText xml:space="preserve"> PAGEREF _Toc486241666 \h </w:instrText>
        </w:r>
        <w:r>
          <w:rPr>
            <w:noProof/>
            <w:webHidden/>
          </w:rPr>
        </w:r>
        <w:r>
          <w:rPr>
            <w:noProof/>
            <w:webHidden/>
          </w:rPr>
          <w:fldChar w:fldCharType="separate"/>
        </w:r>
        <w:r>
          <w:rPr>
            <w:noProof/>
            <w:webHidden/>
          </w:rPr>
          <w:t>17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67" w:history="1">
        <w:r>
          <w:rPr>
            <w:rStyle w:val="Lienhypertexte"/>
            <w:noProof/>
            <w:color w:val="auto"/>
          </w:rPr>
          <w:t>Domicile</w:t>
        </w:r>
        <w:r>
          <w:rPr>
            <w:noProof/>
            <w:webHidden/>
          </w:rPr>
          <w:tab/>
        </w:r>
        <w:r>
          <w:rPr>
            <w:noProof/>
            <w:webHidden/>
          </w:rPr>
          <w:tab/>
        </w:r>
        <w:r>
          <w:rPr>
            <w:noProof/>
            <w:webHidden/>
          </w:rPr>
          <w:fldChar w:fldCharType="begin"/>
        </w:r>
        <w:r>
          <w:rPr>
            <w:noProof/>
            <w:webHidden/>
          </w:rPr>
          <w:instrText xml:space="preserve"> PAGEREF _Toc486241667 \h </w:instrText>
        </w:r>
        <w:r>
          <w:rPr>
            <w:noProof/>
            <w:webHidden/>
          </w:rPr>
        </w:r>
        <w:r>
          <w:rPr>
            <w:noProof/>
            <w:webHidden/>
          </w:rPr>
          <w:fldChar w:fldCharType="separate"/>
        </w:r>
        <w:r>
          <w:rPr>
            <w:noProof/>
            <w:webHidden/>
          </w:rPr>
          <w:t>17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68" w:history="1">
        <w:r>
          <w:rPr>
            <w:rStyle w:val="Lienhypertexte"/>
            <w:noProof/>
            <w:color w:val="auto"/>
          </w:rPr>
          <w:t>Elèves régulièrement inscrits</w:t>
        </w:r>
        <w:r>
          <w:rPr>
            <w:noProof/>
            <w:webHidden/>
          </w:rPr>
          <w:tab/>
        </w:r>
        <w:r>
          <w:rPr>
            <w:noProof/>
            <w:webHidden/>
          </w:rPr>
          <w:fldChar w:fldCharType="begin"/>
        </w:r>
        <w:r>
          <w:rPr>
            <w:noProof/>
            <w:webHidden/>
          </w:rPr>
          <w:instrText xml:space="preserve"> PAGEREF _Toc486241668 \h </w:instrText>
        </w:r>
        <w:r>
          <w:rPr>
            <w:noProof/>
            <w:webHidden/>
          </w:rPr>
        </w:r>
        <w:r>
          <w:rPr>
            <w:noProof/>
            <w:webHidden/>
          </w:rPr>
          <w:fldChar w:fldCharType="separate"/>
        </w:r>
        <w:r>
          <w:rPr>
            <w:noProof/>
            <w:webHidden/>
          </w:rPr>
          <w:t>17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69" w:history="1">
        <w:r>
          <w:rPr>
            <w:rStyle w:val="Lienhypertexte"/>
            <w:noProof/>
            <w:color w:val="auto"/>
          </w:rPr>
          <w:t>Fréquentation régulière</w:t>
        </w:r>
        <w:r>
          <w:rPr>
            <w:noProof/>
            <w:webHidden/>
          </w:rPr>
          <w:tab/>
        </w:r>
        <w:r>
          <w:rPr>
            <w:noProof/>
            <w:webHidden/>
          </w:rPr>
          <w:fldChar w:fldCharType="begin"/>
        </w:r>
        <w:r>
          <w:rPr>
            <w:noProof/>
            <w:webHidden/>
          </w:rPr>
          <w:instrText xml:space="preserve"> PAGEREF _Toc486241669 \h </w:instrText>
        </w:r>
        <w:r>
          <w:rPr>
            <w:noProof/>
            <w:webHidden/>
          </w:rPr>
        </w:r>
        <w:r>
          <w:rPr>
            <w:noProof/>
            <w:webHidden/>
          </w:rPr>
          <w:fldChar w:fldCharType="separate"/>
        </w:r>
        <w:r>
          <w:rPr>
            <w:noProof/>
            <w:webHidden/>
          </w:rPr>
          <w:t>18</w:t>
        </w:r>
        <w:r>
          <w:rPr>
            <w:noProof/>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670" w:history="1">
        <w:r>
          <w:rPr>
            <w:rStyle w:val="Lienhypertexte"/>
            <w:color w:val="auto"/>
          </w:rPr>
          <w:t>Titre1. Objectifs de l’enseignement fondamental et organisation en cycles</w:t>
        </w:r>
        <w:r>
          <w:rPr>
            <w:webHidden/>
          </w:rPr>
          <w:tab/>
        </w:r>
        <w:r>
          <w:rPr>
            <w:webHidden/>
          </w:rPr>
          <w:tab/>
        </w:r>
        <w:r>
          <w:rPr>
            <w:webHidden/>
          </w:rPr>
          <w:fldChar w:fldCharType="begin"/>
        </w:r>
        <w:r>
          <w:rPr>
            <w:webHidden/>
          </w:rPr>
          <w:instrText xml:space="preserve"> PAGEREF _Toc486241670 \h </w:instrText>
        </w:r>
        <w:r>
          <w:rPr>
            <w:webHidden/>
          </w:rPr>
        </w:r>
        <w:r>
          <w:rPr>
            <w:webHidden/>
          </w:rPr>
          <w:fldChar w:fldCharType="separate"/>
        </w:r>
        <w:r>
          <w:rPr>
            <w:webHidden/>
          </w:rPr>
          <w:t>19</w:t>
        </w:r>
        <w:r>
          <w:rPr>
            <w:webHidden/>
          </w:rPr>
          <w:fldChar w:fldCharType="end"/>
        </w:r>
      </w:hyperlink>
    </w:p>
    <w:p>
      <w:pPr>
        <w:pStyle w:val="TM2"/>
        <w:rPr>
          <w:rFonts w:asciiTheme="minorHAnsi" w:eastAsiaTheme="minorEastAsia" w:hAnsiTheme="minorHAnsi" w:cstheme="minorBidi"/>
          <w:noProof/>
          <w:szCs w:val="22"/>
          <w:lang w:val="fr-BE" w:eastAsia="fr-BE"/>
        </w:rPr>
      </w:pPr>
      <w:hyperlink w:anchor="_Toc486241671" w:history="1">
        <w:r>
          <w:rPr>
            <w:rStyle w:val="Lienhypertexte"/>
            <w:noProof/>
            <w:color w:val="auto"/>
          </w:rPr>
          <w:t>Chapitre 1.1. Objectifs généraux et particuliers</w:t>
        </w:r>
        <w:r>
          <w:rPr>
            <w:noProof/>
            <w:webHidden/>
          </w:rPr>
          <w:tab/>
        </w:r>
        <w:r>
          <w:rPr>
            <w:noProof/>
            <w:webHidden/>
          </w:rPr>
          <w:fldChar w:fldCharType="begin"/>
        </w:r>
        <w:r>
          <w:rPr>
            <w:noProof/>
            <w:webHidden/>
          </w:rPr>
          <w:instrText xml:space="preserve"> PAGEREF _Toc486241671 \h </w:instrText>
        </w:r>
        <w:r>
          <w:rPr>
            <w:noProof/>
            <w:webHidden/>
          </w:rPr>
        </w:r>
        <w:r>
          <w:rPr>
            <w:noProof/>
            <w:webHidden/>
          </w:rPr>
          <w:fldChar w:fldCharType="separate"/>
        </w:r>
        <w:r>
          <w:rPr>
            <w:noProof/>
            <w:webHidden/>
          </w:rPr>
          <w:t>19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72" w:history="1">
        <w:r>
          <w:rPr>
            <w:rStyle w:val="Lienhypertexte"/>
            <w:noProof/>
            <w:color w:val="auto"/>
          </w:rPr>
          <w:t>1.1.1. Objectifs généraux de l'enseignement fondamental</w:t>
        </w:r>
        <w:r>
          <w:rPr>
            <w:noProof/>
            <w:webHidden/>
          </w:rPr>
          <w:tab/>
        </w:r>
        <w:r>
          <w:rPr>
            <w:noProof/>
            <w:webHidden/>
          </w:rPr>
          <w:fldChar w:fldCharType="begin"/>
        </w:r>
        <w:r>
          <w:rPr>
            <w:noProof/>
            <w:webHidden/>
          </w:rPr>
          <w:instrText xml:space="preserve"> PAGEREF _Toc486241672 \h </w:instrText>
        </w:r>
        <w:r>
          <w:rPr>
            <w:noProof/>
            <w:webHidden/>
          </w:rPr>
        </w:r>
        <w:r>
          <w:rPr>
            <w:noProof/>
            <w:webHidden/>
          </w:rPr>
          <w:fldChar w:fldCharType="separate"/>
        </w:r>
        <w:r>
          <w:rPr>
            <w:noProof/>
            <w:webHidden/>
          </w:rPr>
          <w:t>19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73" w:history="1">
        <w:r>
          <w:rPr>
            <w:rStyle w:val="Lienhypertexte"/>
            <w:noProof/>
            <w:color w:val="auto"/>
          </w:rPr>
          <w:t>1.1.2. Objectifs particuliers de l'enseignement maternel</w:t>
        </w:r>
        <w:r>
          <w:rPr>
            <w:noProof/>
            <w:webHidden/>
          </w:rPr>
          <w:tab/>
        </w:r>
        <w:r>
          <w:rPr>
            <w:noProof/>
            <w:webHidden/>
          </w:rPr>
          <w:fldChar w:fldCharType="begin"/>
        </w:r>
        <w:r>
          <w:rPr>
            <w:noProof/>
            <w:webHidden/>
          </w:rPr>
          <w:instrText xml:space="preserve"> PAGEREF _Toc486241673 \h </w:instrText>
        </w:r>
        <w:r>
          <w:rPr>
            <w:noProof/>
            <w:webHidden/>
          </w:rPr>
        </w:r>
        <w:r>
          <w:rPr>
            <w:noProof/>
            <w:webHidden/>
          </w:rPr>
          <w:fldChar w:fldCharType="separate"/>
        </w:r>
        <w:r>
          <w:rPr>
            <w:noProof/>
            <w:webHidden/>
          </w:rPr>
          <w:t>19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74" w:history="1">
        <w:r>
          <w:rPr>
            <w:rStyle w:val="Lienhypertexte"/>
            <w:noProof/>
            <w:color w:val="auto"/>
          </w:rPr>
          <w:t>1.1.3. Socles de compétences</w:t>
        </w:r>
        <w:r>
          <w:rPr>
            <w:noProof/>
            <w:webHidden/>
          </w:rPr>
          <w:tab/>
        </w:r>
        <w:r>
          <w:rPr>
            <w:noProof/>
            <w:webHidden/>
          </w:rPr>
          <w:fldChar w:fldCharType="begin"/>
        </w:r>
        <w:r>
          <w:rPr>
            <w:noProof/>
            <w:webHidden/>
          </w:rPr>
          <w:instrText xml:space="preserve"> PAGEREF _Toc486241674 \h </w:instrText>
        </w:r>
        <w:r>
          <w:rPr>
            <w:noProof/>
            <w:webHidden/>
          </w:rPr>
        </w:r>
        <w:r>
          <w:rPr>
            <w:noProof/>
            <w:webHidden/>
          </w:rPr>
          <w:fldChar w:fldCharType="separate"/>
        </w:r>
        <w:r>
          <w:rPr>
            <w:noProof/>
            <w:webHidden/>
          </w:rPr>
          <w:t>19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75" w:history="1">
        <w:r>
          <w:rPr>
            <w:rStyle w:val="Lienhypertexte"/>
            <w:noProof/>
            <w:color w:val="auto"/>
          </w:rPr>
          <w:t>1.1.4. Activités obligatoires</w:t>
        </w:r>
        <w:r>
          <w:rPr>
            <w:noProof/>
            <w:webHidden/>
          </w:rPr>
          <w:tab/>
        </w:r>
        <w:r>
          <w:rPr>
            <w:noProof/>
            <w:webHidden/>
          </w:rPr>
          <w:fldChar w:fldCharType="begin"/>
        </w:r>
        <w:r>
          <w:rPr>
            <w:noProof/>
            <w:webHidden/>
          </w:rPr>
          <w:instrText xml:space="preserve"> PAGEREF _Toc486241675 \h </w:instrText>
        </w:r>
        <w:r>
          <w:rPr>
            <w:noProof/>
            <w:webHidden/>
          </w:rPr>
        </w:r>
        <w:r>
          <w:rPr>
            <w:noProof/>
            <w:webHidden/>
          </w:rPr>
          <w:fldChar w:fldCharType="separate"/>
        </w:r>
        <w:r>
          <w:rPr>
            <w:noProof/>
            <w:webHidden/>
          </w:rPr>
          <w:t>20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76" w:history="1">
        <w:r>
          <w:rPr>
            <w:rStyle w:val="Lienhypertexte"/>
            <w:noProof/>
            <w:color w:val="auto"/>
          </w:rPr>
          <w:t>1.1.5. Projets éducatif, pédagogique, d'établissement et programmes d'études</w:t>
        </w:r>
        <w:r>
          <w:rPr>
            <w:noProof/>
            <w:webHidden/>
          </w:rPr>
          <w:tab/>
        </w:r>
        <w:r>
          <w:rPr>
            <w:noProof/>
            <w:webHidden/>
          </w:rPr>
          <w:fldChar w:fldCharType="begin"/>
        </w:r>
        <w:r>
          <w:rPr>
            <w:noProof/>
            <w:webHidden/>
          </w:rPr>
          <w:instrText xml:space="preserve"> PAGEREF _Toc486241676 \h </w:instrText>
        </w:r>
        <w:r>
          <w:rPr>
            <w:noProof/>
            <w:webHidden/>
          </w:rPr>
        </w:r>
        <w:r>
          <w:rPr>
            <w:noProof/>
            <w:webHidden/>
          </w:rPr>
          <w:fldChar w:fldCharType="separate"/>
        </w:r>
        <w:r>
          <w:rPr>
            <w:noProof/>
            <w:webHidden/>
          </w:rPr>
          <w:t>20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77" w:history="1">
        <w:r>
          <w:rPr>
            <w:rStyle w:val="Lienhypertexte"/>
            <w:noProof/>
            <w:color w:val="auto"/>
          </w:rPr>
          <w:t>1.1.6. Outils pédagogiques et outils d'évaluation</w:t>
        </w:r>
        <w:r>
          <w:rPr>
            <w:noProof/>
            <w:webHidden/>
          </w:rPr>
          <w:tab/>
        </w:r>
        <w:r>
          <w:rPr>
            <w:noProof/>
            <w:webHidden/>
          </w:rPr>
          <w:fldChar w:fldCharType="begin"/>
        </w:r>
        <w:r>
          <w:rPr>
            <w:noProof/>
            <w:webHidden/>
          </w:rPr>
          <w:instrText xml:space="preserve"> PAGEREF _Toc486241677 \h </w:instrText>
        </w:r>
        <w:r>
          <w:rPr>
            <w:noProof/>
            <w:webHidden/>
          </w:rPr>
        </w:r>
        <w:r>
          <w:rPr>
            <w:noProof/>
            <w:webHidden/>
          </w:rPr>
          <w:fldChar w:fldCharType="separate"/>
        </w:r>
        <w:r>
          <w:rPr>
            <w:noProof/>
            <w:webHidden/>
          </w:rPr>
          <w:t>21</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678" w:history="1">
        <w:r>
          <w:rPr>
            <w:rStyle w:val="Lienhypertexte"/>
            <w:noProof/>
            <w:color w:val="auto"/>
          </w:rPr>
          <w:t>Chapitre 1.2. Ecole de la réussite et organisation en cycles</w:t>
        </w:r>
        <w:r>
          <w:rPr>
            <w:noProof/>
            <w:webHidden/>
          </w:rPr>
          <w:tab/>
        </w:r>
        <w:r>
          <w:rPr>
            <w:noProof/>
            <w:webHidden/>
          </w:rPr>
          <w:fldChar w:fldCharType="begin"/>
        </w:r>
        <w:r>
          <w:rPr>
            <w:noProof/>
            <w:webHidden/>
          </w:rPr>
          <w:instrText xml:space="preserve"> PAGEREF _Toc486241678 \h </w:instrText>
        </w:r>
        <w:r>
          <w:rPr>
            <w:noProof/>
            <w:webHidden/>
          </w:rPr>
        </w:r>
        <w:r>
          <w:rPr>
            <w:noProof/>
            <w:webHidden/>
          </w:rPr>
          <w:fldChar w:fldCharType="separate"/>
        </w:r>
        <w:r>
          <w:rPr>
            <w:noProof/>
            <w:webHidden/>
          </w:rPr>
          <w:t>22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79" w:history="1">
        <w:r>
          <w:rPr>
            <w:rStyle w:val="Lienhypertexte"/>
            <w:noProof/>
            <w:color w:val="auto"/>
          </w:rPr>
          <w:t>1.2.1. Les axes pédagogiques de l'école de la réussite</w:t>
        </w:r>
        <w:r>
          <w:rPr>
            <w:noProof/>
            <w:webHidden/>
          </w:rPr>
          <w:tab/>
        </w:r>
        <w:r>
          <w:rPr>
            <w:noProof/>
            <w:webHidden/>
          </w:rPr>
          <w:fldChar w:fldCharType="begin"/>
        </w:r>
        <w:r>
          <w:rPr>
            <w:noProof/>
            <w:webHidden/>
          </w:rPr>
          <w:instrText xml:space="preserve"> PAGEREF _Toc486241679 \h </w:instrText>
        </w:r>
        <w:r>
          <w:rPr>
            <w:noProof/>
            <w:webHidden/>
          </w:rPr>
        </w:r>
        <w:r>
          <w:rPr>
            <w:noProof/>
            <w:webHidden/>
          </w:rPr>
          <w:fldChar w:fldCharType="separate"/>
        </w:r>
        <w:r>
          <w:rPr>
            <w:noProof/>
            <w:webHidden/>
          </w:rPr>
          <w:t>22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80" w:history="1">
        <w:r>
          <w:rPr>
            <w:rStyle w:val="Lienhypertexte"/>
            <w:noProof/>
            <w:color w:val="auto"/>
          </w:rPr>
          <w:t>1.2.2. L'organisation en étapes et en cycles</w:t>
        </w:r>
        <w:r>
          <w:rPr>
            <w:noProof/>
            <w:webHidden/>
          </w:rPr>
          <w:tab/>
        </w:r>
        <w:r>
          <w:rPr>
            <w:noProof/>
            <w:webHidden/>
          </w:rPr>
          <w:fldChar w:fldCharType="begin"/>
        </w:r>
        <w:r>
          <w:rPr>
            <w:noProof/>
            <w:webHidden/>
          </w:rPr>
          <w:instrText xml:space="preserve"> PAGEREF _Toc486241680 \h </w:instrText>
        </w:r>
        <w:r>
          <w:rPr>
            <w:noProof/>
            <w:webHidden/>
          </w:rPr>
        </w:r>
        <w:r>
          <w:rPr>
            <w:noProof/>
            <w:webHidden/>
          </w:rPr>
          <w:fldChar w:fldCharType="separate"/>
        </w:r>
        <w:r>
          <w:rPr>
            <w:noProof/>
            <w:webHidden/>
          </w:rPr>
          <w:t>22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81" w:history="1">
        <w:r>
          <w:rPr>
            <w:rStyle w:val="Lienhypertexte"/>
            <w:noProof/>
            <w:color w:val="auto"/>
          </w:rPr>
          <w:t>1.2.3. L'année complémentaire</w:t>
        </w:r>
        <w:r>
          <w:rPr>
            <w:noProof/>
            <w:webHidden/>
          </w:rPr>
          <w:tab/>
        </w:r>
        <w:r>
          <w:rPr>
            <w:noProof/>
            <w:webHidden/>
          </w:rPr>
          <w:fldChar w:fldCharType="begin"/>
        </w:r>
        <w:r>
          <w:rPr>
            <w:noProof/>
            <w:webHidden/>
          </w:rPr>
          <w:instrText xml:space="preserve"> PAGEREF _Toc486241681 \h </w:instrText>
        </w:r>
        <w:r>
          <w:rPr>
            <w:noProof/>
            <w:webHidden/>
          </w:rPr>
        </w:r>
        <w:r>
          <w:rPr>
            <w:noProof/>
            <w:webHidden/>
          </w:rPr>
          <w:fldChar w:fldCharType="separate"/>
        </w:r>
        <w:r>
          <w:rPr>
            <w:noProof/>
            <w:webHidden/>
          </w:rPr>
          <w:t>23</w:t>
        </w:r>
        <w:r>
          <w:rPr>
            <w:noProof/>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682" w:history="1">
        <w:r>
          <w:rPr>
            <w:rStyle w:val="Lienhypertexte"/>
            <w:color w:val="auto"/>
          </w:rPr>
          <w:t xml:space="preserve">Titre 2. </w:t>
        </w:r>
        <w:r>
          <w:rPr>
            <w:rFonts w:asciiTheme="minorHAnsi" w:eastAsiaTheme="minorEastAsia" w:hAnsiTheme="minorHAnsi" w:cstheme="minorBidi"/>
            <w:b w:val="0"/>
            <w:bCs w:val="0"/>
            <w:caps w:val="0"/>
            <w:lang w:val="fr-BE" w:eastAsia="fr-BE"/>
          </w:rPr>
          <w:tab/>
        </w:r>
        <w:r>
          <w:rPr>
            <w:rStyle w:val="Lienhypertexte"/>
            <w:color w:val="auto"/>
          </w:rPr>
          <w:t>Obligation scolaire, inscriptions et fréquentation</w:t>
        </w:r>
        <w:r>
          <w:rPr>
            <w:webHidden/>
          </w:rPr>
          <w:tab/>
        </w:r>
        <w:r>
          <w:rPr>
            <w:webHidden/>
          </w:rPr>
          <w:fldChar w:fldCharType="begin"/>
        </w:r>
        <w:r>
          <w:rPr>
            <w:webHidden/>
          </w:rPr>
          <w:instrText xml:space="preserve"> PAGEREF _Toc486241682 \h </w:instrText>
        </w:r>
        <w:r>
          <w:rPr>
            <w:webHidden/>
          </w:rPr>
        </w:r>
        <w:r>
          <w:rPr>
            <w:webHidden/>
          </w:rPr>
          <w:fldChar w:fldCharType="separate"/>
        </w:r>
        <w:r>
          <w:rPr>
            <w:webHidden/>
          </w:rPr>
          <w:t>25</w:t>
        </w:r>
        <w:r>
          <w:rPr>
            <w:webHidden/>
          </w:rPr>
          <w:fldChar w:fldCharType="end"/>
        </w:r>
      </w:hyperlink>
    </w:p>
    <w:p>
      <w:pPr>
        <w:pStyle w:val="TM2"/>
        <w:rPr>
          <w:rFonts w:asciiTheme="minorHAnsi" w:eastAsiaTheme="minorEastAsia" w:hAnsiTheme="minorHAnsi" w:cstheme="minorBidi"/>
          <w:noProof/>
          <w:szCs w:val="22"/>
          <w:lang w:val="fr-BE" w:eastAsia="fr-BE"/>
        </w:rPr>
      </w:pPr>
      <w:hyperlink w:anchor="_Toc486241683" w:history="1">
        <w:r>
          <w:rPr>
            <w:rStyle w:val="Lienhypertexte"/>
            <w:noProof/>
            <w:color w:val="auto"/>
          </w:rPr>
          <w:t>Chapitre 2.1. Obligation scolaire</w:t>
        </w:r>
        <w:r>
          <w:rPr>
            <w:noProof/>
            <w:webHidden/>
          </w:rPr>
          <w:tab/>
        </w:r>
        <w:r>
          <w:rPr>
            <w:noProof/>
            <w:webHidden/>
          </w:rPr>
          <w:fldChar w:fldCharType="begin"/>
        </w:r>
        <w:r>
          <w:rPr>
            <w:noProof/>
            <w:webHidden/>
          </w:rPr>
          <w:instrText xml:space="preserve"> PAGEREF _Toc486241683 \h </w:instrText>
        </w:r>
        <w:r>
          <w:rPr>
            <w:noProof/>
            <w:webHidden/>
          </w:rPr>
        </w:r>
        <w:r>
          <w:rPr>
            <w:noProof/>
            <w:webHidden/>
          </w:rPr>
          <w:fldChar w:fldCharType="separate"/>
        </w:r>
        <w:r>
          <w:rPr>
            <w:noProof/>
            <w:webHidden/>
          </w:rPr>
          <w:t>25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84" w:history="1">
        <w:r>
          <w:rPr>
            <w:rStyle w:val="Lienhypertexte"/>
            <w:noProof/>
            <w:color w:val="auto"/>
          </w:rPr>
          <w:t>2.1.1. Durée de l’obligation scolaire</w:t>
        </w:r>
        <w:r>
          <w:rPr>
            <w:noProof/>
            <w:webHidden/>
          </w:rPr>
          <w:tab/>
        </w:r>
        <w:r>
          <w:rPr>
            <w:noProof/>
            <w:webHidden/>
          </w:rPr>
          <w:fldChar w:fldCharType="begin"/>
        </w:r>
        <w:r>
          <w:rPr>
            <w:noProof/>
            <w:webHidden/>
          </w:rPr>
          <w:instrText xml:space="preserve"> PAGEREF _Toc486241684 \h </w:instrText>
        </w:r>
        <w:r>
          <w:rPr>
            <w:noProof/>
            <w:webHidden/>
          </w:rPr>
        </w:r>
        <w:r>
          <w:rPr>
            <w:noProof/>
            <w:webHidden/>
          </w:rPr>
          <w:fldChar w:fldCharType="separate"/>
        </w:r>
        <w:r>
          <w:rPr>
            <w:noProof/>
            <w:webHidden/>
          </w:rPr>
          <w:t>25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85" w:history="1">
        <w:r>
          <w:rPr>
            <w:rStyle w:val="Lienhypertexte"/>
            <w:noProof/>
            <w:color w:val="auto"/>
          </w:rPr>
          <w:t>2.1.2. Responsabilité parentale en matière d'obligation scolaire</w:t>
        </w:r>
        <w:r>
          <w:rPr>
            <w:noProof/>
            <w:webHidden/>
          </w:rPr>
          <w:tab/>
        </w:r>
        <w:r>
          <w:rPr>
            <w:noProof/>
            <w:webHidden/>
          </w:rPr>
          <w:fldChar w:fldCharType="begin"/>
        </w:r>
        <w:r>
          <w:rPr>
            <w:noProof/>
            <w:webHidden/>
          </w:rPr>
          <w:instrText xml:space="preserve"> PAGEREF _Toc486241685 \h </w:instrText>
        </w:r>
        <w:r>
          <w:rPr>
            <w:noProof/>
            <w:webHidden/>
          </w:rPr>
        </w:r>
        <w:r>
          <w:rPr>
            <w:noProof/>
            <w:webHidden/>
          </w:rPr>
          <w:fldChar w:fldCharType="separate"/>
        </w:r>
        <w:r>
          <w:rPr>
            <w:noProof/>
            <w:webHidden/>
          </w:rPr>
          <w:t>26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86" w:history="1">
        <w:r>
          <w:rPr>
            <w:rStyle w:val="Lienhypertexte"/>
            <w:noProof/>
            <w:color w:val="auto"/>
          </w:rPr>
          <w:t>2.1.3. Enseignement à domicile</w:t>
        </w:r>
        <w:r>
          <w:rPr>
            <w:noProof/>
            <w:webHidden/>
          </w:rPr>
          <w:tab/>
        </w:r>
        <w:r>
          <w:rPr>
            <w:noProof/>
            <w:webHidden/>
          </w:rPr>
          <w:fldChar w:fldCharType="begin"/>
        </w:r>
        <w:r>
          <w:rPr>
            <w:noProof/>
            <w:webHidden/>
          </w:rPr>
          <w:instrText xml:space="preserve"> PAGEREF _Toc486241686 \h </w:instrText>
        </w:r>
        <w:r>
          <w:rPr>
            <w:noProof/>
            <w:webHidden/>
          </w:rPr>
        </w:r>
        <w:r>
          <w:rPr>
            <w:noProof/>
            <w:webHidden/>
          </w:rPr>
          <w:fldChar w:fldCharType="separate"/>
        </w:r>
        <w:r>
          <w:rPr>
            <w:noProof/>
            <w:webHidden/>
          </w:rPr>
          <w:t>26</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687" w:history="1">
        <w:r>
          <w:rPr>
            <w:rStyle w:val="Lienhypertexte"/>
            <w:noProof/>
            <w:color w:val="auto"/>
          </w:rPr>
          <w:t>Chapitre 2.2. Inscriptions</w:t>
        </w:r>
        <w:r>
          <w:rPr>
            <w:noProof/>
            <w:webHidden/>
          </w:rPr>
          <w:tab/>
        </w:r>
        <w:r>
          <w:rPr>
            <w:noProof/>
            <w:webHidden/>
          </w:rPr>
          <w:fldChar w:fldCharType="begin"/>
        </w:r>
        <w:r>
          <w:rPr>
            <w:noProof/>
            <w:webHidden/>
          </w:rPr>
          <w:instrText xml:space="preserve"> PAGEREF _Toc486241687 \h </w:instrText>
        </w:r>
        <w:r>
          <w:rPr>
            <w:noProof/>
            <w:webHidden/>
          </w:rPr>
        </w:r>
        <w:r>
          <w:rPr>
            <w:noProof/>
            <w:webHidden/>
          </w:rPr>
          <w:fldChar w:fldCharType="separate"/>
        </w:r>
        <w:r>
          <w:rPr>
            <w:noProof/>
            <w:webHidden/>
          </w:rPr>
          <w:t>28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88" w:history="1">
        <w:r>
          <w:rPr>
            <w:rStyle w:val="Lienhypertexte"/>
            <w:noProof/>
            <w:color w:val="auto"/>
          </w:rPr>
          <w:t>2.2.1. Règles de base</w:t>
        </w:r>
        <w:r>
          <w:rPr>
            <w:noProof/>
            <w:webHidden/>
          </w:rPr>
          <w:tab/>
        </w:r>
        <w:r>
          <w:rPr>
            <w:noProof/>
            <w:webHidden/>
          </w:rPr>
          <w:fldChar w:fldCharType="begin"/>
        </w:r>
        <w:r>
          <w:rPr>
            <w:noProof/>
            <w:webHidden/>
          </w:rPr>
          <w:instrText xml:space="preserve"> PAGEREF _Toc486241688 \h </w:instrText>
        </w:r>
        <w:r>
          <w:rPr>
            <w:noProof/>
            <w:webHidden/>
          </w:rPr>
        </w:r>
        <w:r>
          <w:rPr>
            <w:noProof/>
            <w:webHidden/>
          </w:rPr>
          <w:fldChar w:fldCharType="separate"/>
        </w:r>
        <w:r>
          <w:rPr>
            <w:noProof/>
            <w:webHidden/>
          </w:rPr>
          <w:t>28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89" w:history="1">
        <w:r>
          <w:rPr>
            <w:rStyle w:val="Lienhypertexte"/>
            <w:noProof/>
            <w:color w:val="auto"/>
          </w:rPr>
          <w:t>2.2.1.1. Enseignement maternel</w:t>
        </w:r>
        <w:r>
          <w:rPr>
            <w:noProof/>
            <w:webHidden/>
          </w:rPr>
          <w:tab/>
        </w:r>
        <w:r>
          <w:rPr>
            <w:noProof/>
            <w:webHidden/>
          </w:rPr>
          <w:fldChar w:fldCharType="begin"/>
        </w:r>
        <w:r>
          <w:rPr>
            <w:noProof/>
            <w:webHidden/>
          </w:rPr>
          <w:instrText xml:space="preserve"> PAGEREF _Toc486241689 \h </w:instrText>
        </w:r>
        <w:r>
          <w:rPr>
            <w:noProof/>
            <w:webHidden/>
          </w:rPr>
        </w:r>
        <w:r>
          <w:rPr>
            <w:noProof/>
            <w:webHidden/>
          </w:rPr>
          <w:fldChar w:fldCharType="separate"/>
        </w:r>
        <w:r>
          <w:rPr>
            <w:noProof/>
            <w:webHidden/>
          </w:rPr>
          <w:t>28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690" w:history="1">
        <w:r>
          <w:rPr>
            <w:rStyle w:val="Lienhypertexte"/>
            <w:noProof/>
            <w:color w:val="auto"/>
          </w:rPr>
          <w:t>2.2.1.2. Enseignement Primaire</w:t>
        </w:r>
        <w:r>
          <w:rPr>
            <w:noProof/>
            <w:webHidden/>
          </w:rPr>
          <w:tab/>
        </w:r>
        <w:r>
          <w:rPr>
            <w:noProof/>
            <w:webHidden/>
          </w:rPr>
          <w:fldChar w:fldCharType="begin"/>
        </w:r>
        <w:r>
          <w:rPr>
            <w:noProof/>
            <w:webHidden/>
          </w:rPr>
          <w:instrText xml:space="preserve"> PAGEREF _Toc486241690 \h </w:instrText>
        </w:r>
        <w:r>
          <w:rPr>
            <w:noProof/>
            <w:webHidden/>
          </w:rPr>
        </w:r>
        <w:r>
          <w:rPr>
            <w:noProof/>
            <w:webHidden/>
          </w:rPr>
          <w:fldChar w:fldCharType="separate"/>
        </w:r>
        <w:r>
          <w:rPr>
            <w:noProof/>
            <w:webHidden/>
          </w:rPr>
          <w:t>28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91" w:history="1">
        <w:r>
          <w:rPr>
            <w:rStyle w:val="Lienhypertexte"/>
            <w:noProof/>
            <w:color w:val="auto"/>
          </w:rPr>
          <w:t>2.2.2. Inscription jusqu’au 30 septembre dans l'enseignement primaire</w:t>
        </w:r>
        <w:r>
          <w:rPr>
            <w:noProof/>
            <w:webHidden/>
          </w:rPr>
          <w:tab/>
        </w:r>
        <w:r>
          <w:rPr>
            <w:noProof/>
            <w:webHidden/>
          </w:rPr>
          <w:fldChar w:fldCharType="begin"/>
        </w:r>
        <w:r>
          <w:rPr>
            <w:noProof/>
            <w:webHidden/>
          </w:rPr>
          <w:instrText xml:space="preserve"> PAGEREF _Toc486241691 \h </w:instrText>
        </w:r>
        <w:r>
          <w:rPr>
            <w:noProof/>
            <w:webHidden/>
          </w:rPr>
        </w:r>
        <w:r>
          <w:rPr>
            <w:noProof/>
            <w:webHidden/>
          </w:rPr>
          <w:fldChar w:fldCharType="separate"/>
        </w:r>
        <w:r>
          <w:rPr>
            <w:noProof/>
            <w:webHidden/>
          </w:rPr>
          <w:t>28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92" w:history="1">
        <w:r>
          <w:rPr>
            <w:rStyle w:val="Lienhypertexte"/>
            <w:noProof/>
            <w:color w:val="auto"/>
          </w:rPr>
          <w:t>2.2.3. Inscription au-delà du 30 septembre dans l'enseignement primaire</w:t>
        </w:r>
        <w:r>
          <w:rPr>
            <w:noProof/>
            <w:webHidden/>
          </w:rPr>
          <w:tab/>
        </w:r>
        <w:r>
          <w:rPr>
            <w:noProof/>
            <w:webHidden/>
          </w:rPr>
          <w:fldChar w:fldCharType="begin"/>
        </w:r>
        <w:r>
          <w:rPr>
            <w:noProof/>
            <w:webHidden/>
          </w:rPr>
          <w:instrText xml:space="preserve"> PAGEREF _Toc486241692 \h </w:instrText>
        </w:r>
        <w:r>
          <w:rPr>
            <w:noProof/>
            <w:webHidden/>
          </w:rPr>
        </w:r>
        <w:r>
          <w:rPr>
            <w:noProof/>
            <w:webHidden/>
          </w:rPr>
          <w:fldChar w:fldCharType="separate"/>
        </w:r>
        <w:r>
          <w:rPr>
            <w:noProof/>
            <w:webHidden/>
          </w:rPr>
          <w:t>29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93" w:history="1">
        <w:r>
          <w:rPr>
            <w:rStyle w:val="Lienhypertexte"/>
            <w:noProof/>
            <w:color w:val="auto"/>
          </w:rPr>
          <w:t>2.2.4. Le refus d’inscription ou de réinscription de l’élève</w:t>
        </w:r>
        <w:r>
          <w:rPr>
            <w:noProof/>
            <w:webHidden/>
          </w:rPr>
          <w:tab/>
        </w:r>
        <w:r>
          <w:rPr>
            <w:noProof/>
            <w:webHidden/>
          </w:rPr>
          <w:fldChar w:fldCharType="begin"/>
        </w:r>
        <w:r>
          <w:rPr>
            <w:noProof/>
            <w:webHidden/>
          </w:rPr>
          <w:instrText xml:space="preserve"> PAGEREF _Toc486241693 \h </w:instrText>
        </w:r>
        <w:r>
          <w:rPr>
            <w:noProof/>
            <w:webHidden/>
          </w:rPr>
        </w:r>
        <w:r>
          <w:rPr>
            <w:noProof/>
            <w:webHidden/>
          </w:rPr>
          <w:fldChar w:fldCharType="separate"/>
        </w:r>
        <w:r>
          <w:rPr>
            <w:noProof/>
            <w:webHidden/>
          </w:rPr>
          <w:t>29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94" w:history="1">
        <w:r>
          <w:rPr>
            <w:rStyle w:val="Lienhypertexte"/>
            <w:noProof/>
            <w:color w:val="auto"/>
          </w:rPr>
          <w:t>2.2.5. Transmission des places disponibles dans l’enseignement fondamental - Application PLAF</w:t>
        </w:r>
        <w:r>
          <w:rPr>
            <w:noProof/>
            <w:webHidden/>
          </w:rPr>
          <w:tab/>
        </w:r>
        <w:r>
          <w:rPr>
            <w:noProof/>
            <w:webHidden/>
          </w:rPr>
          <w:fldChar w:fldCharType="begin"/>
        </w:r>
        <w:r>
          <w:rPr>
            <w:noProof/>
            <w:webHidden/>
          </w:rPr>
          <w:instrText xml:space="preserve"> PAGEREF _Toc486241694 \h </w:instrText>
        </w:r>
        <w:r>
          <w:rPr>
            <w:noProof/>
            <w:webHidden/>
          </w:rPr>
        </w:r>
        <w:r>
          <w:rPr>
            <w:noProof/>
            <w:webHidden/>
          </w:rPr>
          <w:fldChar w:fldCharType="separate"/>
        </w:r>
        <w:r>
          <w:rPr>
            <w:noProof/>
            <w:webHidden/>
          </w:rPr>
          <w:t>30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95" w:history="1">
        <w:r>
          <w:rPr>
            <w:rStyle w:val="Lienhypertexte"/>
            <w:noProof/>
            <w:color w:val="auto"/>
          </w:rPr>
          <w:t>2.2.6. Inscription des élèves primo-arrivants</w:t>
        </w:r>
        <w:r>
          <w:rPr>
            <w:noProof/>
            <w:webHidden/>
          </w:rPr>
          <w:tab/>
        </w:r>
        <w:r>
          <w:rPr>
            <w:noProof/>
            <w:webHidden/>
          </w:rPr>
          <w:fldChar w:fldCharType="begin"/>
        </w:r>
        <w:r>
          <w:rPr>
            <w:noProof/>
            <w:webHidden/>
          </w:rPr>
          <w:instrText xml:space="preserve"> PAGEREF _Toc486241695 \h </w:instrText>
        </w:r>
        <w:r>
          <w:rPr>
            <w:noProof/>
            <w:webHidden/>
          </w:rPr>
        </w:r>
        <w:r>
          <w:rPr>
            <w:noProof/>
            <w:webHidden/>
          </w:rPr>
          <w:fldChar w:fldCharType="separate"/>
        </w:r>
        <w:r>
          <w:rPr>
            <w:noProof/>
            <w:webHidden/>
          </w:rPr>
          <w:t>31</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96" w:history="1">
        <w:r>
          <w:rPr>
            <w:rStyle w:val="Lienhypertexte"/>
            <w:noProof/>
            <w:color w:val="auto"/>
          </w:rPr>
          <w:t>2.2.7. Inscription des enfants malades</w:t>
        </w:r>
        <w:r>
          <w:rPr>
            <w:noProof/>
            <w:webHidden/>
          </w:rPr>
          <w:tab/>
        </w:r>
        <w:r>
          <w:rPr>
            <w:noProof/>
            <w:webHidden/>
          </w:rPr>
          <w:fldChar w:fldCharType="begin"/>
        </w:r>
        <w:r>
          <w:rPr>
            <w:noProof/>
            <w:webHidden/>
          </w:rPr>
          <w:instrText xml:space="preserve"> PAGEREF _Toc486241696 \h </w:instrText>
        </w:r>
        <w:r>
          <w:rPr>
            <w:noProof/>
            <w:webHidden/>
          </w:rPr>
        </w:r>
        <w:r>
          <w:rPr>
            <w:noProof/>
            <w:webHidden/>
          </w:rPr>
          <w:fldChar w:fldCharType="separate"/>
        </w:r>
        <w:r>
          <w:rPr>
            <w:noProof/>
            <w:webHidden/>
          </w:rPr>
          <w:t>33</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697" w:history="1">
        <w:r>
          <w:rPr>
            <w:rStyle w:val="Lienhypertexte"/>
            <w:noProof/>
            <w:color w:val="auto"/>
          </w:rPr>
          <w:t>Chapitre 2.3. Dérogations d'âge</w:t>
        </w:r>
        <w:r>
          <w:rPr>
            <w:noProof/>
            <w:webHidden/>
          </w:rPr>
          <w:tab/>
        </w:r>
        <w:r>
          <w:rPr>
            <w:noProof/>
            <w:webHidden/>
          </w:rPr>
          <w:fldChar w:fldCharType="begin"/>
        </w:r>
        <w:r>
          <w:rPr>
            <w:noProof/>
            <w:webHidden/>
          </w:rPr>
          <w:instrText xml:space="preserve"> PAGEREF _Toc486241697 \h </w:instrText>
        </w:r>
        <w:r>
          <w:rPr>
            <w:noProof/>
            <w:webHidden/>
          </w:rPr>
        </w:r>
        <w:r>
          <w:rPr>
            <w:noProof/>
            <w:webHidden/>
          </w:rPr>
          <w:fldChar w:fldCharType="separate"/>
        </w:r>
        <w:r>
          <w:rPr>
            <w:noProof/>
            <w:webHidden/>
          </w:rPr>
          <w:t>34</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98" w:history="1">
        <w:r>
          <w:rPr>
            <w:rStyle w:val="Lienhypertexte"/>
            <w:noProof/>
            <w:color w:val="auto"/>
          </w:rPr>
          <w:t>2.3.1. Maintien en 3</w:t>
        </w:r>
        <w:r>
          <w:rPr>
            <w:rStyle w:val="Lienhypertexte"/>
            <w:noProof/>
            <w:color w:val="auto"/>
            <w:vertAlign w:val="superscript"/>
          </w:rPr>
          <w:t>e</w:t>
        </w:r>
        <w:r>
          <w:rPr>
            <w:rStyle w:val="Lienhypertexte"/>
            <w:noProof/>
            <w:color w:val="auto"/>
          </w:rPr>
          <w:t xml:space="preserve"> maternelle</w:t>
        </w:r>
        <w:r>
          <w:rPr>
            <w:noProof/>
            <w:webHidden/>
          </w:rPr>
          <w:tab/>
        </w:r>
        <w:r>
          <w:rPr>
            <w:noProof/>
            <w:webHidden/>
          </w:rPr>
          <w:fldChar w:fldCharType="begin"/>
        </w:r>
        <w:r>
          <w:rPr>
            <w:noProof/>
            <w:webHidden/>
          </w:rPr>
          <w:instrText xml:space="preserve"> PAGEREF _Toc486241698 \h </w:instrText>
        </w:r>
        <w:r>
          <w:rPr>
            <w:noProof/>
            <w:webHidden/>
          </w:rPr>
        </w:r>
        <w:r>
          <w:rPr>
            <w:noProof/>
            <w:webHidden/>
          </w:rPr>
          <w:fldChar w:fldCharType="separate"/>
        </w:r>
        <w:r>
          <w:rPr>
            <w:noProof/>
            <w:webHidden/>
          </w:rPr>
          <w:t>34</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699" w:history="1">
        <w:r>
          <w:rPr>
            <w:rStyle w:val="Lienhypertexte"/>
            <w:noProof/>
            <w:color w:val="auto"/>
          </w:rPr>
          <w:t>2.3.2. Avancement en 1</w:t>
        </w:r>
        <w:r>
          <w:rPr>
            <w:rStyle w:val="Lienhypertexte"/>
            <w:noProof/>
            <w:color w:val="auto"/>
            <w:vertAlign w:val="superscript"/>
          </w:rPr>
          <w:t>ère</w:t>
        </w:r>
        <w:r>
          <w:rPr>
            <w:rStyle w:val="Lienhypertexte"/>
            <w:noProof/>
            <w:color w:val="auto"/>
          </w:rPr>
          <w:t xml:space="preserve"> primaire</w:t>
        </w:r>
        <w:r>
          <w:rPr>
            <w:noProof/>
            <w:webHidden/>
          </w:rPr>
          <w:tab/>
        </w:r>
        <w:r>
          <w:rPr>
            <w:noProof/>
            <w:webHidden/>
          </w:rPr>
          <w:fldChar w:fldCharType="begin"/>
        </w:r>
        <w:r>
          <w:rPr>
            <w:noProof/>
            <w:webHidden/>
          </w:rPr>
          <w:instrText xml:space="preserve"> PAGEREF _Toc486241699 \h </w:instrText>
        </w:r>
        <w:r>
          <w:rPr>
            <w:noProof/>
            <w:webHidden/>
          </w:rPr>
        </w:r>
        <w:r>
          <w:rPr>
            <w:noProof/>
            <w:webHidden/>
          </w:rPr>
          <w:fldChar w:fldCharType="separate"/>
        </w:r>
        <w:r>
          <w:rPr>
            <w:noProof/>
            <w:webHidden/>
          </w:rPr>
          <w:t>36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00" w:history="1">
        <w:r>
          <w:rPr>
            <w:rStyle w:val="Lienhypertexte"/>
            <w:noProof/>
            <w:color w:val="auto"/>
          </w:rPr>
          <w:t>2.3.3. Maintien en primaire (P8 – P9)</w:t>
        </w:r>
        <w:r>
          <w:rPr>
            <w:noProof/>
            <w:webHidden/>
          </w:rPr>
          <w:tab/>
        </w:r>
        <w:r>
          <w:rPr>
            <w:noProof/>
            <w:webHidden/>
          </w:rPr>
          <w:fldChar w:fldCharType="begin"/>
        </w:r>
        <w:r>
          <w:rPr>
            <w:noProof/>
            <w:webHidden/>
          </w:rPr>
          <w:instrText xml:space="preserve"> PAGEREF _Toc486241700 \h </w:instrText>
        </w:r>
        <w:r>
          <w:rPr>
            <w:noProof/>
            <w:webHidden/>
          </w:rPr>
        </w:r>
        <w:r>
          <w:rPr>
            <w:noProof/>
            <w:webHidden/>
          </w:rPr>
          <w:fldChar w:fldCharType="separate"/>
        </w:r>
        <w:r>
          <w:rPr>
            <w:noProof/>
            <w:webHidden/>
          </w:rPr>
          <w:t>37</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701" w:history="1">
        <w:r>
          <w:rPr>
            <w:rStyle w:val="Lienhypertexte"/>
            <w:noProof/>
            <w:color w:val="auto"/>
          </w:rPr>
          <w:t>Chapitre 2.4. Changements d'école et d'implantation en cours d'année scolaire ou en cours de cycle</w:t>
        </w:r>
        <w:r>
          <w:rPr>
            <w:noProof/>
            <w:webHidden/>
          </w:rPr>
          <w:tab/>
        </w:r>
        <w:r>
          <w:rPr>
            <w:noProof/>
            <w:webHidden/>
          </w:rPr>
          <w:fldChar w:fldCharType="begin"/>
        </w:r>
        <w:r>
          <w:rPr>
            <w:noProof/>
            <w:webHidden/>
          </w:rPr>
          <w:instrText xml:space="preserve"> PAGEREF _Toc486241701 \h </w:instrText>
        </w:r>
        <w:r>
          <w:rPr>
            <w:noProof/>
            <w:webHidden/>
          </w:rPr>
        </w:r>
        <w:r>
          <w:rPr>
            <w:noProof/>
            <w:webHidden/>
          </w:rPr>
          <w:fldChar w:fldCharType="separate"/>
        </w:r>
        <w:r>
          <w:rPr>
            <w:noProof/>
            <w:webHidden/>
          </w:rPr>
          <w:t>39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02" w:history="1">
        <w:r>
          <w:rPr>
            <w:rStyle w:val="Lienhypertexte"/>
            <w:noProof/>
            <w:color w:val="auto"/>
          </w:rPr>
          <w:t>2.4.1. Principes et définitions</w:t>
        </w:r>
        <w:r>
          <w:rPr>
            <w:noProof/>
            <w:webHidden/>
          </w:rPr>
          <w:tab/>
        </w:r>
        <w:r>
          <w:rPr>
            <w:noProof/>
            <w:webHidden/>
          </w:rPr>
          <w:fldChar w:fldCharType="begin"/>
        </w:r>
        <w:r>
          <w:rPr>
            <w:noProof/>
            <w:webHidden/>
          </w:rPr>
          <w:instrText xml:space="preserve"> PAGEREF _Toc486241702 \h </w:instrText>
        </w:r>
        <w:r>
          <w:rPr>
            <w:noProof/>
            <w:webHidden/>
          </w:rPr>
        </w:r>
        <w:r>
          <w:rPr>
            <w:noProof/>
            <w:webHidden/>
          </w:rPr>
          <w:fldChar w:fldCharType="separate"/>
        </w:r>
        <w:r>
          <w:rPr>
            <w:noProof/>
            <w:webHidden/>
          </w:rPr>
          <w:t>39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03" w:history="1">
        <w:r>
          <w:rPr>
            <w:rStyle w:val="Lienhypertexte"/>
            <w:noProof/>
            <w:color w:val="auto"/>
          </w:rPr>
          <w:t>2.4.1.1. Autorité parentale</w:t>
        </w:r>
        <w:r>
          <w:rPr>
            <w:noProof/>
            <w:webHidden/>
          </w:rPr>
          <w:tab/>
        </w:r>
        <w:r>
          <w:rPr>
            <w:noProof/>
            <w:webHidden/>
          </w:rPr>
          <w:fldChar w:fldCharType="begin"/>
        </w:r>
        <w:r>
          <w:rPr>
            <w:noProof/>
            <w:webHidden/>
          </w:rPr>
          <w:instrText xml:space="preserve"> PAGEREF _Toc486241703 \h </w:instrText>
        </w:r>
        <w:r>
          <w:rPr>
            <w:noProof/>
            <w:webHidden/>
          </w:rPr>
        </w:r>
        <w:r>
          <w:rPr>
            <w:noProof/>
            <w:webHidden/>
          </w:rPr>
          <w:fldChar w:fldCharType="separate"/>
        </w:r>
        <w:r>
          <w:rPr>
            <w:noProof/>
            <w:webHidden/>
          </w:rPr>
          <w:t>40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04" w:history="1">
        <w:r>
          <w:rPr>
            <w:rStyle w:val="Lienhypertexte"/>
            <w:noProof/>
            <w:color w:val="auto"/>
          </w:rPr>
          <w:t>2.4.1.2. Changements d’école ou d’implantation à comptage séparé: principes</w:t>
        </w:r>
        <w:r>
          <w:rPr>
            <w:noProof/>
            <w:webHidden/>
          </w:rPr>
          <w:tab/>
        </w:r>
        <w:r>
          <w:rPr>
            <w:noProof/>
            <w:webHidden/>
          </w:rPr>
          <w:fldChar w:fldCharType="begin"/>
        </w:r>
        <w:r>
          <w:rPr>
            <w:noProof/>
            <w:webHidden/>
          </w:rPr>
          <w:instrText xml:space="preserve"> PAGEREF _Toc486241704 \h </w:instrText>
        </w:r>
        <w:r>
          <w:rPr>
            <w:noProof/>
            <w:webHidden/>
          </w:rPr>
        </w:r>
        <w:r>
          <w:rPr>
            <w:noProof/>
            <w:webHidden/>
          </w:rPr>
          <w:fldChar w:fldCharType="separate"/>
        </w:r>
        <w:r>
          <w:rPr>
            <w:noProof/>
            <w:webHidden/>
          </w:rPr>
          <w:t>41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705" w:history="1">
        <w:r>
          <w:rPr>
            <w:rStyle w:val="Lienhypertexte"/>
            <w:noProof/>
            <w:color w:val="auto"/>
          </w:rPr>
          <w:t>2.4.1.2.1. Enseignement maternel</w:t>
        </w:r>
        <w:r>
          <w:rPr>
            <w:noProof/>
            <w:webHidden/>
          </w:rPr>
          <w:tab/>
        </w:r>
        <w:r>
          <w:rPr>
            <w:noProof/>
            <w:webHidden/>
          </w:rPr>
          <w:fldChar w:fldCharType="begin"/>
        </w:r>
        <w:r>
          <w:rPr>
            <w:noProof/>
            <w:webHidden/>
          </w:rPr>
          <w:instrText xml:space="preserve"> PAGEREF _Toc486241705 \h </w:instrText>
        </w:r>
        <w:r>
          <w:rPr>
            <w:noProof/>
            <w:webHidden/>
          </w:rPr>
        </w:r>
        <w:r>
          <w:rPr>
            <w:noProof/>
            <w:webHidden/>
          </w:rPr>
          <w:fldChar w:fldCharType="separate"/>
        </w:r>
        <w:r>
          <w:rPr>
            <w:noProof/>
            <w:webHidden/>
          </w:rPr>
          <w:t>41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706" w:history="1">
        <w:r>
          <w:rPr>
            <w:rStyle w:val="Lienhypertexte"/>
            <w:noProof/>
            <w:color w:val="auto"/>
          </w:rPr>
          <w:t>2.4.1.2.2. Enseignement primaire</w:t>
        </w:r>
        <w:r>
          <w:rPr>
            <w:noProof/>
            <w:webHidden/>
          </w:rPr>
          <w:tab/>
        </w:r>
        <w:r>
          <w:rPr>
            <w:noProof/>
            <w:webHidden/>
          </w:rPr>
          <w:fldChar w:fldCharType="begin"/>
        </w:r>
        <w:r>
          <w:rPr>
            <w:noProof/>
            <w:webHidden/>
          </w:rPr>
          <w:instrText xml:space="preserve"> PAGEREF _Toc486241706 \h </w:instrText>
        </w:r>
        <w:r>
          <w:rPr>
            <w:noProof/>
            <w:webHidden/>
          </w:rPr>
        </w:r>
        <w:r>
          <w:rPr>
            <w:noProof/>
            <w:webHidden/>
          </w:rPr>
          <w:fldChar w:fldCharType="separate"/>
        </w:r>
        <w:r>
          <w:rPr>
            <w:noProof/>
            <w:webHidden/>
          </w:rPr>
          <w:t>41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707" w:history="1">
        <w:r>
          <w:rPr>
            <w:rStyle w:val="Lienhypertexte"/>
            <w:noProof/>
            <w:color w:val="auto"/>
          </w:rPr>
          <w:t>2.4.1.2.3. Dérogations</w:t>
        </w:r>
        <w:r>
          <w:rPr>
            <w:noProof/>
            <w:webHidden/>
          </w:rPr>
          <w:tab/>
        </w:r>
        <w:r>
          <w:rPr>
            <w:noProof/>
            <w:webHidden/>
          </w:rPr>
          <w:fldChar w:fldCharType="begin"/>
        </w:r>
        <w:r>
          <w:rPr>
            <w:noProof/>
            <w:webHidden/>
          </w:rPr>
          <w:instrText xml:space="preserve"> PAGEREF _Toc486241707 \h </w:instrText>
        </w:r>
        <w:r>
          <w:rPr>
            <w:noProof/>
            <w:webHidden/>
          </w:rPr>
        </w:r>
        <w:r>
          <w:rPr>
            <w:noProof/>
            <w:webHidden/>
          </w:rPr>
          <w:fldChar w:fldCharType="separate"/>
        </w:r>
        <w:r>
          <w:rPr>
            <w:noProof/>
            <w:webHidden/>
          </w:rPr>
          <w:t>42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08" w:history="1">
        <w:r>
          <w:rPr>
            <w:rStyle w:val="Lienhypertexte"/>
            <w:noProof/>
            <w:color w:val="auto"/>
          </w:rPr>
          <w:t>2.4.1.3. Motifs pouvant justifier un changement.</w:t>
        </w:r>
        <w:r>
          <w:rPr>
            <w:noProof/>
            <w:webHidden/>
          </w:rPr>
          <w:tab/>
        </w:r>
        <w:r>
          <w:rPr>
            <w:noProof/>
            <w:webHidden/>
          </w:rPr>
          <w:fldChar w:fldCharType="begin"/>
        </w:r>
        <w:r>
          <w:rPr>
            <w:noProof/>
            <w:webHidden/>
          </w:rPr>
          <w:instrText xml:space="preserve"> PAGEREF _Toc486241708 \h </w:instrText>
        </w:r>
        <w:r>
          <w:rPr>
            <w:noProof/>
            <w:webHidden/>
          </w:rPr>
        </w:r>
        <w:r>
          <w:rPr>
            <w:noProof/>
            <w:webHidden/>
          </w:rPr>
          <w:fldChar w:fldCharType="separate"/>
        </w:r>
        <w:r>
          <w:rPr>
            <w:noProof/>
            <w:webHidden/>
          </w:rPr>
          <w:t>42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709" w:history="1">
        <w:r>
          <w:rPr>
            <w:rStyle w:val="Lienhypertexte"/>
            <w:noProof/>
            <w:color w:val="auto"/>
          </w:rPr>
          <w:t>2.4.1.3.1. Les motifs énumérés par le décret « Missions » (article 79, §4)</w:t>
        </w:r>
        <w:r>
          <w:rPr>
            <w:noProof/>
            <w:webHidden/>
          </w:rPr>
          <w:tab/>
        </w:r>
        <w:r>
          <w:rPr>
            <w:noProof/>
            <w:webHidden/>
          </w:rPr>
          <w:fldChar w:fldCharType="begin"/>
        </w:r>
        <w:r>
          <w:rPr>
            <w:noProof/>
            <w:webHidden/>
          </w:rPr>
          <w:instrText xml:space="preserve"> PAGEREF _Toc486241709 \h </w:instrText>
        </w:r>
        <w:r>
          <w:rPr>
            <w:noProof/>
            <w:webHidden/>
          </w:rPr>
        </w:r>
        <w:r>
          <w:rPr>
            <w:noProof/>
            <w:webHidden/>
          </w:rPr>
          <w:fldChar w:fldCharType="separate"/>
        </w:r>
        <w:r>
          <w:rPr>
            <w:noProof/>
            <w:webHidden/>
          </w:rPr>
          <w:t>42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710" w:history="1">
        <w:r>
          <w:rPr>
            <w:rStyle w:val="Lienhypertexte"/>
            <w:noProof/>
            <w:color w:val="auto"/>
          </w:rPr>
          <w:t>2.4.1.3.2. Raisons liées à la force majeure ou à la nécessité absolue</w:t>
        </w:r>
        <w:r>
          <w:rPr>
            <w:noProof/>
            <w:webHidden/>
          </w:rPr>
          <w:tab/>
        </w:r>
        <w:r>
          <w:rPr>
            <w:noProof/>
            <w:webHidden/>
          </w:rPr>
          <w:fldChar w:fldCharType="begin"/>
        </w:r>
        <w:r>
          <w:rPr>
            <w:noProof/>
            <w:webHidden/>
          </w:rPr>
          <w:instrText xml:space="preserve"> PAGEREF _Toc486241710 \h </w:instrText>
        </w:r>
        <w:r>
          <w:rPr>
            <w:noProof/>
            <w:webHidden/>
          </w:rPr>
        </w:r>
        <w:r>
          <w:rPr>
            <w:noProof/>
            <w:webHidden/>
          </w:rPr>
          <w:fldChar w:fldCharType="separate"/>
        </w:r>
        <w:r>
          <w:rPr>
            <w:noProof/>
            <w:webHidden/>
          </w:rPr>
          <w:t>43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11" w:history="1">
        <w:r>
          <w:rPr>
            <w:rStyle w:val="Lienhypertexte"/>
            <w:noProof/>
            <w:color w:val="auto"/>
          </w:rPr>
          <w:t>2.4.2. Inscription d’un élève sans document autorisant le changement d’école</w:t>
        </w:r>
        <w:r>
          <w:rPr>
            <w:noProof/>
            <w:webHidden/>
          </w:rPr>
          <w:tab/>
        </w:r>
        <w:r>
          <w:rPr>
            <w:noProof/>
            <w:webHidden/>
          </w:rPr>
          <w:fldChar w:fldCharType="begin"/>
        </w:r>
        <w:r>
          <w:rPr>
            <w:noProof/>
            <w:webHidden/>
          </w:rPr>
          <w:instrText xml:space="preserve"> PAGEREF _Toc486241711 \h </w:instrText>
        </w:r>
        <w:r>
          <w:rPr>
            <w:noProof/>
            <w:webHidden/>
          </w:rPr>
        </w:r>
        <w:r>
          <w:rPr>
            <w:noProof/>
            <w:webHidden/>
          </w:rPr>
          <w:fldChar w:fldCharType="separate"/>
        </w:r>
        <w:r>
          <w:rPr>
            <w:noProof/>
            <w:webHidden/>
          </w:rPr>
          <w:t>46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12" w:history="1">
        <w:r>
          <w:rPr>
            <w:rStyle w:val="Lienhypertexte"/>
            <w:noProof/>
            <w:color w:val="auto"/>
          </w:rPr>
          <w:t>2.4.3. Situations de changements d'école ou d'implantation</w:t>
        </w:r>
        <w:r>
          <w:rPr>
            <w:noProof/>
            <w:webHidden/>
          </w:rPr>
          <w:tab/>
        </w:r>
        <w:r>
          <w:rPr>
            <w:noProof/>
            <w:webHidden/>
          </w:rPr>
          <w:fldChar w:fldCharType="begin"/>
        </w:r>
        <w:r>
          <w:rPr>
            <w:noProof/>
            <w:webHidden/>
          </w:rPr>
          <w:instrText xml:space="preserve"> PAGEREF _Toc486241712 \h </w:instrText>
        </w:r>
        <w:r>
          <w:rPr>
            <w:noProof/>
            <w:webHidden/>
          </w:rPr>
        </w:r>
        <w:r>
          <w:rPr>
            <w:noProof/>
            <w:webHidden/>
          </w:rPr>
          <w:fldChar w:fldCharType="separate"/>
        </w:r>
        <w:r>
          <w:rPr>
            <w:noProof/>
            <w:webHidden/>
          </w:rPr>
          <w:t>46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13" w:history="1">
        <w:r>
          <w:rPr>
            <w:rStyle w:val="Lienhypertexte"/>
            <w:noProof/>
            <w:color w:val="auto"/>
          </w:rPr>
          <w:t>2.4.4. Procédures à suivre</w:t>
        </w:r>
        <w:r>
          <w:rPr>
            <w:noProof/>
            <w:webHidden/>
          </w:rPr>
          <w:tab/>
        </w:r>
        <w:r>
          <w:rPr>
            <w:noProof/>
            <w:webHidden/>
          </w:rPr>
          <w:fldChar w:fldCharType="begin"/>
        </w:r>
        <w:r>
          <w:rPr>
            <w:noProof/>
            <w:webHidden/>
          </w:rPr>
          <w:instrText xml:space="preserve"> PAGEREF _Toc486241713 \h </w:instrText>
        </w:r>
        <w:r>
          <w:rPr>
            <w:noProof/>
            <w:webHidden/>
          </w:rPr>
        </w:r>
        <w:r>
          <w:rPr>
            <w:noProof/>
            <w:webHidden/>
          </w:rPr>
          <w:fldChar w:fldCharType="separate"/>
        </w:r>
        <w:r>
          <w:rPr>
            <w:noProof/>
            <w:webHidden/>
          </w:rPr>
          <w:t>47</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714" w:history="1">
        <w:r>
          <w:rPr>
            <w:rStyle w:val="Lienhypertexte"/>
            <w:noProof/>
            <w:color w:val="auto"/>
          </w:rPr>
          <w:t>Chapitre 2.5. Absences d'élèves en âge d'obligation scolaire</w:t>
        </w:r>
        <w:r>
          <w:rPr>
            <w:noProof/>
            <w:webHidden/>
          </w:rPr>
          <w:tab/>
        </w:r>
        <w:r>
          <w:rPr>
            <w:noProof/>
            <w:webHidden/>
          </w:rPr>
          <w:fldChar w:fldCharType="begin"/>
        </w:r>
        <w:r>
          <w:rPr>
            <w:noProof/>
            <w:webHidden/>
          </w:rPr>
          <w:instrText xml:space="preserve"> PAGEREF _Toc486241714 \h </w:instrText>
        </w:r>
        <w:r>
          <w:rPr>
            <w:noProof/>
            <w:webHidden/>
          </w:rPr>
        </w:r>
        <w:r>
          <w:rPr>
            <w:noProof/>
            <w:webHidden/>
          </w:rPr>
          <w:fldChar w:fldCharType="separate"/>
        </w:r>
        <w:r>
          <w:rPr>
            <w:noProof/>
            <w:webHidden/>
          </w:rPr>
          <w:t>53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15" w:history="1">
        <w:r>
          <w:rPr>
            <w:rStyle w:val="Lienhypertexte"/>
            <w:noProof/>
            <w:color w:val="auto"/>
          </w:rPr>
          <w:t>2.5.1. Justification des absences dans l’enseignement primaire</w:t>
        </w:r>
        <w:r>
          <w:rPr>
            <w:noProof/>
            <w:webHidden/>
          </w:rPr>
          <w:tab/>
        </w:r>
        <w:r>
          <w:rPr>
            <w:noProof/>
            <w:webHidden/>
          </w:rPr>
          <w:fldChar w:fldCharType="begin"/>
        </w:r>
        <w:r>
          <w:rPr>
            <w:noProof/>
            <w:webHidden/>
          </w:rPr>
          <w:instrText xml:space="preserve"> PAGEREF _Toc486241715 \h </w:instrText>
        </w:r>
        <w:r>
          <w:rPr>
            <w:noProof/>
            <w:webHidden/>
          </w:rPr>
        </w:r>
        <w:r>
          <w:rPr>
            <w:noProof/>
            <w:webHidden/>
          </w:rPr>
          <w:fldChar w:fldCharType="separate"/>
        </w:r>
        <w:r>
          <w:rPr>
            <w:noProof/>
            <w:webHidden/>
          </w:rPr>
          <w:t>53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16" w:history="1">
        <w:r>
          <w:rPr>
            <w:rStyle w:val="Lienhypertexte"/>
            <w:noProof/>
            <w:color w:val="auto"/>
          </w:rPr>
          <w:t>2.5.1.1. Les absences légalement justifiées</w:t>
        </w:r>
        <w:r>
          <w:rPr>
            <w:noProof/>
            <w:webHidden/>
          </w:rPr>
          <w:tab/>
        </w:r>
        <w:r>
          <w:rPr>
            <w:noProof/>
            <w:webHidden/>
          </w:rPr>
          <w:fldChar w:fldCharType="begin"/>
        </w:r>
        <w:r>
          <w:rPr>
            <w:noProof/>
            <w:webHidden/>
          </w:rPr>
          <w:instrText xml:space="preserve"> PAGEREF _Toc486241716 \h </w:instrText>
        </w:r>
        <w:r>
          <w:rPr>
            <w:noProof/>
            <w:webHidden/>
          </w:rPr>
        </w:r>
        <w:r>
          <w:rPr>
            <w:noProof/>
            <w:webHidden/>
          </w:rPr>
          <w:fldChar w:fldCharType="separate"/>
        </w:r>
        <w:r>
          <w:rPr>
            <w:noProof/>
            <w:webHidden/>
          </w:rPr>
          <w:t>53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17" w:history="1">
        <w:r>
          <w:rPr>
            <w:rStyle w:val="Lienhypertexte"/>
            <w:noProof/>
            <w:color w:val="auto"/>
          </w:rPr>
          <w:t>2.5.1.2. Les absences justifiées par le chef d’établissement</w:t>
        </w:r>
        <w:r>
          <w:rPr>
            <w:noProof/>
            <w:webHidden/>
          </w:rPr>
          <w:tab/>
        </w:r>
        <w:r>
          <w:rPr>
            <w:noProof/>
            <w:webHidden/>
          </w:rPr>
          <w:fldChar w:fldCharType="begin"/>
        </w:r>
        <w:r>
          <w:rPr>
            <w:noProof/>
            <w:webHidden/>
          </w:rPr>
          <w:instrText xml:space="preserve"> PAGEREF _Toc486241717 \h </w:instrText>
        </w:r>
        <w:r>
          <w:rPr>
            <w:noProof/>
            <w:webHidden/>
          </w:rPr>
        </w:r>
        <w:r>
          <w:rPr>
            <w:noProof/>
            <w:webHidden/>
          </w:rPr>
          <w:fldChar w:fldCharType="separate"/>
        </w:r>
        <w:r>
          <w:rPr>
            <w:noProof/>
            <w:webHidden/>
          </w:rPr>
          <w:t>55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18" w:history="1">
        <w:r>
          <w:rPr>
            <w:rStyle w:val="Lienhypertexte"/>
            <w:noProof/>
            <w:color w:val="auto"/>
          </w:rPr>
          <w:t>2.5.1.3. Les absences non justifiées</w:t>
        </w:r>
        <w:r>
          <w:rPr>
            <w:noProof/>
            <w:webHidden/>
          </w:rPr>
          <w:tab/>
        </w:r>
        <w:r>
          <w:rPr>
            <w:noProof/>
            <w:webHidden/>
          </w:rPr>
          <w:fldChar w:fldCharType="begin"/>
        </w:r>
        <w:r>
          <w:rPr>
            <w:noProof/>
            <w:webHidden/>
          </w:rPr>
          <w:instrText xml:space="preserve"> PAGEREF _Toc486241718 \h </w:instrText>
        </w:r>
        <w:r>
          <w:rPr>
            <w:noProof/>
            <w:webHidden/>
          </w:rPr>
        </w:r>
        <w:r>
          <w:rPr>
            <w:noProof/>
            <w:webHidden/>
          </w:rPr>
          <w:fldChar w:fldCharType="separate"/>
        </w:r>
        <w:r>
          <w:rPr>
            <w:noProof/>
            <w:webHidden/>
          </w:rPr>
          <w:t>55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19" w:history="1">
        <w:r>
          <w:rPr>
            <w:rStyle w:val="Lienhypertexte"/>
            <w:noProof/>
            <w:color w:val="auto"/>
          </w:rPr>
          <w:t>2.5.2. Marche à suivre en cas d’absentéisme scolaire</w:t>
        </w:r>
        <w:r>
          <w:rPr>
            <w:noProof/>
            <w:webHidden/>
          </w:rPr>
          <w:tab/>
        </w:r>
        <w:r>
          <w:rPr>
            <w:noProof/>
            <w:webHidden/>
          </w:rPr>
          <w:fldChar w:fldCharType="begin"/>
        </w:r>
        <w:r>
          <w:rPr>
            <w:noProof/>
            <w:webHidden/>
          </w:rPr>
          <w:instrText xml:space="preserve"> PAGEREF _Toc486241719 \h </w:instrText>
        </w:r>
        <w:r>
          <w:rPr>
            <w:noProof/>
            <w:webHidden/>
          </w:rPr>
        </w:r>
        <w:r>
          <w:rPr>
            <w:noProof/>
            <w:webHidden/>
          </w:rPr>
          <w:fldChar w:fldCharType="separate"/>
        </w:r>
        <w:r>
          <w:rPr>
            <w:noProof/>
            <w:webHidden/>
          </w:rPr>
          <w:t>55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20" w:history="1">
        <w:r>
          <w:rPr>
            <w:rStyle w:val="Lienhypertexte"/>
            <w:noProof/>
            <w:color w:val="auto"/>
          </w:rPr>
          <w:t>2.5.2.1. Démarches auprès des parents et rôle du Centre psycho-médico-social (CPMS)</w:t>
        </w:r>
        <w:r>
          <w:rPr>
            <w:noProof/>
            <w:webHidden/>
          </w:rPr>
          <w:tab/>
        </w:r>
        <w:r>
          <w:rPr>
            <w:noProof/>
            <w:webHidden/>
          </w:rPr>
          <w:fldChar w:fldCharType="begin"/>
        </w:r>
        <w:r>
          <w:rPr>
            <w:noProof/>
            <w:webHidden/>
          </w:rPr>
          <w:instrText xml:space="preserve"> PAGEREF _Toc486241720 \h </w:instrText>
        </w:r>
        <w:r>
          <w:rPr>
            <w:noProof/>
            <w:webHidden/>
          </w:rPr>
        </w:r>
        <w:r>
          <w:rPr>
            <w:noProof/>
            <w:webHidden/>
          </w:rPr>
          <w:fldChar w:fldCharType="separate"/>
        </w:r>
        <w:r>
          <w:rPr>
            <w:noProof/>
            <w:webHidden/>
          </w:rPr>
          <w:t>55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21" w:history="1">
        <w:r>
          <w:rPr>
            <w:rStyle w:val="Lienhypertexte"/>
            <w:noProof/>
            <w:color w:val="auto"/>
          </w:rPr>
          <w:t>2.5.2.2. Démarches auprès de l’Administration</w:t>
        </w:r>
        <w:r>
          <w:rPr>
            <w:noProof/>
            <w:webHidden/>
          </w:rPr>
          <w:tab/>
        </w:r>
        <w:r>
          <w:rPr>
            <w:noProof/>
            <w:webHidden/>
          </w:rPr>
          <w:fldChar w:fldCharType="begin"/>
        </w:r>
        <w:r>
          <w:rPr>
            <w:noProof/>
            <w:webHidden/>
          </w:rPr>
          <w:instrText xml:space="preserve"> PAGEREF _Toc486241721 \h </w:instrText>
        </w:r>
        <w:r>
          <w:rPr>
            <w:noProof/>
            <w:webHidden/>
          </w:rPr>
        </w:r>
        <w:r>
          <w:rPr>
            <w:noProof/>
            <w:webHidden/>
          </w:rPr>
          <w:fldChar w:fldCharType="separate"/>
        </w:r>
        <w:r>
          <w:rPr>
            <w:noProof/>
            <w:webHidden/>
          </w:rPr>
          <w:t>56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22" w:history="1">
        <w:r>
          <w:rPr>
            <w:rStyle w:val="Lienhypertexte"/>
            <w:noProof/>
            <w:color w:val="auto"/>
          </w:rPr>
          <w:t>2.5.2.3. Concertation et collaboration entre les acteurs scolaires et non scolaires favorisant l’accrochage scolaire</w:t>
        </w:r>
        <w:r>
          <w:rPr>
            <w:noProof/>
            <w:webHidden/>
          </w:rPr>
          <w:tab/>
        </w:r>
        <w:r>
          <w:rPr>
            <w:noProof/>
            <w:webHidden/>
          </w:rPr>
          <w:fldChar w:fldCharType="begin"/>
        </w:r>
        <w:r>
          <w:rPr>
            <w:noProof/>
            <w:webHidden/>
          </w:rPr>
          <w:instrText xml:space="preserve"> PAGEREF _Toc486241722 \h </w:instrText>
        </w:r>
        <w:r>
          <w:rPr>
            <w:noProof/>
            <w:webHidden/>
          </w:rPr>
        </w:r>
        <w:r>
          <w:rPr>
            <w:noProof/>
            <w:webHidden/>
          </w:rPr>
          <w:fldChar w:fldCharType="separate"/>
        </w:r>
        <w:r>
          <w:rPr>
            <w:noProof/>
            <w:webHidden/>
          </w:rPr>
          <w:t>56</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723" w:history="1">
        <w:r>
          <w:rPr>
            <w:rStyle w:val="Lienhypertexte"/>
            <w:noProof/>
            <w:color w:val="auto"/>
          </w:rPr>
          <w:t>Chapitre 2.6. Sanctions disciplinaires et exclusions</w:t>
        </w:r>
        <w:r>
          <w:rPr>
            <w:noProof/>
            <w:webHidden/>
          </w:rPr>
          <w:tab/>
        </w:r>
        <w:r>
          <w:rPr>
            <w:noProof/>
            <w:webHidden/>
          </w:rPr>
          <w:fldChar w:fldCharType="begin"/>
        </w:r>
        <w:r>
          <w:rPr>
            <w:noProof/>
            <w:webHidden/>
          </w:rPr>
          <w:instrText xml:space="preserve"> PAGEREF _Toc486241723 \h </w:instrText>
        </w:r>
        <w:r>
          <w:rPr>
            <w:noProof/>
            <w:webHidden/>
          </w:rPr>
        </w:r>
        <w:r>
          <w:rPr>
            <w:noProof/>
            <w:webHidden/>
          </w:rPr>
          <w:fldChar w:fldCharType="separate"/>
        </w:r>
        <w:r>
          <w:rPr>
            <w:noProof/>
            <w:webHidden/>
          </w:rPr>
          <w:t>62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24" w:history="1">
        <w:r>
          <w:rPr>
            <w:rStyle w:val="Lienhypertexte"/>
            <w:noProof/>
            <w:color w:val="auto"/>
          </w:rPr>
          <w:t>2.6.1. Sanctions disciplinaires</w:t>
        </w:r>
        <w:r>
          <w:rPr>
            <w:noProof/>
            <w:webHidden/>
          </w:rPr>
          <w:tab/>
        </w:r>
        <w:r>
          <w:rPr>
            <w:noProof/>
            <w:webHidden/>
          </w:rPr>
          <w:fldChar w:fldCharType="begin"/>
        </w:r>
        <w:r>
          <w:rPr>
            <w:noProof/>
            <w:webHidden/>
          </w:rPr>
          <w:instrText xml:space="preserve"> PAGEREF _Toc486241724 \h </w:instrText>
        </w:r>
        <w:r>
          <w:rPr>
            <w:noProof/>
            <w:webHidden/>
          </w:rPr>
        </w:r>
        <w:r>
          <w:rPr>
            <w:noProof/>
            <w:webHidden/>
          </w:rPr>
          <w:fldChar w:fldCharType="separate"/>
        </w:r>
        <w:r>
          <w:rPr>
            <w:noProof/>
            <w:webHidden/>
          </w:rPr>
          <w:t>62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25" w:history="1">
        <w:r>
          <w:rPr>
            <w:rStyle w:val="Lienhypertexte"/>
            <w:noProof/>
            <w:color w:val="auto"/>
          </w:rPr>
          <w:t>2.6.2. Exclusions</w:t>
        </w:r>
        <w:r>
          <w:rPr>
            <w:noProof/>
            <w:webHidden/>
          </w:rPr>
          <w:tab/>
        </w:r>
        <w:r>
          <w:rPr>
            <w:noProof/>
            <w:webHidden/>
          </w:rPr>
          <w:fldChar w:fldCharType="begin"/>
        </w:r>
        <w:r>
          <w:rPr>
            <w:noProof/>
            <w:webHidden/>
          </w:rPr>
          <w:instrText xml:space="preserve"> PAGEREF _Toc486241725 \h </w:instrText>
        </w:r>
        <w:r>
          <w:rPr>
            <w:noProof/>
            <w:webHidden/>
          </w:rPr>
        </w:r>
        <w:r>
          <w:rPr>
            <w:noProof/>
            <w:webHidden/>
          </w:rPr>
          <w:fldChar w:fldCharType="separate"/>
        </w:r>
        <w:r>
          <w:rPr>
            <w:noProof/>
            <w:webHidden/>
          </w:rPr>
          <w:t>63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26" w:history="1">
        <w:r>
          <w:rPr>
            <w:rStyle w:val="Lienhypertexte"/>
            <w:noProof/>
            <w:color w:val="auto"/>
          </w:rPr>
          <w:t>2.6.2.1. L’exclusion provisoire</w:t>
        </w:r>
        <w:r>
          <w:rPr>
            <w:noProof/>
            <w:webHidden/>
          </w:rPr>
          <w:tab/>
        </w:r>
        <w:r>
          <w:rPr>
            <w:noProof/>
            <w:webHidden/>
          </w:rPr>
          <w:fldChar w:fldCharType="begin"/>
        </w:r>
        <w:r>
          <w:rPr>
            <w:noProof/>
            <w:webHidden/>
          </w:rPr>
          <w:instrText xml:space="preserve"> PAGEREF _Toc486241726 \h </w:instrText>
        </w:r>
        <w:r>
          <w:rPr>
            <w:noProof/>
            <w:webHidden/>
          </w:rPr>
        </w:r>
        <w:r>
          <w:rPr>
            <w:noProof/>
            <w:webHidden/>
          </w:rPr>
          <w:fldChar w:fldCharType="separate"/>
        </w:r>
        <w:r>
          <w:rPr>
            <w:noProof/>
            <w:webHidden/>
          </w:rPr>
          <w:t>63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27" w:history="1">
        <w:r>
          <w:rPr>
            <w:rStyle w:val="Lienhypertexte"/>
            <w:noProof/>
            <w:color w:val="auto"/>
          </w:rPr>
          <w:t>2.6.2.2. L’exclusion définitive</w:t>
        </w:r>
        <w:r>
          <w:rPr>
            <w:noProof/>
            <w:webHidden/>
          </w:rPr>
          <w:tab/>
        </w:r>
        <w:r>
          <w:rPr>
            <w:noProof/>
            <w:webHidden/>
          </w:rPr>
          <w:fldChar w:fldCharType="begin"/>
        </w:r>
        <w:r>
          <w:rPr>
            <w:noProof/>
            <w:webHidden/>
          </w:rPr>
          <w:instrText xml:space="preserve"> PAGEREF _Toc486241727 \h </w:instrText>
        </w:r>
        <w:r>
          <w:rPr>
            <w:noProof/>
            <w:webHidden/>
          </w:rPr>
        </w:r>
        <w:r>
          <w:rPr>
            <w:noProof/>
            <w:webHidden/>
          </w:rPr>
          <w:fldChar w:fldCharType="separate"/>
        </w:r>
        <w:r>
          <w:rPr>
            <w:noProof/>
            <w:webHidden/>
          </w:rPr>
          <w:t>63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28" w:history="1">
        <w:r>
          <w:rPr>
            <w:rStyle w:val="Lienhypertexte"/>
            <w:noProof/>
            <w:color w:val="auto"/>
          </w:rPr>
          <w:t>2.6.2.3. Recours</w:t>
        </w:r>
        <w:r>
          <w:rPr>
            <w:noProof/>
            <w:webHidden/>
          </w:rPr>
          <w:tab/>
        </w:r>
        <w:r>
          <w:rPr>
            <w:noProof/>
            <w:webHidden/>
          </w:rPr>
          <w:fldChar w:fldCharType="begin"/>
        </w:r>
        <w:r>
          <w:rPr>
            <w:noProof/>
            <w:webHidden/>
          </w:rPr>
          <w:instrText xml:space="preserve"> PAGEREF _Toc486241728 \h </w:instrText>
        </w:r>
        <w:r>
          <w:rPr>
            <w:noProof/>
            <w:webHidden/>
          </w:rPr>
        </w:r>
        <w:r>
          <w:rPr>
            <w:noProof/>
            <w:webHidden/>
          </w:rPr>
          <w:fldChar w:fldCharType="separate"/>
        </w:r>
        <w:r>
          <w:rPr>
            <w:noProof/>
            <w:webHidden/>
          </w:rPr>
          <w:t>66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29" w:history="1">
        <w:r>
          <w:rPr>
            <w:rStyle w:val="Lienhypertexte"/>
            <w:noProof/>
            <w:color w:val="auto"/>
          </w:rPr>
          <w:t>2.6.2.4. Après l’exclusion de l’élève</w:t>
        </w:r>
        <w:r>
          <w:rPr>
            <w:noProof/>
            <w:webHidden/>
          </w:rPr>
          <w:tab/>
        </w:r>
        <w:r>
          <w:rPr>
            <w:noProof/>
            <w:webHidden/>
          </w:rPr>
          <w:fldChar w:fldCharType="begin"/>
        </w:r>
        <w:r>
          <w:rPr>
            <w:noProof/>
            <w:webHidden/>
          </w:rPr>
          <w:instrText xml:space="preserve"> PAGEREF _Toc486241729 \h </w:instrText>
        </w:r>
        <w:r>
          <w:rPr>
            <w:noProof/>
            <w:webHidden/>
          </w:rPr>
        </w:r>
        <w:r>
          <w:rPr>
            <w:noProof/>
            <w:webHidden/>
          </w:rPr>
          <w:fldChar w:fldCharType="separate"/>
        </w:r>
        <w:r>
          <w:rPr>
            <w:noProof/>
            <w:webHidden/>
          </w:rPr>
          <w:t>67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30" w:history="1">
        <w:r>
          <w:rPr>
            <w:rStyle w:val="Lienhypertexte"/>
            <w:noProof/>
            <w:color w:val="auto"/>
          </w:rPr>
          <w:t>2.6.2.5. Incidence sur l'encadrement et les dotations/subventions de fonctionnement</w:t>
        </w:r>
        <w:r>
          <w:rPr>
            <w:noProof/>
            <w:webHidden/>
          </w:rPr>
          <w:tab/>
        </w:r>
        <w:r>
          <w:rPr>
            <w:noProof/>
            <w:webHidden/>
          </w:rPr>
          <w:fldChar w:fldCharType="begin"/>
        </w:r>
        <w:r>
          <w:rPr>
            <w:noProof/>
            <w:webHidden/>
          </w:rPr>
          <w:instrText xml:space="preserve"> PAGEREF _Toc486241730 \h </w:instrText>
        </w:r>
        <w:r>
          <w:rPr>
            <w:noProof/>
            <w:webHidden/>
          </w:rPr>
        </w:r>
        <w:r>
          <w:rPr>
            <w:noProof/>
            <w:webHidden/>
          </w:rPr>
          <w:fldChar w:fldCharType="separate"/>
        </w:r>
        <w:r>
          <w:rPr>
            <w:noProof/>
            <w:webHidden/>
          </w:rPr>
          <w:t>68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31" w:history="1">
        <w:r>
          <w:rPr>
            <w:rStyle w:val="Lienhypertexte"/>
            <w:noProof/>
            <w:color w:val="auto"/>
          </w:rPr>
          <w:t>2.6.2.6. Dispositions relatives aux faits graves devant figurer dans le règlement d’ordre intérieur</w:t>
        </w:r>
        <w:r>
          <w:rPr>
            <w:noProof/>
            <w:webHidden/>
          </w:rPr>
          <w:tab/>
        </w:r>
        <w:r>
          <w:rPr>
            <w:noProof/>
            <w:webHidden/>
          </w:rPr>
          <w:fldChar w:fldCharType="begin"/>
        </w:r>
        <w:r>
          <w:rPr>
            <w:noProof/>
            <w:webHidden/>
          </w:rPr>
          <w:instrText xml:space="preserve"> PAGEREF _Toc486241731 \h </w:instrText>
        </w:r>
        <w:r>
          <w:rPr>
            <w:noProof/>
            <w:webHidden/>
          </w:rPr>
        </w:r>
        <w:r>
          <w:rPr>
            <w:noProof/>
            <w:webHidden/>
          </w:rPr>
          <w:fldChar w:fldCharType="separate"/>
        </w:r>
        <w:r>
          <w:rPr>
            <w:noProof/>
            <w:webHidden/>
          </w:rPr>
          <w:t>68</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732" w:history="1">
        <w:r>
          <w:rPr>
            <w:rStyle w:val="Lienhypertexte"/>
            <w:noProof/>
            <w:color w:val="auto"/>
          </w:rPr>
          <w:t>Chapitre 2.7. Gestion des conflits et actes de violence</w:t>
        </w:r>
        <w:r>
          <w:rPr>
            <w:noProof/>
            <w:webHidden/>
          </w:rPr>
          <w:tab/>
        </w:r>
        <w:r>
          <w:rPr>
            <w:noProof/>
            <w:webHidden/>
          </w:rPr>
          <w:fldChar w:fldCharType="begin"/>
        </w:r>
        <w:r>
          <w:rPr>
            <w:noProof/>
            <w:webHidden/>
          </w:rPr>
          <w:instrText xml:space="preserve"> PAGEREF _Toc486241732 \h </w:instrText>
        </w:r>
        <w:r>
          <w:rPr>
            <w:noProof/>
            <w:webHidden/>
          </w:rPr>
        </w:r>
        <w:r>
          <w:rPr>
            <w:noProof/>
            <w:webHidden/>
          </w:rPr>
          <w:fldChar w:fldCharType="separate"/>
        </w:r>
        <w:r>
          <w:rPr>
            <w:noProof/>
            <w:webHidden/>
          </w:rPr>
          <w:t>69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33" w:history="1">
        <w:r>
          <w:rPr>
            <w:rStyle w:val="Lienhypertexte"/>
            <w:noProof/>
            <w:color w:val="auto"/>
          </w:rPr>
          <w:t>2.7.1. Assistance en justice et/ou assistance psychologique en faveur des personnes liées à un établissement scolaire ou à un centre psycho-médico-social</w:t>
        </w:r>
        <w:r>
          <w:rPr>
            <w:noProof/>
            <w:webHidden/>
          </w:rPr>
          <w:tab/>
        </w:r>
        <w:r>
          <w:rPr>
            <w:noProof/>
            <w:webHidden/>
          </w:rPr>
          <w:fldChar w:fldCharType="begin"/>
        </w:r>
        <w:r>
          <w:rPr>
            <w:noProof/>
            <w:webHidden/>
          </w:rPr>
          <w:instrText xml:space="preserve"> PAGEREF _Toc486241733 \h </w:instrText>
        </w:r>
        <w:r>
          <w:rPr>
            <w:noProof/>
            <w:webHidden/>
          </w:rPr>
        </w:r>
        <w:r>
          <w:rPr>
            <w:noProof/>
            <w:webHidden/>
          </w:rPr>
          <w:fldChar w:fldCharType="separate"/>
        </w:r>
        <w:r>
          <w:rPr>
            <w:noProof/>
            <w:webHidden/>
          </w:rPr>
          <w:t>69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34" w:history="1">
        <w:r>
          <w:rPr>
            <w:rStyle w:val="Lienhypertexte"/>
            <w:noProof/>
            <w:color w:val="auto"/>
          </w:rPr>
          <w:t>2.7.1.1. Préambule</w:t>
        </w:r>
        <w:r>
          <w:rPr>
            <w:noProof/>
            <w:webHidden/>
          </w:rPr>
          <w:tab/>
        </w:r>
        <w:r>
          <w:rPr>
            <w:noProof/>
            <w:webHidden/>
          </w:rPr>
          <w:fldChar w:fldCharType="begin"/>
        </w:r>
        <w:r>
          <w:rPr>
            <w:noProof/>
            <w:webHidden/>
          </w:rPr>
          <w:instrText xml:space="preserve"> PAGEREF _Toc486241734 \h </w:instrText>
        </w:r>
        <w:r>
          <w:rPr>
            <w:noProof/>
            <w:webHidden/>
          </w:rPr>
        </w:r>
        <w:r>
          <w:rPr>
            <w:noProof/>
            <w:webHidden/>
          </w:rPr>
          <w:fldChar w:fldCharType="separate"/>
        </w:r>
        <w:r>
          <w:rPr>
            <w:noProof/>
            <w:webHidden/>
          </w:rPr>
          <w:t>69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35" w:history="1">
        <w:r>
          <w:rPr>
            <w:rStyle w:val="Lienhypertexte"/>
            <w:noProof/>
            <w:color w:val="auto"/>
          </w:rPr>
          <w:t>2.7.1.2. Procédure de demande d’assistance en justice et/ou psychologique</w:t>
        </w:r>
        <w:r>
          <w:rPr>
            <w:noProof/>
            <w:webHidden/>
          </w:rPr>
          <w:tab/>
        </w:r>
        <w:r>
          <w:rPr>
            <w:noProof/>
            <w:webHidden/>
          </w:rPr>
          <w:fldChar w:fldCharType="begin"/>
        </w:r>
        <w:r>
          <w:rPr>
            <w:noProof/>
            <w:webHidden/>
          </w:rPr>
          <w:instrText xml:space="preserve"> PAGEREF _Toc486241735 \h </w:instrText>
        </w:r>
        <w:r>
          <w:rPr>
            <w:noProof/>
            <w:webHidden/>
          </w:rPr>
        </w:r>
        <w:r>
          <w:rPr>
            <w:noProof/>
            <w:webHidden/>
          </w:rPr>
          <w:fldChar w:fldCharType="separate"/>
        </w:r>
        <w:r>
          <w:rPr>
            <w:noProof/>
            <w:webHidden/>
          </w:rPr>
          <w:t>69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36" w:history="1">
        <w:r>
          <w:rPr>
            <w:rStyle w:val="Lienhypertexte"/>
            <w:noProof/>
            <w:color w:val="auto"/>
          </w:rPr>
          <w:t>2.7.2. Le Service des équipes mobiles</w:t>
        </w:r>
        <w:r>
          <w:rPr>
            <w:noProof/>
            <w:webHidden/>
          </w:rPr>
          <w:tab/>
        </w:r>
        <w:r>
          <w:rPr>
            <w:noProof/>
            <w:webHidden/>
          </w:rPr>
          <w:fldChar w:fldCharType="begin"/>
        </w:r>
        <w:r>
          <w:rPr>
            <w:noProof/>
            <w:webHidden/>
          </w:rPr>
          <w:instrText xml:space="preserve"> PAGEREF _Toc486241736 \h </w:instrText>
        </w:r>
        <w:r>
          <w:rPr>
            <w:noProof/>
            <w:webHidden/>
          </w:rPr>
        </w:r>
        <w:r>
          <w:rPr>
            <w:noProof/>
            <w:webHidden/>
          </w:rPr>
          <w:fldChar w:fldCharType="separate"/>
        </w:r>
        <w:r>
          <w:rPr>
            <w:noProof/>
            <w:webHidden/>
          </w:rPr>
          <w:t>70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37" w:history="1">
        <w:r>
          <w:rPr>
            <w:rStyle w:val="Lienhypertexte"/>
            <w:noProof/>
            <w:color w:val="auto"/>
          </w:rPr>
          <w:t>2.7.3. Collaboration avec les services de police</w:t>
        </w:r>
        <w:r>
          <w:rPr>
            <w:noProof/>
            <w:webHidden/>
          </w:rPr>
          <w:tab/>
        </w:r>
        <w:r>
          <w:rPr>
            <w:noProof/>
            <w:webHidden/>
          </w:rPr>
          <w:fldChar w:fldCharType="begin"/>
        </w:r>
        <w:r>
          <w:rPr>
            <w:noProof/>
            <w:webHidden/>
          </w:rPr>
          <w:instrText xml:space="preserve"> PAGEREF _Toc486241737 \h </w:instrText>
        </w:r>
        <w:r>
          <w:rPr>
            <w:noProof/>
            <w:webHidden/>
          </w:rPr>
        </w:r>
        <w:r>
          <w:rPr>
            <w:noProof/>
            <w:webHidden/>
          </w:rPr>
          <w:fldChar w:fldCharType="separate"/>
        </w:r>
        <w:r>
          <w:rPr>
            <w:noProof/>
            <w:webHidden/>
          </w:rPr>
          <w:t>71</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38" w:history="1">
        <w:r>
          <w:rPr>
            <w:rStyle w:val="Lienhypertexte"/>
            <w:noProof/>
            <w:color w:val="auto"/>
          </w:rPr>
          <w:t>2.7.4. Le numéro vert  « Assistance Ecoles »: Pour qui ? Pour quoi ?</w:t>
        </w:r>
        <w:r>
          <w:rPr>
            <w:noProof/>
            <w:webHidden/>
          </w:rPr>
          <w:tab/>
        </w:r>
        <w:r>
          <w:rPr>
            <w:noProof/>
            <w:webHidden/>
          </w:rPr>
          <w:fldChar w:fldCharType="begin"/>
        </w:r>
        <w:r>
          <w:rPr>
            <w:noProof/>
            <w:webHidden/>
          </w:rPr>
          <w:instrText xml:space="preserve"> PAGEREF _Toc486241738 \h </w:instrText>
        </w:r>
        <w:r>
          <w:rPr>
            <w:noProof/>
            <w:webHidden/>
          </w:rPr>
        </w:r>
        <w:r>
          <w:rPr>
            <w:noProof/>
            <w:webHidden/>
          </w:rPr>
          <w:fldChar w:fldCharType="separate"/>
        </w:r>
        <w:r>
          <w:rPr>
            <w:noProof/>
            <w:webHidden/>
          </w:rPr>
          <w:t>71</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739" w:history="1">
        <w:r>
          <w:rPr>
            <w:rStyle w:val="Lienhypertexte"/>
            <w:noProof/>
            <w:color w:val="auto"/>
          </w:rPr>
          <w:t>Chapitre 2.8. Intégration d'élèves issus de l'enseignement spécialisé</w:t>
        </w:r>
        <w:r>
          <w:rPr>
            <w:noProof/>
            <w:webHidden/>
          </w:rPr>
          <w:tab/>
        </w:r>
        <w:r>
          <w:rPr>
            <w:noProof/>
            <w:webHidden/>
          </w:rPr>
          <w:fldChar w:fldCharType="begin"/>
        </w:r>
        <w:r>
          <w:rPr>
            <w:noProof/>
            <w:webHidden/>
          </w:rPr>
          <w:instrText xml:space="preserve"> PAGEREF _Toc486241739 \h </w:instrText>
        </w:r>
        <w:r>
          <w:rPr>
            <w:noProof/>
            <w:webHidden/>
          </w:rPr>
        </w:r>
        <w:r>
          <w:rPr>
            <w:noProof/>
            <w:webHidden/>
          </w:rPr>
          <w:fldChar w:fldCharType="separate"/>
        </w:r>
        <w:r>
          <w:rPr>
            <w:noProof/>
            <w:webHidden/>
          </w:rPr>
          <w:t>73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40" w:history="1">
        <w:r>
          <w:rPr>
            <w:rStyle w:val="Lienhypertexte"/>
            <w:noProof/>
            <w:color w:val="auto"/>
          </w:rPr>
          <w:t>2. 8. 1. Définitions</w:t>
        </w:r>
        <w:r>
          <w:rPr>
            <w:noProof/>
            <w:webHidden/>
          </w:rPr>
          <w:tab/>
        </w:r>
        <w:r>
          <w:rPr>
            <w:noProof/>
            <w:webHidden/>
          </w:rPr>
          <w:fldChar w:fldCharType="begin"/>
        </w:r>
        <w:r>
          <w:rPr>
            <w:noProof/>
            <w:webHidden/>
          </w:rPr>
          <w:instrText xml:space="preserve"> PAGEREF _Toc486241740 \h </w:instrText>
        </w:r>
        <w:r>
          <w:rPr>
            <w:noProof/>
            <w:webHidden/>
          </w:rPr>
        </w:r>
        <w:r>
          <w:rPr>
            <w:noProof/>
            <w:webHidden/>
          </w:rPr>
          <w:fldChar w:fldCharType="separate"/>
        </w:r>
        <w:r>
          <w:rPr>
            <w:noProof/>
            <w:webHidden/>
          </w:rPr>
          <w:t>73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41" w:history="1">
        <w:r>
          <w:rPr>
            <w:rStyle w:val="Lienhypertexte"/>
            <w:noProof/>
            <w:color w:val="auto"/>
          </w:rPr>
          <w:t>2. 8. 2. Gestion administrative du dossier de l’élève</w:t>
        </w:r>
        <w:r>
          <w:rPr>
            <w:noProof/>
            <w:webHidden/>
          </w:rPr>
          <w:tab/>
        </w:r>
        <w:r>
          <w:rPr>
            <w:noProof/>
            <w:webHidden/>
          </w:rPr>
          <w:fldChar w:fldCharType="begin"/>
        </w:r>
        <w:r>
          <w:rPr>
            <w:noProof/>
            <w:webHidden/>
          </w:rPr>
          <w:instrText xml:space="preserve"> PAGEREF _Toc486241741 \h </w:instrText>
        </w:r>
        <w:r>
          <w:rPr>
            <w:noProof/>
            <w:webHidden/>
          </w:rPr>
        </w:r>
        <w:r>
          <w:rPr>
            <w:noProof/>
            <w:webHidden/>
          </w:rPr>
          <w:fldChar w:fldCharType="separate"/>
        </w:r>
        <w:r>
          <w:rPr>
            <w:noProof/>
            <w:webHidden/>
          </w:rPr>
          <w:t>74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42" w:history="1">
        <w:r>
          <w:rPr>
            <w:rStyle w:val="Lienhypertexte"/>
            <w:noProof/>
            <w:color w:val="auto"/>
          </w:rPr>
          <w:t>2. 8. 2. 1. Protocole d’intégration et vérification de la population scolaire</w:t>
        </w:r>
        <w:r>
          <w:rPr>
            <w:noProof/>
            <w:webHidden/>
          </w:rPr>
          <w:tab/>
        </w:r>
        <w:r>
          <w:rPr>
            <w:noProof/>
            <w:webHidden/>
          </w:rPr>
          <w:fldChar w:fldCharType="begin"/>
        </w:r>
        <w:r>
          <w:rPr>
            <w:noProof/>
            <w:webHidden/>
          </w:rPr>
          <w:instrText xml:space="preserve"> PAGEREF _Toc486241742 \h </w:instrText>
        </w:r>
        <w:r>
          <w:rPr>
            <w:noProof/>
            <w:webHidden/>
          </w:rPr>
        </w:r>
        <w:r>
          <w:rPr>
            <w:noProof/>
            <w:webHidden/>
          </w:rPr>
          <w:fldChar w:fldCharType="separate"/>
        </w:r>
        <w:r>
          <w:rPr>
            <w:noProof/>
            <w:webHidden/>
          </w:rPr>
          <w:t>74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43" w:history="1">
        <w:r>
          <w:rPr>
            <w:rStyle w:val="Lienhypertexte"/>
            <w:noProof/>
            <w:color w:val="auto"/>
          </w:rPr>
          <w:t>2. 8. 2. 2. Règles de comptabilisation, d’inscription et de tenue des registres</w:t>
        </w:r>
        <w:r>
          <w:rPr>
            <w:noProof/>
            <w:webHidden/>
          </w:rPr>
          <w:tab/>
        </w:r>
        <w:r>
          <w:rPr>
            <w:noProof/>
            <w:webHidden/>
          </w:rPr>
          <w:fldChar w:fldCharType="begin"/>
        </w:r>
        <w:r>
          <w:rPr>
            <w:noProof/>
            <w:webHidden/>
          </w:rPr>
          <w:instrText xml:space="preserve"> PAGEREF _Toc486241743 \h </w:instrText>
        </w:r>
        <w:r>
          <w:rPr>
            <w:noProof/>
            <w:webHidden/>
          </w:rPr>
        </w:r>
        <w:r>
          <w:rPr>
            <w:noProof/>
            <w:webHidden/>
          </w:rPr>
          <w:fldChar w:fldCharType="separate"/>
        </w:r>
        <w:r>
          <w:rPr>
            <w:noProof/>
            <w:webHidden/>
          </w:rPr>
          <w:t>74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44" w:history="1">
        <w:r>
          <w:rPr>
            <w:rStyle w:val="Lienhypertexte"/>
            <w:noProof/>
            <w:color w:val="auto"/>
          </w:rPr>
          <w:t>2. 8. 2. 3. Certification de l’élève</w:t>
        </w:r>
        <w:r>
          <w:rPr>
            <w:noProof/>
            <w:webHidden/>
          </w:rPr>
          <w:tab/>
        </w:r>
        <w:r>
          <w:rPr>
            <w:noProof/>
            <w:webHidden/>
          </w:rPr>
          <w:fldChar w:fldCharType="begin"/>
        </w:r>
        <w:r>
          <w:rPr>
            <w:noProof/>
            <w:webHidden/>
          </w:rPr>
          <w:instrText xml:space="preserve"> PAGEREF _Toc486241744 \h </w:instrText>
        </w:r>
        <w:r>
          <w:rPr>
            <w:noProof/>
            <w:webHidden/>
          </w:rPr>
        </w:r>
        <w:r>
          <w:rPr>
            <w:noProof/>
            <w:webHidden/>
          </w:rPr>
          <w:fldChar w:fldCharType="separate"/>
        </w:r>
        <w:r>
          <w:rPr>
            <w:noProof/>
            <w:webHidden/>
          </w:rPr>
          <w:t>75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45" w:history="1">
        <w:r>
          <w:rPr>
            <w:rStyle w:val="Lienhypertexte"/>
            <w:noProof/>
            <w:color w:val="auto"/>
          </w:rPr>
          <w:t>2. 8. 2. 4. Dispositions particulières</w:t>
        </w:r>
        <w:r>
          <w:rPr>
            <w:noProof/>
            <w:webHidden/>
          </w:rPr>
          <w:tab/>
        </w:r>
        <w:r>
          <w:rPr>
            <w:noProof/>
            <w:webHidden/>
          </w:rPr>
          <w:fldChar w:fldCharType="begin"/>
        </w:r>
        <w:r>
          <w:rPr>
            <w:noProof/>
            <w:webHidden/>
          </w:rPr>
          <w:instrText xml:space="preserve"> PAGEREF _Toc486241745 \h </w:instrText>
        </w:r>
        <w:r>
          <w:rPr>
            <w:noProof/>
            <w:webHidden/>
          </w:rPr>
        </w:r>
        <w:r>
          <w:rPr>
            <w:noProof/>
            <w:webHidden/>
          </w:rPr>
          <w:fldChar w:fldCharType="separate"/>
        </w:r>
        <w:r>
          <w:rPr>
            <w:noProof/>
            <w:webHidden/>
          </w:rPr>
          <w:t>75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46" w:history="1">
        <w:r>
          <w:rPr>
            <w:rStyle w:val="Lienhypertexte"/>
            <w:noProof/>
            <w:color w:val="auto"/>
          </w:rPr>
          <w:t>2. 8. 3. Dispositions pédagogiques et d’accompagnement</w:t>
        </w:r>
        <w:r>
          <w:rPr>
            <w:noProof/>
            <w:webHidden/>
          </w:rPr>
          <w:tab/>
        </w:r>
        <w:r>
          <w:rPr>
            <w:noProof/>
            <w:webHidden/>
          </w:rPr>
          <w:fldChar w:fldCharType="begin"/>
        </w:r>
        <w:r>
          <w:rPr>
            <w:noProof/>
            <w:webHidden/>
          </w:rPr>
          <w:instrText xml:space="preserve"> PAGEREF _Toc486241746 \h </w:instrText>
        </w:r>
        <w:r>
          <w:rPr>
            <w:noProof/>
            <w:webHidden/>
          </w:rPr>
        </w:r>
        <w:r>
          <w:rPr>
            <w:noProof/>
            <w:webHidden/>
          </w:rPr>
          <w:fldChar w:fldCharType="separate"/>
        </w:r>
        <w:r>
          <w:rPr>
            <w:noProof/>
            <w:webHidden/>
          </w:rPr>
          <w:t>75</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747" w:history="1">
        <w:r>
          <w:rPr>
            <w:rStyle w:val="Lienhypertexte"/>
            <w:noProof/>
            <w:color w:val="auto"/>
          </w:rPr>
          <w:t>Chapitre 2.9. Les commissions consultatives de l’enseignement spécialisé</w:t>
        </w:r>
        <w:r>
          <w:rPr>
            <w:noProof/>
            <w:webHidden/>
          </w:rPr>
          <w:tab/>
        </w:r>
        <w:r>
          <w:rPr>
            <w:noProof/>
            <w:webHidden/>
          </w:rPr>
          <w:fldChar w:fldCharType="begin"/>
        </w:r>
        <w:r>
          <w:rPr>
            <w:noProof/>
            <w:webHidden/>
          </w:rPr>
          <w:instrText xml:space="preserve"> PAGEREF _Toc486241747 \h </w:instrText>
        </w:r>
        <w:r>
          <w:rPr>
            <w:noProof/>
            <w:webHidden/>
          </w:rPr>
        </w:r>
        <w:r>
          <w:rPr>
            <w:noProof/>
            <w:webHidden/>
          </w:rPr>
          <w:fldChar w:fldCharType="separate"/>
        </w:r>
        <w:r>
          <w:rPr>
            <w:noProof/>
            <w:webHidden/>
          </w:rPr>
          <w:t>76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48" w:history="1">
        <w:r>
          <w:rPr>
            <w:rStyle w:val="Lienhypertexte"/>
            <w:noProof/>
            <w:color w:val="auto"/>
          </w:rPr>
          <w:t>2.9.1. Missions des commissions consultatives</w:t>
        </w:r>
        <w:r>
          <w:rPr>
            <w:noProof/>
            <w:webHidden/>
          </w:rPr>
          <w:tab/>
        </w:r>
        <w:r>
          <w:rPr>
            <w:noProof/>
            <w:webHidden/>
          </w:rPr>
          <w:fldChar w:fldCharType="begin"/>
        </w:r>
        <w:r>
          <w:rPr>
            <w:noProof/>
            <w:webHidden/>
          </w:rPr>
          <w:instrText xml:space="preserve"> PAGEREF _Toc486241748 \h </w:instrText>
        </w:r>
        <w:r>
          <w:rPr>
            <w:noProof/>
            <w:webHidden/>
          </w:rPr>
        </w:r>
        <w:r>
          <w:rPr>
            <w:noProof/>
            <w:webHidden/>
          </w:rPr>
          <w:fldChar w:fldCharType="separate"/>
        </w:r>
        <w:r>
          <w:rPr>
            <w:noProof/>
            <w:webHidden/>
          </w:rPr>
          <w:t>76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49" w:history="1">
        <w:r>
          <w:rPr>
            <w:rStyle w:val="Lienhypertexte"/>
            <w:noProof/>
            <w:color w:val="auto"/>
          </w:rPr>
          <w:t>2.9.2. Introduction des demandes</w:t>
        </w:r>
        <w:r>
          <w:rPr>
            <w:noProof/>
            <w:webHidden/>
          </w:rPr>
          <w:tab/>
        </w:r>
        <w:r>
          <w:rPr>
            <w:noProof/>
            <w:webHidden/>
          </w:rPr>
          <w:fldChar w:fldCharType="begin"/>
        </w:r>
        <w:r>
          <w:rPr>
            <w:noProof/>
            <w:webHidden/>
          </w:rPr>
          <w:instrText xml:space="preserve"> PAGEREF _Toc486241749 \h </w:instrText>
        </w:r>
        <w:r>
          <w:rPr>
            <w:noProof/>
            <w:webHidden/>
          </w:rPr>
        </w:r>
        <w:r>
          <w:rPr>
            <w:noProof/>
            <w:webHidden/>
          </w:rPr>
          <w:fldChar w:fldCharType="separate"/>
        </w:r>
        <w:r>
          <w:rPr>
            <w:noProof/>
            <w:webHidden/>
          </w:rPr>
          <w:t>76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50" w:history="1">
        <w:r>
          <w:rPr>
            <w:rStyle w:val="Lienhypertexte"/>
            <w:noProof/>
            <w:color w:val="auto"/>
          </w:rPr>
          <w:t>2.9.3. Modalités d’organisation des commissions consultatives</w:t>
        </w:r>
        <w:r>
          <w:rPr>
            <w:noProof/>
            <w:webHidden/>
          </w:rPr>
          <w:tab/>
        </w:r>
        <w:r>
          <w:rPr>
            <w:noProof/>
            <w:webHidden/>
          </w:rPr>
          <w:fldChar w:fldCharType="begin"/>
        </w:r>
        <w:r>
          <w:rPr>
            <w:noProof/>
            <w:webHidden/>
          </w:rPr>
          <w:instrText xml:space="preserve"> PAGEREF _Toc486241750 \h </w:instrText>
        </w:r>
        <w:r>
          <w:rPr>
            <w:noProof/>
            <w:webHidden/>
          </w:rPr>
        </w:r>
        <w:r>
          <w:rPr>
            <w:noProof/>
            <w:webHidden/>
          </w:rPr>
          <w:fldChar w:fldCharType="separate"/>
        </w:r>
        <w:r>
          <w:rPr>
            <w:noProof/>
            <w:webHidden/>
          </w:rPr>
          <w:t>77</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51" w:history="1">
        <w:r>
          <w:rPr>
            <w:rStyle w:val="Lienhypertexte"/>
            <w:noProof/>
            <w:color w:val="auto"/>
          </w:rPr>
          <w:t>2.9.4. Fonctionnement des commissions consultatives</w:t>
        </w:r>
        <w:r>
          <w:rPr>
            <w:noProof/>
            <w:webHidden/>
          </w:rPr>
          <w:tab/>
        </w:r>
        <w:r>
          <w:rPr>
            <w:noProof/>
            <w:webHidden/>
          </w:rPr>
          <w:fldChar w:fldCharType="begin"/>
        </w:r>
        <w:r>
          <w:rPr>
            <w:noProof/>
            <w:webHidden/>
          </w:rPr>
          <w:instrText xml:space="preserve"> PAGEREF _Toc486241751 \h </w:instrText>
        </w:r>
        <w:r>
          <w:rPr>
            <w:noProof/>
            <w:webHidden/>
          </w:rPr>
        </w:r>
        <w:r>
          <w:rPr>
            <w:noProof/>
            <w:webHidden/>
          </w:rPr>
          <w:fldChar w:fldCharType="separate"/>
        </w:r>
        <w:r>
          <w:rPr>
            <w:noProof/>
            <w:webHidden/>
          </w:rPr>
          <w:t>77</w:t>
        </w:r>
        <w:r>
          <w:rPr>
            <w:noProof/>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752" w:history="1">
        <w:r>
          <w:rPr>
            <w:rStyle w:val="Lienhypertexte"/>
            <w:color w:val="auto"/>
          </w:rPr>
          <w:t xml:space="preserve">Titre 3. </w:t>
        </w:r>
        <w:r>
          <w:rPr>
            <w:rFonts w:asciiTheme="minorHAnsi" w:eastAsiaTheme="minorEastAsia" w:hAnsiTheme="minorHAnsi" w:cstheme="minorBidi"/>
            <w:b w:val="0"/>
            <w:bCs w:val="0"/>
            <w:caps w:val="0"/>
            <w:lang w:val="fr-BE" w:eastAsia="fr-BE"/>
          </w:rPr>
          <w:tab/>
        </w:r>
        <w:r>
          <w:rPr>
            <w:rStyle w:val="Lienhypertexte"/>
            <w:color w:val="auto"/>
          </w:rPr>
          <w:t>Structures et encadrement</w:t>
        </w:r>
        <w:r>
          <w:rPr>
            <w:webHidden/>
          </w:rPr>
          <w:tab/>
        </w:r>
        <w:r>
          <w:rPr>
            <w:webHidden/>
          </w:rPr>
          <w:fldChar w:fldCharType="begin"/>
        </w:r>
        <w:r>
          <w:rPr>
            <w:webHidden/>
          </w:rPr>
          <w:instrText xml:space="preserve"> PAGEREF _Toc486241752 \h </w:instrText>
        </w:r>
        <w:r>
          <w:rPr>
            <w:webHidden/>
          </w:rPr>
        </w:r>
        <w:r>
          <w:rPr>
            <w:webHidden/>
          </w:rPr>
          <w:fldChar w:fldCharType="separate"/>
        </w:r>
        <w:r>
          <w:rPr>
            <w:webHidden/>
          </w:rPr>
          <w:t>78</w:t>
        </w:r>
        <w:r>
          <w:rPr>
            <w:webHidden/>
          </w:rPr>
          <w:fldChar w:fldCharType="end"/>
        </w:r>
      </w:hyperlink>
    </w:p>
    <w:p>
      <w:pPr>
        <w:pStyle w:val="TM2"/>
        <w:rPr>
          <w:rFonts w:asciiTheme="minorHAnsi" w:eastAsiaTheme="minorEastAsia" w:hAnsiTheme="minorHAnsi" w:cstheme="minorBidi"/>
          <w:noProof/>
          <w:szCs w:val="22"/>
          <w:lang w:val="fr-BE" w:eastAsia="fr-BE"/>
        </w:rPr>
      </w:pPr>
      <w:hyperlink w:anchor="_Toc486241753" w:history="1">
        <w:r>
          <w:rPr>
            <w:rStyle w:val="Lienhypertexte"/>
            <w:noProof/>
            <w:color w:val="auto"/>
          </w:rPr>
          <w:t>Chapitre 3.1. Programmation et rationalisation</w:t>
        </w:r>
        <w:r>
          <w:rPr>
            <w:noProof/>
            <w:webHidden/>
          </w:rPr>
          <w:tab/>
        </w:r>
        <w:r>
          <w:rPr>
            <w:noProof/>
            <w:webHidden/>
          </w:rPr>
          <w:fldChar w:fldCharType="begin"/>
        </w:r>
        <w:r>
          <w:rPr>
            <w:noProof/>
            <w:webHidden/>
          </w:rPr>
          <w:instrText xml:space="preserve"> PAGEREF _Toc486241753 \h </w:instrText>
        </w:r>
        <w:r>
          <w:rPr>
            <w:noProof/>
            <w:webHidden/>
          </w:rPr>
        </w:r>
        <w:r>
          <w:rPr>
            <w:noProof/>
            <w:webHidden/>
          </w:rPr>
          <w:fldChar w:fldCharType="separate"/>
        </w:r>
        <w:r>
          <w:rPr>
            <w:noProof/>
            <w:webHidden/>
          </w:rPr>
          <w:t>78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54" w:history="1">
        <w:r>
          <w:rPr>
            <w:rStyle w:val="Lienhypertexte"/>
            <w:noProof/>
            <w:color w:val="auto"/>
          </w:rPr>
          <w:t>3.1.1. Définitions</w:t>
        </w:r>
        <w:r>
          <w:rPr>
            <w:noProof/>
            <w:webHidden/>
          </w:rPr>
          <w:tab/>
        </w:r>
        <w:r>
          <w:rPr>
            <w:noProof/>
            <w:webHidden/>
          </w:rPr>
          <w:fldChar w:fldCharType="begin"/>
        </w:r>
        <w:r>
          <w:rPr>
            <w:noProof/>
            <w:webHidden/>
          </w:rPr>
          <w:instrText xml:space="preserve"> PAGEREF _Toc486241754 \h </w:instrText>
        </w:r>
        <w:r>
          <w:rPr>
            <w:noProof/>
            <w:webHidden/>
          </w:rPr>
        </w:r>
        <w:r>
          <w:rPr>
            <w:noProof/>
            <w:webHidden/>
          </w:rPr>
          <w:fldChar w:fldCharType="separate"/>
        </w:r>
        <w:r>
          <w:rPr>
            <w:noProof/>
            <w:webHidden/>
          </w:rPr>
          <w:t>78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55" w:history="1">
        <w:r>
          <w:rPr>
            <w:rStyle w:val="Lienhypertexte"/>
            <w:noProof/>
            <w:color w:val="auto"/>
          </w:rPr>
          <w:t>3.1.2. Rationalisation</w:t>
        </w:r>
        <w:r>
          <w:rPr>
            <w:noProof/>
            <w:webHidden/>
          </w:rPr>
          <w:tab/>
        </w:r>
        <w:r>
          <w:rPr>
            <w:noProof/>
            <w:webHidden/>
          </w:rPr>
          <w:fldChar w:fldCharType="begin"/>
        </w:r>
        <w:r>
          <w:rPr>
            <w:noProof/>
            <w:webHidden/>
          </w:rPr>
          <w:instrText xml:space="preserve"> PAGEREF _Toc486241755 \h </w:instrText>
        </w:r>
        <w:r>
          <w:rPr>
            <w:noProof/>
            <w:webHidden/>
          </w:rPr>
        </w:r>
        <w:r>
          <w:rPr>
            <w:noProof/>
            <w:webHidden/>
          </w:rPr>
          <w:fldChar w:fldCharType="separate"/>
        </w:r>
        <w:r>
          <w:rPr>
            <w:noProof/>
            <w:webHidden/>
          </w:rPr>
          <w:t>80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56" w:history="1">
        <w:r>
          <w:rPr>
            <w:rStyle w:val="Lienhypertexte"/>
            <w:noProof/>
            <w:color w:val="auto"/>
          </w:rPr>
          <w:t>3.1.2.1. Normes de rationalisation</w:t>
        </w:r>
        <w:r>
          <w:rPr>
            <w:noProof/>
            <w:webHidden/>
          </w:rPr>
          <w:tab/>
        </w:r>
        <w:r>
          <w:rPr>
            <w:noProof/>
            <w:webHidden/>
          </w:rPr>
          <w:fldChar w:fldCharType="begin"/>
        </w:r>
        <w:r>
          <w:rPr>
            <w:noProof/>
            <w:webHidden/>
          </w:rPr>
          <w:instrText xml:space="preserve"> PAGEREF _Toc486241756 \h </w:instrText>
        </w:r>
        <w:r>
          <w:rPr>
            <w:noProof/>
            <w:webHidden/>
          </w:rPr>
        </w:r>
        <w:r>
          <w:rPr>
            <w:noProof/>
            <w:webHidden/>
          </w:rPr>
          <w:fldChar w:fldCharType="separate"/>
        </w:r>
        <w:r>
          <w:rPr>
            <w:noProof/>
            <w:webHidden/>
          </w:rPr>
          <w:t>80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57" w:history="1">
        <w:r>
          <w:rPr>
            <w:rStyle w:val="Lienhypertexte"/>
            <w:noProof/>
            <w:color w:val="auto"/>
          </w:rPr>
          <w:t>3.1.2.2. Fermeture et sursis éventuels</w:t>
        </w:r>
        <w:r>
          <w:rPr>
            <w:noProof/>
            <w:webHidden/>
          </w:rPr>
          <w:tab/>
        </w:r>
        <w:r>
          <w:rPr>
            <w:noProof/>
            <w:webHidden/>
          </w:rPr>
          <w:fldChar w:fldCharType="begin"/>
        </w:r>
        <w:r>
          <w:rPr>
            <w:noProof/>
            <w:webHidden/>
          </w:rPr>
          <w:instrText xml:space="preserve"> PAGEREF _Toc486241757 \h </w:instrText>
        </w:r>
        <w:r>
          <w:rPr>
            <w:noProof/>
            <w:webHidden/>
          </w:rPr>
        </w:r>
        <w:r>
          <w:rPr>
            <w:noProof/>
            <w:webHidden/>
          </w:rPr>
          <w:fldChar w:fldCharType="separate"/>
        </w:r>
        <w:r>
          <w:rPr>
            <w:noProof/>
            <w:webHidden/>
          </w:rPr>
          <w:t>81</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58" w:history="1">
        <w:r>
          <w:rPr>
            <w:rStyle w:val="Lienhypertexte"/>
            <w:noProof/>
            <w:color w:val="auto"/>
          </w:rPr>
          <w:t>3.1.2.3. Restructurations</w:t>
        </w:r>
        <w:r>
          <w:rPr>
            <w:noProof/>
            <w:webHidden/>
          </w:rPr>
          <w:tab/>
        </w:r>
        <w:r>
          <w:rPr>
            <w:noProof/>
            <w:webHidden/>
          </w:rPr>
          <w:fldChar w:fldCharType="begin"/>
        </w:r>
        <w:r>
          <w:rPr>
            <w:noProof/>
            <w:webHidden/>
          </w:rPr>
          <w:instrText xml:space="preserve"> PAGEREF _Toc486241758 \h </w:instrText>
        </w:r>
        <w:r>
          <w:rPr>
            <w:noProof/>
            <w:webHidden/>
          </w:rPr>
        </w:r>
        <w:r>
          <w:rPr>
            <w:noProof/>
            <w:webHidden/>
          </w:rPr>
          <w:fldChar w:fldCharType="separate"/>
        </w:r>
        <w:r>
          <w:rPr>
            <w:noProof/>
            <w:webHidden/>
          </w:rPr>
          <w:t>82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59" w:history="1">
        <w:r>
          <w:rPr>
            <w:rStyle w:val="Lienhypertexte"/>
            <w:noProof/>
            <w:color w:val="auto"/>
          </w:rPr>
          <w:t>3.1.2.4. Fusion d’écoles</w:t>
        </w:r>
        <w:r>
          <w:rPr>
            <w:noProof/>
            <w:webHidden/>
          </w:rPr>
          <w:tab/>
        </w:r>
        <w:r>
          <w:rPr>
            <w:noProof/>
            <w:webHidden/>
          </w:rPr>
          <w:fldChar w:fldCharType="begin"/>
        </w:r>
        <w:r>
          <w:rPr>
            <w:noProof/>
            <w:webHidden/>
          </w:rPr>
          <w:instrText xml:space="preserve"> PAGEREF _Toc486241759 \h </w:instrText>
        </w:r>
        <w:r>
          <w:rPr>
            <w:noProof/>
            <w:webHidden/>
          </w:rPr>
        </w:r>
        <w:r>
          <w:rPr>
            <w:noProof/>
            <w:webHidden/>
          </w:rPr>
          <w:fldChar w:fldCharType="separate"/>
        </w:r>
        <w:r>
          <w:rPr>
            <w:noProof/>
            <w:webHidden/>
          </w:rPr>
          <w:t>83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60" w:history="1">
        <w:r>
          <w:rPr>
            <w:rStyle w:val="Lienhypertexte"/>
            <w:noProof/>
            <w:color w:val="auto"/>
          </w:rPr>
          <w:t>3.1.3. Première demande d’admission aux subventions d'une nouvelle école ou d’une nouvelle implantation isolée</w:t>
        </w:r>
        <w:r>
          <w:rPr>
            <w:noProof/>
            <w:webHidden/>
          </w:rPr>
          <w:tab/>
        </w:r>
        <w:r>
          <w:rPr>
            <w:noProof/>
            <w:webHidden/>
          </w:rPr>
          <w:fldChar w:fldCharType="begin"/>
        </w:r>
        <w:r>
          <w:rPr>
            <w:noProof/>
            <w:webHidden/>
          </w:rPr>
          <w:instrText xml:space="preserve"> PAGEREF _Toc486241760 \h </w:instrText>
        </w:r>
        <w:r>
          <w:rPr>
            <w:noProof/>
            <w:webHidden/>
          </w:rPr>
        </w:r>
        <w:r>
          <w:rPr>
            <w:noProof/>
            <w:webHidden/>
          </w:rPr>
          <w:fldChar w:fldCharType="separate"/>
        </w:r>
        <w:r>
          <w:rPr>
            <w:noProof/>
            <w:webHidden/>
          </w:rPr>
          <w:t>83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61" w:history="1">
        <w:r>
          <w:rPr>
            <w:rStyle w:val="Lienhypertexte"/>
            <w:noProof/>
            <w:color w:val="auto"/>
          </w:rPr>
          <w:t>3.1.3.1. Les conditions d’admission aux subventions</w:t>
        </w:r>
        <w:r>
          <w:rPr>
            <w:noProof/>
            <w:webHidden/>
          </w:rPr>
          <w:tab/>
        </w:r>
        <w:r>
          <w:rPr>
            <w:noProof/>
            <w:webHidden/>
          </w:rPr>
          <w:fldChar w:fldCharType="begin"/>
        </w:r>
        <w:r>
          <w:rPr>
            <w:noProof/>
            <w:webHidden/>
          </w:rPr>
          <w:instrText xml:space="preserve"> PAGEREF _Toc486241761 \h </w:instrText>
        </w:r>
        <w:r>
          <w:rPr>
            <w:noProof/>
            <w:webHidden/>
          </w:rPr>
        </w:r>
        <w:r>
          <w:rPr>
            <w:noProof/>
            <w:webHidden/>
          </w:rPr>
          <w:fldChar w:fldCharType="separate"/>
        </w:r>
        <w:r>
          <w:rPr>
            <w:noProof/>
            <w:webHidden/>
          </w:rPr>
          <w:t>83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62" w:history="1">
        <w:r>
          <w:rPr>
            <w:rStyle w:val="Lienhypertexte"/>
            <w:noProof/>
            <w:color w:val="auto"/>
          </w:rPr>
          <w:t>3.1.3.2. Les normes de création (programmation)</w:t>
        </w:r>
        <w:r>
          <w:rPr>
            <w:noProof/>
            <w:webHidden/>
          </w:rPr>
          <w:tab/>
        </w:r>
        <w:r>
          <w:rPr>
            <w:noProof/>
            <w:webHidden/>
          </w:rPr>
          <w:fldChar w:fldCharType="begin"/>
        </w:r>
        <w:r>
          <w:rPr>
            <w:noProof/>
            <w:webHidden/>
          </w:rPr>
          <w:instrText xml:space="preserve"> PAGEREF _Toc486241762 \h </w:instrText>
        </w:r>
        <w:r>
          <w:rPr>
            <w:noProof/>
            <w:webHidden/>
          </w:rPr>
        </w:r>
        <w:r>
          <w:rPr>
            <w:noProof/>
            <w:webHidden/>
          </w:rPr>
          <w:fldChar w:fldCharType="separate"/>
        </w:r>
        <w:r>
          <w:rPr>
            <w:noProof/>
            <w:webHidden/>
          </w:rPr>
          <w:t>85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63" w:history="1">
        <w:r>
          <w:rPr>
            <w:rStyle w:val="Lienhypertexte"/>
            <w:noProof/>
            <w:color w:val="auto"/>
          </w:rPr>
          <w:t>3.1.3.3. Introduction de la demande</w:t>
        </w:r>
        <w:r>
          <w:rPr>
            <w:noProof/>
            <w:webHidden/>
          </w:rPr>
          <w:tab/>
        </w:r>
        <w:r>
          <w:rPr>
            <w:noProof/>
            <w:webHidden/>
          </w:rPr>
          <w:fldChar w:fldCharType="begin"/>
        </w:r>
        <w:r>
          <w:rPr>
            <w:noProof/>
            <w:webHidden/>
          </w:rPr>
          <w:instrText xml:space="preserve"> PAGEREF _Toc486241763 \h </w:instrText>
        </w:r>
        <w:r>
          <w:rPr>
            <w:noProof/>
            <w:webHidden/>
          </w:rPr>
        </w:r>
        <w:r>
          <w:rPr>
            <w:noProof/>
            <w:webHidden/>
          </w:rPr>
          <w:fldChar w:fldCharType="separate"/>
        </w:r>
        <w:r>
          <w:rPr>
            <w:noProof/>
            <w:webHidden/>
          </w:rPr>
          <w:t>85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64" w:history="1">
        <w:r>
          <w:rPr>
            <w:rStyle w:val="Lienhypertexte"/>
            <w:noProof/>
            <w:color w:val="auto"/>
          </w:rPr>
          <w:t>3.1.3.4. Promotion de l’école fondamentale</w:t>
        </w:r>
        <w:r>
          <w:rPr>
            <w:noProof/>
            <w:webHidden/>
          </w:rPr>
          <w:tab/>
        </w:r>
        <w:r>
          <w:rPr>
            <w:noProof/>
            <w:webHidden/>
          </w:rPr>
          <w:fldChar w:fldCharType="begin"/>
        </w:r>
        <w:r>
          <w:rPr>
            <w:noProof/>
            <w:webHidden/>
          </w:rPr>
          <w:instrText xml:space="preserve"> PAGEREF _Toc486241764 \h </w:instrText>
        </w:r>
        <w:r>
          <w:rPr>
            <w:noProof/>
            <w:webHidden/>
          </w:rPr>
        </w:r>
        <w:r>
          <w:rPr>
            <w:noProof/>
            <w:webHidden/>
          </w:rPr>
          <w:fldChar w:fldCharType="separate"/>
        </w:r>
        <w:r>
          <w:rPr>
            <w:noProof/>
            <w:webHidden/>
          </w:rPr>
          <w:t>86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65" w:history="1">
        <w:r>
          <w:rPr>
            <w:rStyle w:val="Lienhypertexte"/>
            <w:noProof/>
            <w:color w:val="auto"/>
          </w:rPr>
          <w:t xml:space="preserve">3.1.4. Densités de population par commune </w:t>
        </w:r>
        <w:r>
          <w:rPr>
            <w:rStyle w:val="Lienhypertexte"/>
            <w:noProof/>
            <w:color w:val="auto"/>
            <w:spacing w:val="-8"/>
          </w:rPr>
          <w:t>(01/01/2015)</w:t>
        </w:r>
        <w:r>
          <w:rPr>
            <w:noProof/>
            <w:webHidden/>
          </w:rPr>
          <w:tab/>
        </w:r>
        <w:r>
          <w:rPr>
            <w:noProof/>
            <w:webHidden/>
          </w:rPr>
          <w:fldChar w:fldCharType="begin"/>
        </w:r>
        <w:r>
          <w:rPr>
            <w:noProof/>
            <w:webHidden/>
          </w:rPr>
          <w:instrText xml:space="preserve"> PAGEREF _Toc486241765 \h </w:instrText>
        </w:r>
        <w:r>
          <w:rPr>
            <w:noProof/>
            <w:webHidden/>
          </w:rPr>
        </w:r>
        <w:r>
          <w:rPr>
            <w:noProof/>
            <w:webHidden/>
          </w:rPr>
          <w:fldChar w:fldCharType="separate"/>
        </w:r>
        <w:r>
          <w:rPr>
            <w:noProof/>
            <w:webHidden/>
          </w:rPr>
          <w:t>87</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766" w:history="1">
        <w:r>
          <w:rPr>
            <w:rStyle w:val="Lienhypertexte"/>
            <w:noProof/>
            <w:color w:val="auto"/>
          </w:rPr>
          <w:t>Chapitre 3.2. Encadrement dans l'enseignement primaire</w:t>
        </w:r>
        <w:r>
          <w:rPr>
            <w:noProof/>
            <w:webHidden/>
          </w:rPr>
          <w:tab/>
        </w:r>
        <w:r>
          <w:rPr>
            <w:noProof/>
            <w:webHidden/>
          </w:rPr>
          <w:fldChar w:fldCharType="begin"/>
        </w:r>
        <w:r>
          <w:rPr>
            <w:noProof/>
            <w:webHidden/>
          </w:rPr>
          <w:instrText xml:space="preserve"> PAGEREF _Toc486241766 \h </w:instrText>
        </w:r>
        <w:r>
          <w:rPr>
            <w:noProof/>
            <w:webHidden/>
          </w:rPr>
        </w:r>
        <w:r>
          <w:rPr>
            <w:noProof/>
            <w:webHidden/>
          </w:rPr>
          <w:fldChar w:fldCharType="separate"/>
        </w:r>
        <w:r>
          <w:rPr>
            <w:noProof/>
            <w:webHidden/>
          </w:rPr>
          <w:t>90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67" w:history="1">
        <w:r>
          <w:rPr>
            <w:rStyle w:val="Lienhypertexte"/>
            <w:noProof/>
            <w:color w:val="auto"/>
          </w:rPr>
          <w:t>3.2.1. Capital-périodes et populations à prendre en compte</w:t>
        </w:r>
        <w:r>
          <w:rPr>
            <w:noProof/>
            <w:webHidden/>
          </w:rPr>
          <w:tab/>
        </w:r>
        <w:r>
          <w:rPr>
            <w:noProof/>
            <w:webHidden/>
          </w:rPr>
          <w:fldChar w:fldCharType="begin"/>
        </w:r>
        <w:r>
          <w:rPr>
            <w:noProof/>
            <w:webHidden/>
          </w:rPr>
          <w:instrText xml:space="preserve"> PAGEREF _Toc486241767 \h </w:instrText>
        </w:r>
        <w:r>
          <w:rPr>
            <w:noProof/>
            <w:webHidden/>
          </w:rPr>
        </w:r>
        <w:r>
          <w:rPr>
            <w:noProof/>
            <w:webHidden/>
          </w:rPr>
          <w:fldChar w:fldCharType="separate"/>
        </w:r>
        <w:r>
          <w:rPr>
            <w:noProof/>
            <w:webHidden/>
          </w:rPr>
          <w:t>90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68" w:history="1">
        <w:r>
          <w:rPr>
            <w:rStyle w:val="Lienhypertexte"/>
            <w:noProof/>
            <w:color w:val="auto"/>
          </w:rPr>
          <w:t>3.2.1.1. Capital-périodes</w:t>
        </w:r>
        <w:r>
          <w:rPr>
            <w:noProof/>
            <w:webHidden/>
          </w:rPr>
          <w:tab/>
        </w:r>
        <w:r>
          <w:rPr>
            <w:noProof/>
            <w:webHidden/>
          </w:rPr>
          <w:fldChar w:fldCharType="begin"/>
        </w:r>
        <w:r>
          <w:rPr>
            <w:noProof/>
            <w:webHidden/>
          </w:rPr>
          <w:instrText xml:space="preserve"> PAGEREF _Toc486241768 \h </w:instrText>
        </w:r>
        <w:r>
          <w:rPr>
            <w:noProof/>
            <w:webHidden/>
          </w:rPr>
        </w:r>
        <w:r>
          <w:rPr>
            <w:noProof/>
            <w:webHidden/>
          </w:rPr>
          <w:fldChar w:fldCharType="separate"/>
        </w:r>
        <w:r>
          <w:rPr>
            <w:noProof/>
            <w:webHidden/>
          </w:rPr>
          <w:t>90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69" w:history="1">
        <w:r>
          <w:rPr>
            <w:rStyle w:val="Lienhypertexte"/>
            <w:noProof/>
            <w:color w:val="auto"/>
          </w:rPr>
          <w:t>3.2.1.2. Populations scolaires à prendre en compte</w:t>
        </w:r>
        <w:r>
          <w:rPr>
            <w:noProof/>
            <w:webHidden/>
          </w:rPr>
          <w:tab/>
        </w:r>
        <w:r>
          <w:rPr>
            <w:noProof/>
            <w:webHidden/>
          </w:rPr>
          <w:fldChar w:fldCharType="begin"/>
        </w:r>
        <w:r>
          <w:rPr>
            <w:noProof/>
            <w:webHidden/>
          </w:rPr>
          <w:instrText xml:space="preserve"> PAGEREF _Toc486241769 \h </w:instrText>
        </w:r>
        <w:r>
          <w:rPr>
            <w:noProof/>
            <w:webHidden/>
          </w:rPr>
        </w:r>
        <w:r>
          <w:rPr>
            <w:noProof/>
            <w:webHidden/>
          </w:rPr>
          <w:fldChar w:fldCharType="separate"/>
        </w:r>
        <w:r>
          <w:rPr>
            <w:noProof/>
            <w:webHidden/>
          </w:rPr>
          <w:t>90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70" w:history="1">
        <w:r>
          <w:rPr>
            <w:rStyle w:val="Lienhypertexte"/>
            <w:noProof/>
            <w:color w:val="auto"/>
          </w:rPr>
          <w:t>3.2.2. Titulaires de classe, maîtres d'adaptation et de soutien pédagogique, et maîtres d'éducation physique</w:t>
        </w:r>
        <w:r>
          <w:rPr>
            <w:noProof/>
            <w:webHidden/>
          </w:rPr>
          <w:tab/>
        </w:r>
        <w:r>
          <w:rPr>
            <w:noProof/>
            <w:webHidden/>
          </w:rPr>
          <w:fldChar w:fldCharType="begin"/>
        </w:r>
        <w:r>
          <w:rPr>
            <w:noProof/>
            <w:webHidden/>
          </w:rPr>
          <w:instrText xml:space="preserve"> PAGEREF _Toc486241770 \h </w:instrText>
        </w:r>
        <w:r>
          <w:rPr>
            <w:noProof/>
            <w:webHidden/>
          </w:rPr>
        </w:r>
        <w:r>
          <w:rPr>
            <w:noProof/>
            <w:webHidden/>
          </w:rPr>
          <w:fldChar w:fldCharType="separate"/>
        </w:r>
        <w:r>
          <w:rPr>
            <w:noProof/>
            <w:webHidden/>
          </w:rPr>
          <w:t>92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71" w:history="1">
        <w:r>
          <w:rPr>
            <w:rStyle w:val="Lienhypertexte"/>
            <w:noProof/>
            <w:color w:val="auto"/>
          </w:rPr>
          <w:t>3.2.3. Complément de périodes destiné à l’encadrement spécifique en P1 et P2</w:t>
        </w:r>
        <w:r>
          <w:rPr>
            <w:noProof/>
            <w:webHidden/>
          </w:rPr>
          <w:tab/>
        </w:r>
        <w:r>
          <w:rPr>
            <w:noProof/>
            <w:webHidden/>
          </w:rPr>
          <w:fldChar w:fldCharType="begin"/>
        </w:r>
        <w:r>
          <w:rPr>
            <w:noProof/>
            <w:webHidden/>
          </w:rPr>
          <w:instrText xml:space="preserve"> PAGEREF _Toc486241771 \h </w:instrText>
        </w:r>
        <w:r>
          <w:rPr>
            <w:noProof/>
            <w:webHidden/>
          </w:rPr>
        </w:r>
        <w:r>
          <w:rPr>
            <w:noProof/>
            <w:webHidden/>
          </w:rPr>
          <w:fldChar w:fldCharType="separate"/>
        </w:r>
        <w:r>
          <w:rPr>
            <w:noProof/>
            <w:webHidden/>
          </w:rPr>
          <w:t>94</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72" w:history="1">
        <w:r>
          <w:rPr>
            <w:rStyle w:val="Lienhypertexte"/>
            <w:noProof/>
            <w:color w:val="auto"/>
          </w:rPr>
          <w:t>3.2.4. Cours de langue moderne (seconde langue)</w:t>
        </w:r>
        <w:r>
          <w:rPr>
            <w:noProof/>
            <w:webHidden/>
          </w:rPr>
          <w:tab/>
        </w:r>
        <w:r>
          <w:rPr>
            <w:noProof/>
            <w:webHidden/>
          </w:rPr>
          <w:fldChar w:fldCharType="begin"/>
        </w:r>
        <w:r>
          <w:rPr>
            <w:noProof/>
            <w:webHidden/>
          </w:rPr>
          <w:instrText xml:space="preserve"> PAGEREF _Toc486241772 \h </w:instrText>
        </w:r>
        <w:r>
          <w:rPr>
            <w:noProof/>
            <w:webHidden/>
          </w:rPr>
        </w:r>
        <w:r>
          <w:rPr>
            <w:noProof/>
            <w:webHidden/>
          </w:rPr>
          <w:fldChar w:fldCharType="separate"/>
        </w:r>
        <w:r>
          <w:rPr>
            <w:noProof/>
            <w:webHidden/>
          </w:rPr>
          <w:t>96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73" w:history="1">
        <w:r>
          <w:rPr>
            <w:rStyle w:val="Lienhypertexte"/>
            <w:noProof/>
            <w:color w:val="auto"/>
          </w:rPr>
          <w:t>3.2.5. Cours d'adaptation à la langue de l'enseignement (ALE)</w:t>
        </w:r>
        <w:r>
          <w:rPr>
            <w:noProof/>
            <w:webHidden/>
          </w:rPr>
          <w:tab/>
        </w:r>
        <w:r>
          <w:rPr>
            <w:noProof/>
            <w:webHidden/>
          </w:rPr>
          <w:fldChar w:fldCharType="begin"/>
        </w:r>
        <w:r>
          <w:rPr>
            <w:noProof/>
            <w:webHidden/>
          </w:rPr>
          <w:instrText xml:space="preserve"> PAGEREF _Toc486241773 \h </w:instrText>
        </w:r>
        <w:r>
          <w:rPr>
            <w:noProof/>
            <w:webHidden/>
          </w:rPr>
        </w:r>
        <w:r>
          <w:rPr>
            <w:noProof/>
            <w:webHidden/>
          </w:rPr>
          <w:fldChar w:fldCharType="separate"/>
        </w:r>
        <w:r>
          <w:rPr>
            <w:noProof/>
            <w:webHidden/>
          </w:rPr>
          <w:t>97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74" w:history="1">
        <w:r>
          <w:rPr>
            <w:rStyle w:val="Lienhypertexte"/>
            <w:noProof/>
            <w:color w:val="auto"/>
          </w:rPr>
          <w:t>3.2.5.1. Conditions de nationalité /statut des élèves à prendre en compte</w:t>
        </w:r>
        <w:r>
          <w:rPr>
            <w:noProof/>
            <w:webHidden/>
          </w:rPr>
          <w:tab/>
        </w:r>
        <w:r>
          <w:rPr>
            <w:noProof/>
            <w:webHidden/>
          </w:rPr>
          <w:fldChar w:fldCharType="begin"/>
        </w:r>
        <w:r>
          <w:rPr>
            <w:noProof/>
            <w:webHidden/>
          </w:rPr>
          <w:instrText xml:space="preserve"> PAGEREF _Toc486241774 \h </w:instrText>
        </w:r>
        <w:r>
          <w:rPr>
            <w:noProof/>
            <w:webHidden/>
          </w:rPr>
        </w:r>
        <w:r>
          <w:rPr>
            <w:noProof/>
            <w:webHidden/>
          </w:rPr>
          <w:fldChar w:fldCharType="separate"/>
        </w:r>
        <w:r>
          <w:rPr>
            <w:noProof/>
            <w:webHidden/>
          </w:rPr>
          <w:t>97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75" w:history="1">
        <w:r>
          <w:rPr>
            <w:rStyle w:val="Lienhypertexte"/>
            <w:noProof/>
            <w:color w:val="auto"/>
          </w:rPr>
          <w:t>3.2.5.2. Organisation pédagogique des cours</w:t>
        </w:r>
        <w:r>
          <w:rPr>
            <w:noProof/>
            <w:webHidden/>
          </w:rPr>
          <w:tab/>
        </w:r>
        <w:r>
          <w:rPr>
            <w:noProof/>
            <w:webHidden/>
          </w:rPr>
          <w:fldChar w:fldCharType="begin"/>
        </w:r>
        <w:r>
          <w:rPr>
            <w:noProof/>
            <w:webHidden/>
          </w:rPr>
          <w:instrText xml:space="preserve"> PAGEREF _Toc486241775 \h </w:instrText>
        </w:r>
        <w:r>
          <w:rPr>
            <w:noProof/>
            <w:webHidden/>
          </w:rPr>
        </w:r>
        <w:r>
          <w:rPr>
            <w:noProof/>
            <w:webHidden/>
          </w:rPr>
          <w:fldChar w:fldCharType="separate"/>
        </w:r>
        <w:r>
          <w:rPr>
            <w:noProof/>
            <w:webHidden/>
          </w:rPr>
          <w:t>98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76" w:history="1">
        <w:r>
          <w:rPr>
            <w:rStyle w:val="Lienhypertexte"/>
            <w:noProof/>
            <w:color w:val="auto"/>
          </w:rPr>
          <w:t>3.2.5.3. Calcul des périodes pour les cours ALE</w:t>
        </w:r>
        <w:r>
          <w:rPr>
            <w:noProof/>
            <w:webHidden/>
          </w:rPr>
          <w:tab/>
        </w:r>
        <w:r>
          <w:rPr>
            <w:noProof/>
            <w:webHidden/>
          </w:rPr>
          <w:fldChar w:fldCharType="begin"/>
        </w:r>
        <w:r>
          <w:rPr>
            <w:noProof/>
            <w:webHidden/>
          </w:rPr>
          <w:instrText xml:space="preserve"> PAGEREF _Toc486241776 \h </w:instrText>
        </w:r>
        <w:r>
          <w:rPr>
            <w:noProof/>
            <w:webHidden/>
          </w:rPr>
        </w:r>
        <w:r>
          <w:rPr>
            <w:noProof/>
            <w:webHidden/>
          </w:rPr>
          <w:fldChar w:fldCharType="separate"/>
        </w:r>
        <w:r>
          <w:rPr>
            <w:noProof/>
            <w:webHidden/>
          </w:rPr>
          <w:t>98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77" w:history="1">
        <w:r>
          <w:rPr>
            <w:rStyle w:val="Lienhypertexte"/>
            <w:noProof/>
            <w:color w:val="auto"/>
          </w:rPr>
          <w:t>3.2.5.4. Tableau - Périodes à réserver au cours d’ALE</w:t>
        </w:r>
        <w:r>
          <w:rPr>
            <w:noProof/>
            <w:webHidden/>
          </w:rPr>
          <w:tab/>
        </w:r>
        <w:r>
          <w:rPr>
            <w:noProof/>
            <w:webHidden/>
          </w:rPr>
          <w:fldChar w:fldCharType="begin"/>
        </w:r>
        <w:r>
          <w:rPr>
            <w:noProof/>
            <w:webHidden/>
          </w:rPr>
          <w:instrText xml:space="preserve"> PAGEREF _Toc486241777 \h </w:instrText>
        </w:r>
        <w:r>
          <w:rPr>
            <w:noProof/>
            <w:webHidden/>
          </w:rPr>
        </w:r>
        <w:r>
          <w:rPr>
            <w:noProof/>
            <w:webHidden/>
          </w:rPr>
          <w:fldChar w:fldCharType="separate"/>
        </w:r>
        <w:r>
          <w:rPr>
            <w:noProof/>
            <w:webHidden/>
          </w:rPr>
          <w:t>99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78" w:history="1">
        <w:r>
          <w:rPr>
            <w:rStyle w:val="Lienhypertexte"/>
            <w:noProof/>
            <w:color w:val="auto"/>
          </w:rPr>
          <w:t>3.2.5.5. Tableau récapitulatif des coefficients de comptage pour les cours d’ALE</w:t>
        </w:r>
        <w:r>
          <w:rPr>
            <w:noProof/>
            <w:webHidden/>
          </w:rPr>
          <w:tab/>
        </w:r>
        <w:r>
          <w:rPr>
            <w:noProof/>
            <w:webHidden/>
          </w:rPr>
          <w:fldChar w:fldCharType="begin"/>
        </w:r>
        <w:r>
          <w:rPr>
            <w:noProof/>
            <w:webHidden/>
          </w:rPr>
          <w:instrText xml:space="preserve"> PAGEREF _Toc486241778 \h </w:instrText>
        </w:r>
        <w:r>
          <w:rPr>
            <w:noProof/>
            <w:webHidden/>
          </w:rPr>
        </w:r>
        <w:r>
          <w:rPr>
            <w:noProof/>
            <w:webHidden/>
          </w:rPr>
          <w:fldChar w:fldCharType="separate"/>
        </w:r>
        <w:r>
          <w:rPr>
            <w:noProof/>
            <w:webHidden/>
          </w:rPr>
          <w:t>100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79" w:history="1">
        <w:r>
          <w:rPr>
            <w:rStyle w:val="Lienhypertexte"/>
            <w:noProof/>
            <w:color w:val="auto"/>
          </w:rPr>
          <w:t>3.2.5.6. Exemples</w:t>
        </w:r>
        <w:r>
          <w:rPr>
            <w:noProof/>
            <w:webHidden/>
          </w:rPr>
          <w:tab/>
        </w:r>
        <w:r>
          <w:rPr>
            <w:noProof/>
            <w:webHidden/>
          </w:rPr>
          <w:fldChar w:fldCharType="begin"/>
        </w:r>
        <w:r>
          <w:rPr>
            <w:noProof/>
            <w:webHidden/>
          </w:rPr>
          <w:instrText xml:space="preserve"> PAGEREF _Toc486241779 \h </w:instrText>
        </w:r>
        <w:r>
          <w:rPr>
            <w:noProof/>
            <w:webHidden/>
          </w:rPr>
        </w:r>
        <w:r>
          <w:rPr>
            <w:noProof/>
            <w:webHidden/>
          </w:rPr>
          <w:fldChar w:fldCharType="separate"/>
        </w:r>
        <w:r>
          <w:rPr>
            <w:noProof/>
            <w:webHidden/>
          </w:rPr>
          <w:t>100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80" w:history="1">
        <w:r>
          <w:rPr>
            <w:rStyle w:val="Lienhypertexte"/>
            <w:noProof/>
            <w:color w:val="auto"/>
          </w:rPr>
          <w:t>3.2.6. Direction d'école dans les écoles primaires ou fondamentales</w:t>
        </w:r>
        <w:r>
          <w:rPr>
            <w:noProof/>
            <w:webHidden/>
          </w:rPr>
          <w:tab/>
        </w:r>
        <w:r>
          <w:rPr>
            <w:noProof/>
            <w:webHidden/>
          </w:rPr>
          <w:fldChar w:fldCharType="begin"/>
        </w:r>
        <w:r>
          <w:rPr>
            <w:noProof/>
            <w:webHidden/>
          </w:rPr>
          <w:instrText xml:space="preserve"> PAGEREF _Toc486241780 \h </w:instrText>
        </w:r>
        <w:r>
          <w:rPr>
            <w:noProof/>
            <w:webHidden/>
          </w:rPr>
        </w:r>
        <w:r>
          <w:rPr>
            <w:noProof/>
            <w:webHidden/>
          </w:rPr>
          <w:fldChar w:fldCharType="separate"/>
        </w:r>
        <w:r>
          <w:rPr>
            <w:noProof/>
            <w:webHidden/>
          </w:rPr>
          <w:t>101</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81" w:history="1">
        <w:r>
          <w:rPr>
            <w:rStyle w:val="Lienhypertexte"/>
            <w:noProof/>
            <w:color w:val="auto"/>
          </w:rPr>
          <w:t>3.2.7. Reliquat et % "article 36"</w:t>
        </w:r>
        <w:r>
          <w:rPr>
            <w:noProof/>
            <w:webHidden/>
          </w:rPr>
          <w:tab/>
        </w:r>
        <w:r>
          <w:rPr>
            <w:noProof/>
            <w:webHidden/>
          </w:rPr>
          <w:fldChar w:fldCharType="begin"/>
        </w:r>
        <w:r>
          <w:rPr>
            <w:noProof/>
            <w:webHidden/>
          </w:rPr>
          <w:instrText xml:space="preserve"> PAGEREF _Toc486241781 \h </w:instrText>
        </w:r>
        <w:r>
          <w:rPr>
            <w:noProof/>
            <w:webHidden/>
          </w:rPr>
        </w:r>
        <w:r>
          <w:rPr>
            <w:noProof/>
            <w:webHidden/>
          </w:rPr>
          <w:fldChar w:fldCharType="separate"/>
        </w:r>
        <w:r>
          <w:rPr>
            <w:noProof/>
            <w:webHidden/>
          </w:rPr>
          <w:t>102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82" w:history="1">
        <w:r>
          <w:rPr>
            <w:rStyle w:val="Lienhypertexte"/>
            <w:noProof/>
            <w:color w:val="auto"/>
          </w:rPr>
          <w:t>3.2.8. Modification éventuelle de la répartition des périodes (article 37 du Décret-Cadre)</w:t>
        </w:r>
        <w:r>
          <w:rPr>
            <w:noProof/>
            <w:webHidden/>
          </w:rPr>
          <w:tab/>
        </w:r>
        <w:r>
          <w:rPr>
            <w:noProof/>
            <w:webHidden/>
          </w:rPr>
          <w:fldChar w:fldCharType="begin"/>
        </w:r>
        <w:r>
          <w:rPr>
            <w:noProof/>
            <w:webHidden/>
          </w:rPr>
          <w:instrText xml:space="preserve"> PAGEREF _Toc486241782 \h </w:instrText>
        </w:r>
        <w:r>
          <w:rPr>
            <w:noProof/>
            <w:webHidden/>
          </w:rPr>
        </w:r>
        <w:r>
          <w:rPr>
            <w:noProof/>
            <w:webHidden/>
          </w:rPr>
          <w:fldChar w:fldCharType="separate"/>
        </w:r>
        <w:r>
          <w:rPr>
            <w:noProof/>
            <w:webHidden/>
          </w:rPr>
          <w:t>104</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83" w:history="1">
        <w:r>
          <w:rPr>
            <w:rStyle w:val="Lienhypertexte"/>
            <w:noProof/>
            <w:color w:val="auto"/>
          </w:rPr>
          <w:t>3.2.9. Cours de morale non confessionnelle, de religion, et de philosophie et de citoyenneté</w:t>
        </w:r>
        <w:r>
          <w:rPr>
            <w:noProof/>
            <w:webHidden/>
          </w:rPr>
          <w:tab/>
        </w:r>
        <w:r>
          <w:rPr>
            <w:noProof/>
            <w:webHidden/>
          </w:rPr>
          <w:tab/>
        </w:r>
        <w:r>
          <w:rPr>
            <w:noProof/>
            <w:webHidden/>
          </w:rPr>
          <w:fldChar w:fldCharType="begin"/>
        </w:r>
        <w:r>
          <w:rPr>
            <w:noProof/>
            <w:webHidden/>
          </w:rPr>
          <w:instrText xml:space="preserve"> PAGEREF _Toc486241783 \h </w:instrText>
        </w:r>
        <w:r>
          <w:rPr>
            <w:noProof/>
            <w:webHidden/>
          </w:rPr>
        </w:r>
        <w:r>
          <w:rPr>
            <w:noProof/>
            <w:webHidden/>
          </w:rPr>
          <w:fldChar w:fldCharType="separate"/>
        </w:r>
        <w:r>
          <w:rPr>
            <w:noProof/>
            <w:webHidden/>
          </w:rPr>
          <w:t>105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84" w:history="1">
        <w:r>
          <w:rPr>
            <w:rStyle w:val="Lienhypertexte"/>
            <w:noProof/>
            <w:color w:val="auto"/>
          </w:rPr>
          <w:t>3.2.10. Mesure permettant la création de nouvelle(s) classe(s) au niveau primaire au 1</w:t>
        </w:r>
        <w:r>
          <w:rPr>
            <w:rStyle w:val="Lienhypertexte"/>
            <w:noProof/>
            <w:color w:val="auto"/>
            <w:vertAlign w:val="superscript"/>
          </w:rPr>
          <w:t>er</w:t>
        </w:r>
        <w:r>
          <w:rPr>
            <w:rStyle w:val="Lienhypertexte"/>
            <w:noProof/>
            <w:color w:val="auto"/>
          </w:rPr>
          <w:t xml:space="preserve"> septembre 2017</w:t>
        </w:r>
        <w:r>
          <w:rPr>
            <w:noProof/>
            <w:webHidden/>
          </w:rPr>
          <w:tab/>
        </w:r>
        <w:r>
          <w:rPr>
            <w:noProof/>
            <w:webHidden/>
          </w:rPr>
          <w:fldChar w:fldCharType="begin"/>
        </w:r>
        <w:r>
          <w:rPr>
            <w:noProof/>
            <w:webHidden/>
          </w:rPr>
          <w:instrText xml:space="preserve"> PAGEREF _Toc486241784 \h </w:instrText>
        </w:r>
        <w:r>
          <w:rPr>
            <w:noProof/>
            <w:webHidden/>
          </w:rPr>
        </w:r>
        <w:r>
          <w:rPr>
            <w:noProof/>
            <w:webHidden/>
          </w:rPr>
          <w:fldChar w:fldCharType="separate"/>
        </w:r>
        <w:r>
          <w:rPr>
            <w:noProof/>
            <w:webHidden/>
          </w:rPr>
          <w:t>106</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785" w:history="1">
        <w:r>
          <w:rPr>
            <w:rStyle w:val="Lienhypertexte"/>
            <w:noProof/>
            <w:color w:val="auto"/>
          </w:rPr>
          <w:t>Chapitre 3.3. Taille des classes dans l’enseignement primaire</w:t>
        </w:r>
        <w:r>
          <w:rPr>
            <w:noProof/>
            <w:webHidden/>
          </w:rPr>
          <w:tab/>
        </w:r>
        <w:r>
          <w:rPr>
            <w:noProof/>
            <w:webHidden/>
          </w:rPr>
          <w:fldChar w:fldCharType="begin"/>
        </w:r>
        <w:r>
          <w:rPr>
            <w:noProof/>
            <w:webHidden/>
          </w:rPr>
          <w:instrText xml:space="preserve"> PAGEREF _Toc486241785 \h </w:instrText>
        </w:r>
        <w:r>
          <w:rPr>
            <w:noProof/>
            <w:webHidden/>
          </w:rPr>
        </w:r>
        <w:r>
          <w:rPr>
            <w:noProof/>
            <w:webHidden/>
          </w:rPr>
          <w:fldChar w:fldCharType="separate"/>
        </w:r>
        <w:r>
          <w:rPr>
            <w:noProof/>
            <w:webHidden/>
          </w:rPr>
          <w:t>107</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86" w:history="1">
        <w:r>
          <w:rPr>
            <w:rStyle w:val="Lienhypertexte"/>
            <w:noProof/>
            <w:color w:val="auto"/>
          </w:rPr>
          <w:t>3.3.1. Des groupes-classe, des moyennes, des ratios et des maxima</w:t>
        </w:r>
        <w:r>
          <w:rPr>
            <w:noProof/>
            <w:webHidden/>
          </w:rPr>
          <w:tab/>
        </w:r>
        <w:r>
          <w:rPr>
            <w:noProof/>
            <w:webHidden/>
          </w:rPr>
          <w:fldChar w:fldCharType="begin"/>
        </w:r>
        <w:r>
          <w:rPr>
            <w:noProof/>
            <w:webHidden/>
          </w:rPr>
          <w:instrText xml:space="preserve"> PAGEREF _Toc486241786 \h </w:instrText>
        </w:r>
        <w:r>
          <w:rPr>
            <w:noProof/>
            <w:webHidden/>
          </w:rPr>
        </w:r>
        <w:r>
          <w:rPr>
            <w:noProof/>
            <w:webHidden/>
          </w:rPr>
          <w:fldChar w:fldCharType="separate"/>
        </w:r>
        <w:r>
          <w:rPr>
            <w:noProof/>
            <w:webHidden/>
          </w:rPr>
          <w:t>107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87" w:history="1">
        <w:r>
          <w:rPr>
            <w:rStyle w:val="Lienhypertexte"/>
            <w:noProof/>
            <w:color w:val="auto"/>
          </w:rPr>
          <w:t>3.3.1.1. Définitions</w:t>
        </w:r>
        <w:r>
          <w:rPr>
            <w:noProof/>
            <w:webHidden/>
          </w:rPr>
          <w:tab/>
        </w:r>
        <w:r>
          <w:rPr>
            <w:noProof/>
            <w:webHidden/>
          </w:rPr>
          <w:fldChar w:fldCharType="begin"/>
        </w:r>
        <w:r>
          <w:rPr>
            <w:noProof/>
            <w:webHidden/>
          </w:rPr>
          <w:instrText xml:space="preserve"> PAGEREF _Toc486241787 \h </w:instrText>
        </w:r>
        <w:r>
          <w:rPr>
            <w:noProof/>
            <w:webHidden/>
          </w:rPr>
        </w:r>
        <w:r>
          <w:rPr>
            <w:noProof/>
            <w:webHidden/>
          </w:rPr>
          <w:fldChar w:fldCharType="separate"/>
        </w:r>
        <w:r>
          <w:rPr>
            <w:noProof/>
            <w:webHidden/>
          </w:rPr>
          <w:t>107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88" w:history="1">
        <w:r>
          <w:rPr>
            <w:rStyle w:val="Lienhypertexte"/>
            <w:noProof/>
            <w:color w:val="auto"/>
          </w:rPr>
          <w:t>3.3.1.2. En P1-P2</w:t>
        </w:r>
        <w:r>
          <w:rPr>
            <w:noProof/>
            <w:webHidden/>
          </w:rPr>
          <w:tab/>
        </w:r>
        <w:r>
          <w:rPr>
            <w:noProof/>
            <w:webHidden/>
          </w:rPr>
          <w:fldChar w:fldCharType="begin"/>
        </w:r>
        <w:r>
          <w:rPr>
            <w:noProof/>
            <w:webHidden/>
          </w:rPr>
          <w:instrText xml:space="preserve"> PAGEREF _Toc486241788 \h </w:instrText>
        </w:r>
        <w:r>
          <w:rPr>
            <w:noProof/>
            <w:webHidden/>
          </w:rPr>
        </w:r>
        <w:r>
          <w:rPr>
            <w:noProof/>
            <w:webHidden/>
          </w:rPr>
          <w:fldChar w:fldCharType="separate"/>
        </w:r>
        <w:r>
          <w:rPr>
            <w:noProof/>
            <w:webHidden/>
          </w:rPr>
          <w:t>107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89" w:history="1">
        <w:r>
          <w:rPr>
            <w:rStyle w:val="Lienhypertexte"/>
            <w:noProof/>
            <w:color w:val="auto"/>
          </w:rPr>
          <w:t>3.3.1.3. En P3-P6</w:t>
        </w:r>
        <w:r>
          <w:rPr>
            <w:noProof/>
            <w:webHidden/>
          </w:rPr>
          <w:tab/>
        </w:r>
        <w:r>
          <w:rPr>
            <w:noProof/>
            <w:webHidden/>
          </w:rPr>
          <w:fldChar w:fldCharType="begin"/>
        </w:r>
        <w:r>
          <w:rPr>
            <w:noProof/>
            <w:webHidden/>
          </w:rPr>
          <w:instrText xml:space="preserve"> PAGEREF _Toc486241789 \h </w:instrText>
        </w:r>
        <w:r>
          <w:rPr>
            <w:noProof/>
            <w:webHidden/>
          </w:rPr>
        </w:r>
        <w:r>
          <w:rPr>
            <w:noProof/>
            <w:webHidden/>
          </w:rPr>
          <w:fldChar w:fldCharType="separate"/>
        </w:r>
        <w:r>
          <w:rPr>
            <w:noProof/>
            <w:webHidden/>
          </w:rPr>
          <w:t>108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90" w:history="1">
        <w:r>
          <w:rPr>
            <w:rStyle w:val="Lienhypertexte"/>
            <w:noProof/>
            <w:color w:val="auto"/>
          </w:rPr>
          <w:t>3.3.2. Des dépassements aux maxima</w:t>
        </w:r>
        <w:r>
          <w:rPr>
            <w:noProof/>
            <w:webHidden/>
          </w:rPr>
          <w:tab/>
        </w:r>
        <w:r>
          <w:rPr>
            <w:noProof/>
            <w:webHidden/>
          </w:rPr>
          <w:fldChar w:fldCharType="begin"/>
        </w:r>
        <w:r>
          <w:rPr>
            <w:noProof/>
            <w:webHidden/>
          </w:rPr>
          <w:instrText xml:space="preserve"> PAGEREF _Toc486241790 \h </w:instrText>
        </w:r>
        <w:r>
          <w:rPr>
            <w:noProof/>
            <w:webHidden/>
          </w:rPr>
        </w:r>
        <w:r>
          <w:rPr>
            <w:noProof/>
            <w:webHidden/>
          </w:rPr>
          <w:fldChar w:fldCharType="separate"/>
        </w:r>
        <w:r>
          <w:rPr>
            <w:noProof/>
            <w:webHidden/>
          </w:rPr>
          <w:t>108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91" w:history="1">
        <w:r>
          <w:rPr>
            <w:rStyle w:val="Lienhypertexte"/>
            <w:noProof/>
            <w:color w:val="auto"/>
          </w:rPr>
          <w:t>3.3.2.1. Des dépassements prévus pour prendre en compte la problématique particulière de l’organisation des cours de langue moderne</w:t>
        </w:r>
        <w:r>
          <w:rPr>
            <w:noProof/>
            <w:webHidden/>
          </w:rPr>
          <w:tab/>
        </w:r>
        <w:r>
          <w:rPr>
            <w:noProof/>
            <w:webHidden/>
          </w:rPr>
          <w:fldChar w:fldCharType="begin"/>
        </w:r>
        <w:r>
          <w:rPr>
            <w:noProof/>
            <w:webHidden/>
          </w:rPr>
          <w:instrText xml:space="preserve"> PAGEREF _Toc486241791 \h </w:instrText>
        </w:r>
        <w:r>
          <w:rPr>
            <w:noProof/>
            <w:webHidden/>
          </w:rPr>
        </w:r>
        <w:r>
          <w:rPr>
            <w:noProof/>
            <w:webHidden/>
          </w:rPr>
          <w:fldChar w:fldCharType="separate"/>
        </w:r>
        <w:r>
          <w:rPr>
            <w:noProof/>
            <w:webHidden/>
          </w:rPr>
          <w:t>109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92" w:history="1">
        <w:r>
          <w:rPr>
            <w:rStyle w:val="Lienhypertexte"/>
            <w:noProof/>
            <w:color w:val="auto"/>
          </w:rPr>
          <w:t>3.3.2.2. Dépassements automatiques autorisés avec information aux organes de concertation</w:t>
        </w:r>
        <w:r>
          <w:rPr>
            <w:noProof/>
            <w:webHidden/>
          </w:rPr>
          <w:tab/>
        </w:r>
        <w:r>
          <w:rPr>
            <w:noProof/>
            <w:webHidden/>
          </w:rPr>
          <w:fldChar w:fldCharType="begin"/>
        </w:r>
        <w:r>
          <w:rPr>
            <w:noProof/>
            <w:webHidden/>
          </w:rPr>
          <w:instrText xml:space="preserve"> PAGEREF _Toc486241792 \h </w:instrText>
        </w:r>
        <w:r>
          <w:rPr>
            <w:noProof/>
            <w:webHidden/>
          </w:rPr>
        </w:r>
        <w:r>
          <w:rPr>
            <w:noProof/>
            <w:webHidden/>
          </w:rPr>
          <w:fldChar w:fldCharType="separate"/>
        </w:r>
        <w:r>
          <w:rPr>
            <w:noProof/>
            <w:webHidden/>
          </w:rPr>
          <w:t>109</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93" w:history="1">
        <w:r>
          <w:rPr>
            <w:rStyle w:val="Lienhypertexte"/>
            <w:noProof/>
            <w:color w:val="auto"/>
          </w:rPr>
          <w:t>3.3.2.3. Dépassements automatiques accordés avec avis préalable des organes de concertation</w:t>
        </w:r>
        <w:r>
          <w:rPr>
            <w:noProof/>
            <w:webHidden/>
          </w:rPr>
          <w:tab/>
        </w:r>
        <w:r>
          <w:rPr>
            <w:noProof/>
            <w:webHidden/>
          </w:rPr>
          <w:fldChar w:fldCharType="begin"/>
        </w:r>
        <w:r>
          <w:rPr>
            <w:noProof/>
            <w:webHidden/>
          </w:rPr>
          <w:instrText xml:space="preserve"> PAGEREF _Toc486241793 \h </w:instrText>
        </w:r>
        <w:r>
          <w:rPr>
            <w:noProof/>
            <w:webHidden/>
          </w:rPr>
        </w:r>
        <w:r>
          <w:rPr>
            <w:noProof/>
            <w:webHidden/>
          </w:rPr>
          <w:fldChar w:fldCharType="separate"/>
        </w:r>
        <w:r>
          <w:rPr>
            <w:noProof/>
            <w:webHidden/>
          </w:rPr>
          <w:t>110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794" w:history="1">
        <w:r>
          <w:rPr>
            <w:rStyle w:val="Lienhypertexte"/>
            <w:noProof/>
            <w:color w:val="auto"/>
          </w:rPr>
          <w:t>3.3.2.4. Des dépassements accordés par dérogation du Gouvernement avec avis préalable favorable des organes de concertation</w:t>
        </w:r>
        <w:r>
          <w:rPr>
            <w:noProof/>
            <w:webHidden/>
          </w:rPr>
          <w:tab/>
        </w:r>
        <w:r>
          <w:rPr>
            <w:noProof/>
            <w:webHidden/>
          </w:rPr>
          <w:fldChar w:fldCharType="begin"/>
        </w:r>
        <w:r>
          <w:rPr>
            <w:noProof/>
            <w:webHidden/>
          </w:rPr>
          <w:instrText xml:space="preserve"> PAGEREF _Toc486241794 \h </w:instrText>
        </w:r>
        <w:r>
          <w:rPr>
            <w:noProof/>
            <w:webHidden/>
          </w:rPr>
        </w:r>
        <w:r>
          <w:rPr>
            <w:noProof/>
            <w:webHidden/>
          </w:rPr>
          <w:fldChar w:fldCharType="separate"/>
        </w:r>
        <w:r>
          <w:rPr>
            <w:noProof/>
            <w:webHidden/>
          </w:rPr>
          <w:t>110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95" w:history="1">
        <w:r>
          <w:rPr>
            <w:rStyle w:val="Lienhypertexte"/>
            <w:noProof/>
            <w:color w:val="auto"/>
          </w:rPr>
          <w:t>3.3.3. Des périodes complémentaires</w:t>
        </w:r>
        <w:r>
          <w:rPr>
            <w:noProof/>
            <w:webHidden/>
          </w:rPr>
          <w:tab/>
        </w:r>
        <w:r>
          <w:rPr>
            <w:noProof/>
            <w:webHidden/>
          </w:rPr>
          <w:fldChar w:fldCharType="begin"/>
        </w:r>
        <w:r>
          <w:rPr>
            <w:noProof/>
            <w:webHidden/>
          </w:rPr>
          <w:instrText xml:space="preserve"> PAGEREF _Toc486241795 \h </w:instrText>
        </w:r>
        <w:r>
          <w:rPr>
            <w:noProof/>
            <w:webHidden/>
          </w:rPr>
        </w:r>
        <w:r>
          <w:rPr>
            <w:noProof/>
            <w:webHidden/>
          </w:rPr>
          <w:fldChar w:fldCharType="separate"/>
        </w:r>
        <w:r>
          <w:rPr>
            <w:noProof/>
            <w:webHidden/>
          </w:rPr>
          <w:t>113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96" w:history="1">
        <w:r>
          <w:rPr>
            <w:rStyle w:val="Lienhypertexte"/>
            <w:noProof/>
            <w:color w:val="auto"/>
          </w:rPr>
          <w:t>3.3.4. Evaluation du dispositif</w:t>
        </w:r>
        <w:r>
          <w:rPr>
            <w:noProof/>
            <w:webHidden/>
          </w:rPr>
          <w:tab/>
        </w:r>
        <w:r>
          <w:rPr>
            <w:noProof/>
            <w:webHidden/>
          </w:rPr>
          <w:fldChar w:fldCharType="begin"/>
        </w:r>
        <w:r>
          <w:rPr>
            <w:noProof/>
            <w:webHidden/>
          </w:rPr>
          <w:instrText xml:space="preserve"> PAGEREF _Toc486241796 \h </w:instrText>
        </w:r>
        <w:r>
          <w:rPr>
            <w:noProof/>
            <w:webHidden/>
          </w:rPr>
        </w:r>
        <w:r>
          <w:rPr>
            <w:noProof/>
            <w:webHidden/>
          </w:rPr>
          <w:fldChar w:fldCharType="separate"/>
        </w:r>
        <w:r>
          <w:rPr>
            <w:noProof/>
            <w:webHidden/>
          </w:rPr>
          <w:t>114</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797" w:history="1">
        <w:r>
          <w:rPr>
            <w:rStyle w:val="Lienhypertexte"/>
            <w:noProof/>
            <w:color w:val="auto"/>
          </w:rPr>
          <w:t>Chapitre 3.4.</w:t>
        </w:r>
        <w:r>
          <w:rPr>
            <w:rFonts w:asciiTheme="minorHAnsi" w:eastAsiaTheme="minorEastAsia" w:hAnsiTheme="minorHAnsi" w:cstheme="minorBidi"/>
            <w:noProof/>
            <w:szCs w:val="22"/>
            <w:lang w:val="fr-BE" w:eastAsia="fr-BE"/>
          </w:rPr>
          <w:t xml:space="preserve">  </w:t>
        </w:r>
        <w:r>
          <w:rPr>
            <w:rStyle w:val="Lienhypertexte"/>
            <w:noProof/>
            <w:color w:val="auto"/>
          </w:rPr>
          <w:t>Encadrement dans l'enseignement maternel</w:t>
        </w:r>
        <w:r>
          <w:rPr>
            <w:rStyle w:val="Lienhypertexte"/>
            <w:noProof/>
            <w:color w:val="auto"/>
          </w:rPr>
          <w:tab/>
        </w:r>
        <w:r>
          <w:rPr>
            <w:noProof/>
            <w:webHidden/>
          </w:rPr>
          <w:fldChar w:fldCharType="begin"/>
        </w:r>
        <w:r>
          <w:rPr>
            <w:noProof/>
            <w:webHidden/>
          </w:rPr>
          <w:instrText xml:space="preserve"> PAGEREF _Toc486241797 \h </w:instrText>
        </w:r>
        <w:r>
          <w:rPr>
            <w:noProof/>
            <w:webHidden/>
          </w:rPr>
        </w:r>
        <w:r>
          <w:rPr>
            <w:noProof/>
            <w:webHidden/>
          </w:rPr>
          <w:fldChar w:fldCharType="separate"/>
        </w:r>
        <w:r>
          <w:rPr>
            <w:noProof/>
            <w:webHidden/>
          </w:rPr>
          <w:t>115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98" w:history="1">
        <w:r>
          <w:rPr>
            <w:rStyle w:val="Lienhypertexte"/>
            <w:noProof/>
            <w:color w:val="auto"/>
          </w:rPr>
          <w:t>3.4.1.</w:t>
        </w:r>
        <w:r>
          <w:rPr>
            <w:rFonts w:asciiTheme="minorHAnsi" w:eastAsiaTheme="minorEastAsia" w:hAnsiTheme="minorHAnsi" w:cstheme="minorBidi"/>
            <w:b w:val="0"/>
            <w:noProof/>
            <w:szCs w:val="22"/>
            <w:lang w:val="fr-BE" w:eastAsia="fr-BE"/>
          </w:rPr>
          <w:t xml:space="preserve"> </w:t>
        </w:r>
        <w:r>
          <w:rPr>
            <w:rStyle w:val="Lienhypertexte"/>
            <w:noProof/>
            <w:color w:val="auto"/>
          </w:rPr>
          <w:t>Nombre d'emplois et populations scolaires à prendre en compte</w:t>
        </w:r>
        <w:r>
          <w:rPr>
            <w:noProof/>
            <w:webHidden/>
          </w:rPr>
          <w:tab/>
        </w:r>
        <w:r>
          <w:rPr>
            <w:noProof/>
            <w:webHidden/>
          </w:rPr>
          <w:fldChar w:fldCharType="begin"/>
        </w:r>
        <w:r>
          <w:rPr>
            <w:noProof/>
            <w:webHidden/>
          </w:rPr>
          <w:instrText xml:space="preserve"> PAGEREF _Toc486241798 \h </w:instrText>
        </w:r>
        <w:r>
          <w:rPr>
            <w:noProof/>
            <w:webHidden/>
          </w:rPr>
        </w:r>
        <w:r>
          <w:rPr>
            <w:noProof/>
            <w:webHidden/>
          </w:rPr>
          <w:fldChar w:fldCharType="separate"/>
        </w:r>
        <w:r>
          <w:rPr>
            <w:noProof/>
            <w:webHidden/>
          </w:rPr>
          <w:t>115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799" w:history="1">
        <w:r>
          <w:rPr>
            <w:rStyle w:val="Lienhypertexte"/>
            <w:noProof/>
            <w:color w:val="auto"/>
          </w:rPr>
          <w:t>3.4.2.</w:t>
        </w:r>
        <w:r>
          <w:rPr>
            <w:rFonts w:asciiTheme="minorHAnsi" w:eastAsiaTheme="minorEastAsia" w:hAnsiTheme="minorHAnsi" w:cstheme="minorBidi"/>
            <w:b w:val="0"/>
            <w:noProof/>
            <w:szCs w:val="22"/>
            <w:lang w:val="fr-BE" w:eastAsia="fr-BE"/>
          </w:rPr>
          <w:t xml:space="preserve"> </w:t>
        </w:r>
        <w:r>
          <w:rPr>
            <w:rStyle w:val="Lienhypertexte"/>
            <w:noProof/>
            <w:color w:val="auto"/>
          </w:rPr>
          <w:t>Direction d'école dans les écoles maternelles autonomes</w:t>
        </w:r>
        <w:r>
          <w:rPr>
            <w:noProof/>
            <w:webHidden/>
          </w:rPr>
          <w:tab/>
        </w:r>
        <w:r>
          <w:rPr>
            <w:noProof/>
            <w:webHidden/>
          </w:rPr>
          <w:fldChar w:fldCharType="begin"/>
        </w:r>
        <w:r>
          <w:rPr>
            <w:noProof/>
            <w:webHidden/>
          </w:rPr>
          <w:instrText xml:space="preserve"> PAGEREF _Toc486241799 \h </w:instrText>
        </w:r>
        <w:r>
          <w:rPr>
            <w:noProof/>
            <w:webHidden/>
          </w:rPr>
        </w:r>
        <w:r>
          <w:rPr>
            <w:noProof/>
            <w:webHidden/>
          </w:rPr>
          <w:fldChar w:fldCharType="separate"/>
        </w:r>
        <w:r>
          <w:rPr>
            <w:noProof/>
            <w:webHidden/>
          </w:rPr>
          <w:t>119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00" w:history="1">
        <w:r>
          <w:rPr>
            <w:rStyle w:val="Lienhypertexte"/>
            <w:noProof/>
            <w:color w:val="auto"/>
          </w:rPr>
          <w:t>3.4.3.</w:t>
        </w:r>
        <w:r>
          <w:rPr>
            <w:rFonts w:asciiTheme="minorHAnsi" w:eastAsiaTheme="minorEastAsia" w:hAnsiTheme="minorHAnsi" w:cstheme="minorBidi"/>
            <w:b w:val="0"/>
            <w:noProof/>
            <w:szCs w:val="22"/>
            <w:lang w:val="fr-BE" w:eastAsia="fr-BE"/>
          </w:rPr>
          <w:t xml:space="preserve"> </w:t>
        </w:r>
        <w:r>
          <w:rPr>
            <w:rStyle w:val="Lienhypertexte"/>
            <w:noProof/>
            <w:color w:val="auto"/>
          </w:rPr>
          <w:t>Demi-emplois</w:t>
        </w:r>
        <w:r>
          <w:rPr>
            <w:noProof/>
            <w:webHidden/>
          </w:rPr>
          <w:tab/>
        </w:r>
        <w:r>
          <w:rPr>
            <w:noProof/>
            <w:webHidden/>
          </w:rPr>
          <w:fldChar w:fldCharType="begin"/>
        </w:r>
        <w:r>
          <w:rPr>
            <w:noProof/>
            <w:webHidden/>
          </w:rPr>
          <w:instrText xml:space="preserve"> PAGEREF _Toc486241800 \h </w:instrText>
        </w:r>
        <w:r>
          <w:rPr>
            <w:noProof/>
            <w:webHidden/>
          </w:rPr>
        </w:r>
        <w:r>
          <w:rPr>
            <w:noProof/>
            <w:webHidden/>
          </w:rPr>
          <w:fldChar w:fldCharType="separate"/>
        </w:r>
        <w:r>
          <w:rPr>
            <w:noProof/>
            <w:webHidden/>
          </w:rPr>
          <w:t>119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01" w:history="1">
        <w:r>
          <w:rPr>
            <w:rStyle w:val="Lienhypertexte"/>
            <w:noProof/>
            <w:color w:val="auto"/>
          </w:rPr>
          <w:t>3.4.4.</w:t>
        </w:r>
        <w:r>
          <w:rPr>
            <w:rFonts w:asciiTheme="minorHAnsi" w:eastAsiaTheme="minorEastAsia" w:hAnsiTheme="minorHAnsi" w:cstheme="minorBidi"/>
            <w:b w:val="0"/>
            <w:noProof/>
            <w:szCs w:val="22"/>
            <w:lang w:val="fr-BE" w:eastAsia="fr-BE"/>
          </w:rPr>
          <w:t xml:space="preserve"> </w:t>
        </w:r>
        <w:r>
          <w:rPr>
            <w:rStyle w:val="Lienhypertexte"/>
            <w:noProof/>
            <w:color w:val="auto"/>
          </w:rPr>
          <w:t>Augmentations de cadre en cours d'année scolaire</w:t>
        </w:r>
        <w:r>
          <w:rPr>
            <w:noProof/>
            <w:webHidden/>
          </w:rPr>
          <w:tab/>
        </w:r>
        <w:r>
          <w:rPr>
            <w:noProof/>
            <w:webHidden/>
          </w:rPr>
          <w:fldChar w:fldCharType="begin"/>
        </w:r>
        <w:r>
          <w:rPr>
            <w:noProof/>
            <w:webHidden/>
          </w:rPr>
          <w:instrText xml:space="preserve"> PAGEREF _Toc486241801 \h </w:instrText>
        </w:r>
        <w:r>
          <w:rPr>
            <w:noProof/>
            <w:webHidden/>
          </w:rPr>
        </w:r>
        <w:r>
          <w:rPr>
            <w:noProof/>
            <w:webHidden/>
          </w:rPr>
          <w:fldChar w:fldCharType="separate"/>
        </w:r>
        <w:r>
          <w:rPr>
            <w:noProof/>
            <w:webHidden/>
          </w:rPr>
          <w:t>120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02" w:history="1">
        <w:r>
          <w:rPr>
            <w:rStyle w:val="Lienhypertexte"/>
            <w:noProof/>
            <w:color w:val="auto"/>
          </w:rPr>
          <w:t>3.4.5.</w:t>
        </w:r>
        <w:r>
          <w:rPr>
            <w:rFonts w:asciiTheme="minorHAnsi" w:eastAsiaTheme="minorEastAsia" w:hAnsiTheme="minorHAnsi" w:cstheme="minorBidi"/>
            <w:b w:val="0"/>
            <w:noProof/>
            <w:szCs w:val="22"/>
            <w:lang w:val="fr-BE" w:eastAsia="fr-BE"/>
          </w:rPr>
          <w:t xml:space="preserve"> </w:t>
        </w:r>
        <w:r>
          <w:rPr>
            <w:rStyle w:val="Lienhypertexte"/>
            <w:noProof/>
            <w:color w:val="auto"/>
          </w:rPr>
          <w:t>Périodes de psychomotricité</w:t>
        </w:r>
        <w:r>
          <w:rPr>
            <w:noProof/>
            <w:webHidden/>
          </w:rPr>
          <w:tab/>
        </w:r>
        <w:r>
          <w:rPr>
            <w:noProof/>
            <w:webHidden/>
          </w:rPr>
          <w:fldChar w:fldCharType="begin"/>
        </w:r>
        <w:r>
          <w:rPr>
            <w:noProof/>
            <w:webHidden/>
          </w:rPr>
          <w:instrText xml:space="preserve"> PAGEREF _Toc486241802 \h </w:instrText>
        </w:r>
        <w:r>
          <w:rPr>
            <w:noProof/>
            <w:webHidden/>
          </w:rPr>
        </w:r>
        <w:r>
          <w:rPr>
            <w:noProof/>
            <w:webHidden/>
          </w:rPr>
          <w:fldChar w:fldCharType="separate"/>
        </w:r>
        <w:r>
          <w:rPr>
            <w:noProof/>
            <w:webHidden/>
          </w:rPr>
          <w:t>121</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03" w:history="1">
        <w:r>
          <w:rPr>
            <w:rStyle w:val="Lienhypertexte"/>
            <w:noProof/>
            <w:color w:val="auto"/>
          </w:rPr>
          <w:t>3.4.6.</w:t>
        </w:r>
        <w:r>
          <w:rPr>
            <w:rFonts w:asciiTheme="minorHAnsi" w:eastAsiaTheme="minorEastAsia" w:hAnsiTheme="minorHAnsi" w:cstheme="minorBidi"/>
            <w:b w:val="0"/>
            <w:noProof/>
            <w:szCs w:val="22"/>
            <w:lang w:val="fr-BE" w:eastAsia="fr-BE"/>
          </w:rPr>
          <w:t xml:space="preserve"> </w:t>
        </w:r>
        <w:r>
          <w:rPr>
            <w:rStyle w:val="Lienhypertexte"/>
            <w:noProof/>
            <w:color w:val="auto"/>
          </w:rPr>
          <w:t>Adaptation de l’encadrement maternel du mois de septembre</w:t>
        </w:r>
        <w:r>
          <w:rPr>
            <w:noProof/>
            <w:webHidden/>
          </w:rPr>
          <w:tab/>
        </w:r>
        <w:r>
          <w:rPr>
            <w:noProof/>
            <w:webHidden/>
          </w:rPr>
          <w:fldChar w:fldCharType="begin"/>
        </w:r>
        <w:r>
          <w:rPr>
            <w:noProof/>
            <w:webHidden/>
          </w:rPr>
          <w:instrText xml:space="preserve"> PAGEREF _Toc486241803 \h </w:instrText>
        </w:r>
        <w:r>
          <w:rPr>
            <w:noProof/>
            <w:webHidden/>
          </w:rPr>
        </w:r>
        <w:r>
          <w:rPr>
            <w:noProof/>
            <w:webHidden/>
          </w:rPr>
          <w:fldChar w:fldCharType="separate"/>
        </w:r>
        <w:r>
          <w:rPr>
            <w:noProof/>
            <w:webHidden/>
          </w:rPr>
          <w:t>122</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04" w:history="1">
        <w:r>
          <w:rPr>
            <w:rStyle w:val="Lienhypertexte"/>
            <w:noProof/>
            <w:color w:val="auto"/>
          </w:rPr>
          <w:t>Chapitre 3.5.</w:t>
        </w:r>
        <w:r>
          <w:rPr>
            <w:rFonts w:asciiTheme="minorHAnsi" w:eastAsiaTheme="minorEastAsia" w:hAnsiTheme="minorHAnsi" w:cstheme="minorBidi"/>
            <w:noProof/>
            <w:szCs w:val="22"/>
            <w:lang w:val="fr-BE" w:eastAsia="fr-BE"/>
          </w:rPr>
          <w:t xml:space="preserve"> </w:t>
        </w:r>
        <w:r>
          <w:rPr>
            <w:rStyle w:val="Lienhypertexte"/>
            <w:noProof/>
            <w:color w:val="auto"/>
          </w:rPr>
          <w:t>Rôle des organes de concertation et de participation</w:t>
        </w:r>
        <w:r>
          <w:rPr>
            <w:rStyle w:val="Lienhypertexte"/>
            <w:noProof/>
            <w:color w:val="auto"/>
          </w:rPr>
          <w:tab/>
        </w:r>
        <w:r>
          <w:rPr>
            <w:noProof/>
            <w:webHidden/>
          </w:rPr>
          <w:fldChar w:fldCharType="begin"/>
        </w:r>
        <w:r>
          <w:rPr>
            <w:noProof/>
            <w:webHidden/>
          </w:rPr>
          <w:instrText xml:space="preserve"> PAGEREF _Toc486241804 \h </w:instrText>
        </w:r>
        <w:r>
          <w:rPr>
            <w:noProof/>
            <w:webHidden/>
          </w:rPr>
        </w:r>
        <w:r>
          <w:rPr>
            <w:noProof/>
            <w:webHidden/>
          </w:rPr>
          <w:fldChar w:fldCharType="separate"/>
        </w:r>
        <w:r>
          <w:rPr>
            <w:noProof/>
            <w:webHidden/>
          </w:rPr>
          <w:t>124</w:t>
        </w:r>
        <w:r>
          <w:rPr>
            <w:noProof/>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05" w:history="1">
        <w:r>
          <w:rPr>
            <w:rStyle w:val="Lienhypertexte"/>
            <w:color w:val="auto"/>
          </w:rPr>
          <w:t>Titre 4. Horaires et organisation de certains cours</w:t>
        </w:r>
        <w:r>
          <w:rPr>
            <w:webHidden/>
          </w:rPr>
          <w:tab/>
        </w:r>
        <w:r>
          <w:rPr>
            <w:webHidden/>
          </w:rPr>
          <w:fldChar w:fldCharType="begin"/>
        </w:r>
        <w:r>
          <w:rPr>
            <w:webHidden/>
          </w:rPr>
          <w:instrText xml:space="preserve"> PAGEREF _Toc486241805 \h </w:instrText>
        </w:r>
        <w:r>
          <w:rPr>
            <w:webHidden/>
          </w:rPr>
        </w:r>
        <w:r>
          <w:rPr>
            <w:webHidden/>
          </w:rPr>
          <w:fldChar w:fldCharType="separate"/>
        </w:r>
        <w:r>
          <w:rPr>
            <w:webHidden/>
          </w:rPr>
          <w:t>125</w:t>
        </w:r>
        <w:r>
          <w:rPr>
            <w:webHidden/>
          </w:rPr>
          <w:fldChar w:fldCharType="end"/>
        </w:r>
      </w:hyperlink>
    </w:p>
    <w:p>
      <w:pPr>
        <w:pStyle w:val="TM2"/>
        <w:rPr>
          <w:rFonts w:asciiTheme="minorHAnsi" w:eastAsiaTheme="minorEastAsia" w:hAnsiTheme="minorHAnsi" w:cstheme="minorBidi"/>
          <w:noProof/>
          <w:szCs w:val="22"/>
          <w:lang w:val="fr-BE" w:eastAsia="fr-BE"/>
        </w:rPr>
      </w:pPr>
      <w:hyperlink w:anchor="_Toc486241806" w:history="1">
        <w:r>
          <w:rPr>
            <w:rStyle w:val="Lienhypertexte"/>
            <w:noProof/>
            <w:color w:val="auto"/>
          </w:rPr>
          <w:t>Chapitre 4.1.</w:t>
        </w:r>
        <w:r>
          <w:rPr>
            <w:rFonts w:asciiTheme="minorHAnsi" w:eastAsiaTheme="minorEastAsia" w:hAnsiTheme="minorHAnsi" w:cstheme="minorBidi"/>
            <w:noProof/>
            <w:szCs w:val="22"/>
            <w:lang w:val="fr-BE" w:eastAsia="fr-BE"/>
          </w:rPr>
          <w:t xml:space="preserve"> </w:t>
        </w:r>
        <w:r>
          <w:rPr>
            <w:rStyle w:val="Lienhypertexte"/>
            <w:noProof/>
            <w:color w:val="auto"/>
          </w:rPr>
          <w:t>Calendrier scolaire et suspension de cours</w:t>
        </w:r>
        <w:r>
          <w:rPr>
            <w:noProof/>
            <w:webHidden/>
          </w:rPr>
          <w:t xml:space="preserve"> </w:t>
        </w:r>
        <w:r>
          <w:rPr>
            <w:noProof/>
            <w:webHidden/>
          </w:rPr>
          <w:tab/>
        </w:r>
        <w:r>
          <w:rPr>
            <w:noProof/>
            <w:webHidden/>
          </w:rPr>
          <w:fldChar w:fldCharType="begin"/>
        </w:r>
        <w:r>
          <w:rPr>
            <w:noProof/>
            <w:webHidden/>
          </w:rPr>
          <w:instrText xml:space="preserve"> PAGEREF _Toc486241806 \h </w:instrText>
        </w:r>
        <w:r>
          <w:rPr>
            <w:noProof/>
            <w:webHidden/>
          </w:rPr>
        </w:r>
        <w:r>
          <w:rPr>
            <w:noProof/>
            <w:webHidden/>
          </w:rPr>
          <w:fldChar w:fldCharType="separate"/>
        </w:r>
        <w:r>
          <w:rPr>
            <w:noProof/>
            <w:webHidden/>
          </w:rPr>
          <w:t>125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07" w:history="1">
        <w:r>
          <w:rPr>
            <w:rStyle w:val="Lienhypertexte"/>
            <w:noProof/>
            <w:color w:val="auto"/>
          </w:rPr>
          <w:t>4.1.1.</w:t>
        </w:r>
        <w:r>
          <w:rPr>
            <w:rFonts w:asciiTheme="minorHAnsi" w:eastAsiaTheme="minorEastAsia" w:hAnsiTheme="minorHAnsi" w:cstheme="minorBidi"/>
            <w:b w:val="0"/>
            <w:noProof/>
            <w:szCs w:val="22"/>
            <w:lang w:val="fr-BE" w:eastAsia="fr-BE"/>
          </w:rPr>
          <w:t xml:space="preserve"> </w:t>
        </w:r>
        <w:r>
          <w:rPr>
            <w:rStyle w:val="Lienhypertexte"/>
            <w:noProof/>
            <w:color w:val="auto"/>
          </w:rPr>
          <w:t>Calendrier scolaire 2017-2018</w:t>
        </w:r>
        <w:r>
          <w:rPr>
            <w:noProof/>
            <w:webHidden/>
          </w:rPr>
          <w:tab/>
        </w:r>
        <w:r>
          <w:rPr>
            <w:noProof/>
            <w:webHidden/>
          </w:rPr>
          <w:fldChar w:fldCharType="begin"/>
        </w:r>
        <w:r>
          <w:rPr>
            <w:noProof/>
            <w:webHidden/>
          </w:rPr>
          <w:instrText xml:space="preserve"> PAGEREF _Toc486241807 \h </w:instrText>
        </w:r>
        <w:r>
          <w:rPr>
            <w:noProof/>
            <w:webHidden/>
          </w:rPr>
        </w:r>
        <w:r>
          <w:rPr>
            <w:noProof/>
            <w:webHidden/>
          </w:rPr>
          <w:fldChar w:fldCharType="separate"/>
        </w:r>
        <w:r>
          <w:rPr>
            <w:noProof/>
            <w:webHidden/>
          </w:rPr>
          <w:t>125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08" w:history="1">
        <w:r>
          <w:rPr>
            <w:rStyle w:val="Lienhypertexte"/>
            <w:noProof/>
            <w:color w:val="auto"/>
          </w:rPr>
          <w:t>4.1.2.</w:t>
        </w:r>
        <w:r>
          <w:rPr>
            <w:rFonts w:asciiTheme="minorHAnsi" w:eastAsiaTheme="minorEastAsia" w:hAnsiTheme="minorHAnsi" w:cstheme="minorBidi"/>
            <w:b w:val="0"/>
            <w:noProof/>
            <w:szCs w:val="22"/>
            <w:lang w:val="fr-BE" w:eastAsia="fr-BE"/>
          </w:rPr>
          <w:t xml:space="preserve"> </w:t>
        </w:r>
        <w:r>
          <w:rPr>
            <w:rStyle w:val="Lienhypertexte"/>
            <w:noProof/>
            <w:color w:val="auto"/>
          </w:rPr>
          <w:t>Calendrier scolaire 2018-2019</w:t>
        </w:r>
        <w:r>
          <w:rPr>
            <w:noProof/>
            <w:webHidden/>
          </w:rPr>
          <w:tab/>
        </w:r>
        <w:r>
          <w:rPr>
            <w:noProof/>
            <w:webHidden/>
          </w:rPr>
          <w:fldChar w:fldCharType="begin"/>
        </w:r>
        <w:r>
          <w:rPr>
            <w:noProof/>
            <w:webHidden/>
          </w:rPr>
          <w:instrText xml:space="preserve"> PAGEREF _Toc486241808 \h </w:instrText>
        </w:r>
        <w:r>
          <w:rPr>
            <w:noProof/>
            <w:webHidden/>
          </w:rPr>
        </w:r>
        <w:r>
          <w:rPr>
            <w:noProof/>
            <w:webHidden/>
          </w:rPr>
          <w:fldChar w:fldCharType="separate"/>
        </w:r>
        <w:r>
          <w:rPr>
            <w:noProof/>
            <w:webHidden/>
          </w:rPr>
          <w:t>125</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09" w:history="1">
        <w:r>
          <w:rPr>
            <w:rStyle w:val="Lienhypertexte"/>
            <w:noProof/>
            <w:color w:val="auto"/>
          </w:rPr>
          <w:t>4.1.3.</w:t>
        </w:r>
        <w:r>
          <w:rPr>
            <w:rFonts w:asciiTheme="minorHAnsi" w:eastAsiaTheme="minorEastAsia" w:hAnsiTheme="minorHAnsi" w:cstheme="minorBidi"/>
            <w:b w:val="0"/>
            <w:noProof/>
            <w:szCs w:val="22"/>
            <w:lang w:val="fr-BE" w:eastAsia="fr-BE"/>
          </w:rPr>
          <w:t xml:space="preserve"> </w:t>
        </w:r>
        <w:r>
          <w:rPr>
            <w:rStyle w:val="Lienhypertexte"/>
            <w:noProof/>
            <w:color w:val="auto"/>
          </w:rPr>
          <w:t>Suspension de cours</w:t>
        </w:r>
        <w:r>
          <w:rPr>
            <w:noProof/>
            <w:webHidden/>
          </w:rPr>
          <w:tab/>
        </w:r>
        <w:r>
          <w:rPr>
            <w:noProof/>
            <w:webHidden/>
          </w:rPr>
          <w:fldChar w:fldCharType="begin"/>
        </w:r>
        <w:r>
          <w:rPr>
            <w:noProof/>
            <w:webHidden/>
          </w:rPr>
          <w:instrText xml:space="preserve"> PAGEREF _Toc486241809 \h </w:instrText>
        </w:r>
        <w:r>
          <w:rPr>
            <w:noProof/>
            <w:webHidden/>
          </w:rPr>
        </w:r>
        <w:r>
          <w:rPr>
            <w:noProof/>
            <w:webHidden/>
          </w:rPr>
          <w:fldChar w:fldCharType="separate"/>
        </w:r>
        <w:r>
          <w:rPr>
            <w:noProof/>
            <w:webHidden/>
          </w:rPr>
          <w:t>126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10" w:history="1">
        <w:r>
          <w:rPr>
            <w:rStyle w:val="Lienhypertexte"/>
            <w:noProof/>
            <w:color w:val="auto"/>
          </w:rPr>
          <w:t>4.1.4.</w:t>
        </w:r>
        <w:r>
          <w:rPr>
            <w:rFonts w:asciiTheme="minorHAnsi" w:eastAsiaTheme="minorEastAsia" w:hAnsiTheme="minorHAnsi" w:cstheme="minorBidi"/>
            <w:b w:val="0"/>
            <w:noProof/>
            <w:szCs w:val="22"/>
            <w:lang w:val="fr-BE" w:eastAsia="fr-BE"/>
          </w:rPr>
          <w:t xml:space="preserve"> </w:t>
        </w:r>
        <w:r>
          <w:rPr>
            <w:rStyle w:val="Lienhypertexte"/>
            <w:noProof/>
            <w:color w:val="auto"/>
          </w:rPr>
          <w:t>Respect du calendrier scolaire</w:t>
        </w:r>
        <w:r>
          <w:rPr>
            <w:noProof/>
            <w:webHidden/>
          </w:rPr>
          <w:tab/>
        </w:r>
        <w:r>
          <w:rPr>
            <w:noProof/>
            <w:webHidden/>
          </w:rPr>
          <w:fldChar w:fldCharType="begin"/>
        </w:r>
        <w:r>
          <w:rPr>
            <w:noProof/>
            <w:webHidden/>
          </w:rPr>
          <w:instrText xml:space="preserve"> PAGEREF _Toc486241810 \h </w:instrText>
        </w:r>
        <w:r>
          <w:rPr>
            <w:noProof/>
            <w:webHidden/>
          </w:rPr>
        </w:r>
        <w:r>
          <w:rPr>
            <w:noProof/>
            <w:webHidden/>
          </w:rPr>
          <w:fldChar w:fldCharType="separate"/>
        </w:r>
        <w:r>
          <w:rPr>
            <w:noProof/>
            <w:webHidden/>
          </w:rPr>
          <w:t>126</w:t>
        </w:r>
        <w:r>
          <w:rPr>
            <w:noProof/>
            <w:webHidden/>
          </w:rPr>
          <w:fldChar w:fldCharType="end"/>
        </w:r>
      </w:hyperlink>
    </w:p>
    <w:p>
      <w:pPr>
        <w:pStyle w:val="TM2"/>
        <w:rPr>
          <w:noProof/>
        </w:rPr>
      </w:pPr>
    </w:p>
    <w:p>
      <w:pPr>
        <w:pStyle w:val="TM2"/>
        <w:rPr>
          <w:rFonts w:asciiTheme="minorHAnsi" w:eastAsiaTheme="minorEastAsia" w:hAnsiTheme="minorHAnsi" w:cstheme="minorBidi"/>
          <w:noProof/>
          <w:szCs w:val="22"/>
          <w:lang w:val="fr-BE" w:eastAsia="fr-BE"/>
        </w:rPr>
      </w:pPr>
      <w:hyperlink w:anchor="_Toc486241811" w:history="1">
        <w:r>
          <w:rPr>
            <w:rStyle w:val="Lienhypertexte"/>
            <w:noProof/>
            <w:color w:val="auto"/>
          </w:rPr>
          <w:t>Chapitre 4.2.</w:t>
        </w:r>
        <w:r>
          <w:rPr>
            <w:rFonts w:asciiTheme="minorHAnsi" w:eastAsiaTheme="minorEastAsia" w:hAnsiTheme="minorHAnsi" w:cstheme="minorBidi"/>
            <w:noProof/>
            <w:szCs w:val="22"/>
            <w:lang w:val="fr-BE" w:eastAsia="fr-BE"/>
          </w:rPr>
          <w:t xml:space="preserve"> </w:t>
        </w:r>
        <w:r>
          <w:rPr>
            <w:rStyle w:val="Lienhypertexte"/>
            <w:noProof/>
            <w:color w:val="auto"/>
          </w:rPr>
          <w:t>Horaire hebdomadaire des élèves</w:t>
        </w:r>
        <w:r>
          <w:rPr>
            <w:noProof/>
            <w:webHidden/>
          </w:rPr>
          <w:t xml:space="preserve"> </w:t>
        </w:r>
        <w:r>
          <w:rPr>
            <w:noProof/>
            <w:webHidden/>
          </w:rPr>
          <w:tab/>
        </w:r>
        <w:r>
          <w:rPr>
            <w:noProof/>
            <w:webHidden/>
          </w:rPr>
          <w:fldChar w:fldCharType="begin"/>
        </w:r>
        <w:r>
          <w:rPr>
            <w:noProof/>
            <w:webHidden/>
          </w:rPr>
          <w:instrText xml:space="preserve"> PAGEREF _Toc486241811 \h </w:instrText>
        </w:r>
        <w:r>
          <w:rPr>
            <w:noProof/>
            <w:webHidden/>
          </w:rPr>
        </w:r>
        <w:r>
          <w:rPr>
            <w:noProof/>
            <w:webHidden/>
          </w:rPr>
          <w:fldChar w:fldCharType="separate"/>
        </w:r>
        <w:r>
          <w:rPr>
            <w:noProof/>
            <w:webHidden/>
          </w:rPr>
          <w:t>127</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12" w:history="1">
        <w:r>
          <w:rPr>
            <w:rStyle w:val="Lienhypertexte"/>
            <w:noProof/>
            <w:color w:val="auto"/>
          </w:rPr>
          <w:t>4.2.1.</w:t>
        </w:r>
        <w:r>
          <w:rPr>
            <w:rFonts w:asciiTheme="minorHAnsi" w:eastAsiaTheme="minorEastAsia" w:hAnsiTheme="minorHAnsi" w:cstheme="minorBidi"/>
            <w:b w:val="0"/>
            <w:noProof/>
            <w:szCs w:val="22"/>
            <w:lang w:val="fr-BE" w:eastAsia="fr-BE"/>
          </w:rPr>
          <w:t xml:space="preserve"> </w:t>
        </w:r>
        <w:r>
          <w:rPr>
            <w:rStyle w:val="Lienhypertexte"/>
            <w:noProof/>
            <w:color w:val="auto"/>
          </w:rPr>
          <w:t>Dispositions communes à l'enseignement maternel et primaire</w:t>
        </w:r>
        <w:r>
          <w:rPr>
            <w:noProof/>
            <w:webHidden/>
          </w:rPr>
          <w:tab/>
        </w:r>
        <w:r>
          <w:rPr>
            <w:noProof/>
            <w:webHidden/>
          </w:rPr>
          <w:fldChar w:fldCharType="begin"/>
        </w:r>
        <w:r>
          <w:rPr>
            <w:noProof/>
            <w:webHidden/>
          </w:rPr>
          <w:instrText xml:space="preserve"> PAGEREF _Toc486241812 \h </w:instrText>
        </w:r>
        <w:r>
          <w:rPr>
            <w:noProof/>
            <w:webHidden/>
          </w:rPr>
        </w:r>
        <w:r>
          <w:rPr>
            <w:noProof/>
            <w:webHidden/>
          </w:rPr>
          <w:fldChar w:fldCharType="separate"/>
        </w:r>
        <w:r>
          <w:rPr>
            <w:noProof/>
            <w:webHidden/>
          </w:rPr>
          <w:t>127</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13" w:history="1">
        <w:r>
          <w:rPr>
            <w:rStyle w:val="Lienhypertexte"/>
            <w:noProof/>
            <w:color w:val="auto"/>
          </w:rPr>
          <w:t>4.2.2.</w:t>
        </w:r>
        <w:r>
          <w:rPr>
            <w:rFonts w:asciiTheme="minorHAnsi" w:eastAsiaTheme="minorEastAsia" w:hAnsiTheme="minorHAnsi" w:cstheme="minorBidi"/>
            <w:b w:val="0"/>
            <w:noProof/>
            <w:szCs w:val="22"/>
            <w:lang w:val="fr-BE" w:eastAsia="fr-BE"/>
          </w:rPr>
          <w:t xml:space="preserve"> </w:t>
        </w:r>
        <w:r>
          <w:rPr>
            <w:rStyle w:val="Lienhypertexte"/>
            <w:noProof/>
            <w:color w:val="auto"/>
          </w:rPr>
          <w:t>Horaire des élèves dans l'enseignement maternel</w:t>
        </w:r>
        <w:r>
          <w:rPr>
            <w:noProof/>
            <w:webHidden/>
          </w:rPr>
          <w:tab/>
        </w:r>
        <w:r>
          <w:rPr>
            <w:noProof/>
            <w:webHidden/>
          </w:rPr>
          <w:fldChar w:fldCharType="begin"/>
        </w:r>
        <w:r>
          <w:rPr>
            <w:noProof/>
            <w:webHidden/>
          </w:rPr>
          <w:instrText xml:space="preserve"> PAGEREF _Toc486241813 \h </w:instrText>
        </w:r>
        <w:r>
          <w:rPr>
            <w:noProof/>
            <w:webHidden/>
          </w:rPr>
        </w:r>
        <w:r>
          <w:rPr>
            <w:noProof/>
            <w:webHidden/>
          </w:rPr>
          <w:fldChar w:fldCharType="separate"/>
        </w:r>
        <w:r>
          <w:rPr>
            <w:noProof/>
            <w:webHidden/>
          </w:rPr>
          <w:t>127</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14" w:history="1">
        <w:r>
          <w:rPr>
            <w:rStyle w:val="Lienhypertexte"/>
            <w:noProof/>
            <w:color w:val="auto"/>
          </w:rPr>
          <w:t>4.2.3.</w:t>
        </w:r>
        <w:r>
          <w:rPr>
            <w:rFonts w:asciiTheme="minorHAnsi" w:eastAsiaTheme="minorEastAsia" w:hAnsiTheme="minorHAnsi" w:cstheme="minorBidi"/>
            <w:b w:val="0"/>
            <w:noProof/>
            <w:szCs w:val="22"/>
            <w:lang w:val="fr-BE" w:eastAsia="fr-BE"/>
          </w:rPr>
          <w:t xml:space="preserve"> </w:t>
        </w:r>
        <w:r>
          <w:rPr>
            <w:rStyle w:val="Lienhypertexte"/>
            <w:noProof/>
            <w:color w:val="auto"/>
          </w:rPr>
          <w:t>Horaire des élèves dans l'enseignement primaire</w:t>
        </w:r>
        <w:r>
          <w:rPr>
            <w:noProof/>
            <w:webHidden/>
          </w:rPr>
          <w:tab/>
        </w:r>
        <w:r>
          <w:rPr>
            <w:noProof/>
            <w:webHidden/>
          </w:rPr>
          <w:fldChar w:fldCharType="begin"/>
        </w:r>
        <w:r>
          <w:rPr>
            <w:noProof/>
            <w:webHidden/>
          </w:rPr>
          <w:instrText xml:space="preserve"> PAGEREF _Toc486241814 \h </w:instrText>
        </w:r>
        <w:r>
          <w:rPr>
            <w:noProof/>
            <w:webHidden/>
          </w:rPr>
        </w:r>
        <w:r>
          <w:rPr>
            <w:noProof/>
            <w:webHidden/>
          </w:rPr>
          <w:fldChar w:fldCharType="separate"/>
        </w:r>
        <w:r>
          <w:rPr>
            <w:noProof/>
            <w:webHidden/>
          </w:rPr>
          <w:t>127</w:t>
        </w:r>
        <w:r>
          <w:rPr>
            <w:noProof/>
            <w:webHidden/>
          </w:rPr>
          <w:fldChar w:fldCharType="end"/>
        </w:r>
      </w:hyperlink>
    </w:p>
    <w:p>
      <w:pPr>
        <w:pStyle w:val="TM2"/>
        <w:rPr>
          <w:noProof/>
        </w:rPr>
      </w:pPr>
      <w:hyperlink w:anchor="_Toc486241815" w:history="1">
        <w:r>
          <w:rPr>
            <w:rStyle w:val="Lienhypertexte"/>
            <w:noProof/>
            <w:color w:val="auto"/>
          </w:rPr>
          <w:t>Chapitre 4.3. Cours de morale non censeignement</w:t>
        </w:r>
        <w:r>
          <w:rPr>
            <w:noProof/>
            <w:webHidden/>
          </w:rPr>
          <w:t>, de religion, de philosophie et de citoyenneté dans l’enseignement primaire</w:t>
        </w:r>
        <w:r>
          <w:rPr>
            <w:noProof/>
            <w:webHidden/>
          </w:rPr>
          <w:tab/>
        </w:r>
        <w:r>
          <w:rPr>
            <w:noProof/>
            <w:webHidden/>
          </w:rPr>
          <w:fldChar w:fldCharType="begin"/>
        </w:r>
        <w:r>
          <w:rPr>
            <w:noProof/>
            <w:webHidden/>
          </w:rPr>
          <w:instrText xml:space="preserve"> PAGEREF _Toc486241815 \h </w:instrText>
        </w:r>
        <w:r>
          <w:rPr>
            <w:noProof/>
            <w:webHidden/>
          </w:rPr>
        </w:r>
        <w:r>
          <w:rPr>
            <w:noProof/>
            <w:webHidden/>
          </w:rPr>
          <w:fldChar w:fldCharType="separate"/>
        </w:r>
        <w:r>
          <w:rPr>
            <w:noProof/>
            <w:webHidden/>
          </w:rPr>
          <w:t>129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16" w:history="1">
        <w:r>
          <w:rPr>
            <w:rStyle w:val="Lienhypertexte"/>
            <w:noProof/>
            <w:color w:val="auto"/>
          </w:rPr>
          <w:t>4.3.1.</w:t>
        </w:r>
        <w:r>
          <w:rPr>
            <w:rFonts w:asciiTheme="minorHAnsi" w:eastAsiaTheme="minorEastAsia" w:hAnsiTheme="minorHAnsi" w:cstheme="minorBidi"/>
            <w:b w:val="0"/>
            <w:noProof/>
            <w:szCs w:val="22"/>
            <w:lang w:val="fr-BE" w:eastAsia="fr-BE"/>
          </w:rPr>
          <w:t xml:space="preserve"> </w:t>
        </w:r>
        <w:r>
          <w:rPr>
            <w:rStyle w:val="Lienhypertexte"/>
            <w:noProof/>
            <w:color w:val="auto"/>
          </w:rPr>
          <w:t>Enseignements libre confessionnel et libre non confessionnel qui offre exclusivement le cours de morale non confessionnelle</w:t>
        </w:r>
        <w:r>
          <w:rPr>
            <w:noProof/>
            <w:webHidden/>
          </w:rPr>
          <w:tab/>
        </w:r>
        <w:r>
          <w:rPr>
            <w:noProof/>
            <w:webHidden/>
          </w:rPr>
          <w:fldChar w:fldCharType="begin"/>
        </w:r>
        <w:r>
          <w:rPr>
            <w:noProof/>
            <w:webHidden/>
          </w:rPr>
          <w:instrText xml:space="preserve"> PAGEREF _Toc486241816 \h </w:instrText>
        </w:r>
        <w:r>
          <w:rPr>
            <w:noProof/>
            <w:webHidden/>
          </w:rPr>
        </w:r>
        <w:r>
          <w:rPr>
            <w:noProof/>
            <w:webHidden/>
          </w:rPr>
          <w:fldChar w:fldCharType="separate"/>
        </w:r>
        <w:r>
          <w:rPr>
            <w:noProof/>
            <w:webHidden/>
          </w:rPr>
          <w:t>129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17" w:history="1">
        <w:r>
          <w:rPr>
            <w:rStyle w:val="Lienhypertexte"/>
            <w:noProof/>
            <w:color w:val="auto"/>
          </w:rPr>
          <w:t>4.3.2.</w:t>
        </w:r>
        <w:r>
          <w:rPr>
            <w:rFonts w:asciiTheme="minorHAnsi" w:eastAsiaTheme="minorEastAsia" w:hAnsiTheme="minorHAnsi" w:cstheme="minorBidi"/>
            <w:b w:val="0"/>
            <w:noProof/>
            <w:szCs w:val="22"/>
            <w:lang w:val="fr-BE" w:eastAsia="fr-BE"/>
          </w:rPr>
          <w:t xml:space="preserve"> </w:t>
        </w:r>
        <w:r>
          <w:rPr>
            <w:rStyle w:val="Lienhypertexte"/>
            <w:noProof/>
            <w:color w:val="auto"/>
          </w:rPr>
          <w:t>Enseignements officiel organisé et subventionné, libre non confessionnel qui offre le choix entre les différents cours de religion ou de morale non confessionnelle</w:t>
        </w:r>
        <w:r>
          <w:rPr>
            <w:noProof/>
            <w:webHidden/>
          </w:rPr>
          <w:tab/>
        </w:r>
        <w:r>
          <w:rPr>
            <w:noProof/>
            <w:webHidden/>
          </w:rPr>
          <w:fldChar w:fldCharType="begin"/>
        </w:r>
        <w:r>
          <w:rPr>
            <w:noProof/>
            <w:webHidden/>
          </w:rPr>
          <w:instrText xml:space="preserve"> PAGEREF _Toc486241817 \h </w:instrText>
        </w:r>
        <w:r>
          <w:rPr>
            <w:noProof/>
            <w:webHidden/>
          </w:rPr>
        </w:r>
        <w:r>
          <w:rPr>
            <w:noProof/>
            <w:webHidden/>
          </w:rPr>
          <w:fldChar w:fldCharType="separate"/>
        </w:r>
        <w:r>
          <w:rPr>
            <w:noProof/>
            <w:webHidden/>
          </w:rPr>
          <w:t>129</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18" w:history="1">
        <w:r>
          <w:rPr>
            <w:rStyle w:val="Lienhypertexte"/>
            <w:noProof/>
            <w:color w:val="auto"/>
          </w:rPr>
          <w:t>Chapitre 4.4.</w:t>
        </w:r>
        <w:r>
          <w:rPr>
            <w:rFonts w:asciiTheme="minorHAnsi" w:eastAsiaTheme="minorEastAsia" w:hAnsiTheme="minorHAnsi" w:cstheme="minorBidi"/>
            <w:noProof/>
            <w:szCs w:val="22"/>
            <w:lang w:val="fr-BE" w:eastAsia="fr-BE"/>
          </w:rPr>
          <w:t xml:space="preserve"> </w:t>
        </w:r>
        <w:r>
          <w:rPr>
            <w:rStyle w:val="Lienhypertexte"/>
            <w:noProof/>
            <w:color w:val="auto"/>
          </w:rPr>
          <w:t>Cours de seconde langue et immersion linguistique</w:t>
        </w:r>
        <w:r>
          <w:rPr>
            <w:noProof/>
            <w:webHidden/>
          </w:rPr>
          <w:t xml:space="preserve"> </w:t>
        </w:r>
        <w:r>
          <w:rPr>
            <w:noProof/>
            <w:webHidden/>
          </w:rPr>
          <w:tab/>
        </w:r>
        <w:r>
          <w:rPr>
            <w:noProof/>
            <w:webHidden/>
          </w:rPr>
          <w:fldChar w:fldCharType="begin"/>
        </w:r>
        <w:r>
          <w:rPr>
            <w:noProof/>
            <w:webHidden/>
          </w:rPr>
          <w:instrText xml:space="preserve"> PAGEREF _Toc486241818 \h </w:instrText>
        </w:r>
        <w:r>
          <w:rPr>
            <w:noProof/>
            <w:webHidden/>
          </w:rPr>
        </w:r>
        <w:r>
          <w:rPr>
            <w:noProof/>
            <w:webHidden/>
          </w:rPr>
          <w:fldChar w:fldCharType="separate"/>
        </w:r>
        <w:r>
          <w:rPr>
            <w:noProof/>
            <w:webHidden/>
          </w:rPr>
          <w:t>131</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19" w:history="1">
        <w:r>
          <w:rPr>
            <w:rStyle w:val="Lienhypertexte"/>
            <w:noProof/>
            <w:color w:val="auto"/>
          </w:rPr>
          <w:t>4.4.1.</w:t>
        </w:r>
        <w:r>
          <w:rPr>
            <w:rFonts w:asciiTheme="minorHAnsi" w:eastAsiaTheme="minorEastAsia" w:hAnsiTheme="minorHAnsi" w:cstheme="minorBidi"/>
            <w:b w:val="0"/>
            <w:noProof/>
            <w:szCs w:val="22"/>
            <w:lang w:val="fr-BE" w:eastAsia="fr-BE"/>
          </w:rPr>
          <w:t xml:space="preserve"> </w:t>
        </w:r>
        <w:r>
          <w:rPr>
            <w:rStyle w:val="Lienhypertexte"/>
            <w:noProof/>
            <w:color w:val="auto"/>
          </w:rPr>
          <w:t>Cours obligatoires de seconde langue</w:t>
        </w:r>
        <w:r>
          <w:rPr>
            <w:noProof/>
            <w:webHidden/>
          </w:rPr>
          <w:tab/>
        </w:r>
        <w:r>
          <w:rPr>
            <w:noProof/>
            <w:webHidden/>
          </w:rPr>
          <w:fldChar w:fldCharType="begin"/>
        </w:r>
        <w:r>
          <w:rPr>
            <w:noProof/>
            <w:webHidden/>
          </w:rPr>
          <w:instrText xml:space="preserve"> PAGEREF _Toc486241819 \h </w:instrText>
        </w:r>
        <w:r>
          <w:rPr>
            <w:noProof/>
            <w:webHidden/>
          </w:rPr>
        </w:r>
        <w:r>
          <w:rPr>
            <w:noProof/>
            <w:webHidden/>
          </w:rPr>
          <w:fldChar w:fldCharType="separate"/>
        </w:r>
        <w:r>
          <w:rPr>
            <w:noProof/>
            <w:webHidden/>
          </w:rPr>
          <w:t>131</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20" w:history="1">
        <w:r>
          <w:rPr>
            <w:rStyle w:val="Lienhypertexte"/>
            <w:noProof/>
            <w:color w:val="auto"/>
          </w:rPr>
          <w:t>4.4.2.</w:t>
        </w:r>
        <w:r>
          <w:rPr>
            <w:rFonts w:asciiTheme="minorHAnsi" w:eastAsiaTheme="minorEastAsia" w:hAnsiTheme="minorHAnsi" w:cstheme="minorBidi"/>
            <w:b w:val="0"/>
            <w:noProof/>
            <w:szCs w:val="22"/>
            <w:lang w:val="fr-BE" w:eastAsia="fr-BE"/>
          </w:rPr>
          <w:t xml:space="preserve"> </w:t>
        </w:r>
        <w:r>
          <w:rPr>
            <w:rStyle w:val="Lienhypertexte"/>
            <w:noProof/>
            <w:color w:val="auto"/>
          </w:rPr>
          <w:t>Organisation facultative de cours de seconde langue</w:t>
        </w:r>
        <w:r>
          <w:rPr>
            <w:noProof/>
            <w:webHidden/>
          </w:rPr>
          <w:tab/>
        </w:r>
        <w:r>
          <w:rPr>
            <w:noProof/>
            <w:webHidden/>
          </w:rPr>
          <w:fldChar w:fldCharType="begin"/>
        </w:r>
        <w:r>
          <w:rPr>
            <w:noProof/>
            <w:webHidden/>
          </w:rPr>
          <w:instrText xml:space="preserve"> PAGEREF _Toc486241820 \h </w:instrText>
        </w:r>
        <w:r>
          <w:rPr>
            <w:noProof/>
            <w:webHidden/>
          </w:rPr>
        </w:r>
        <w:r>
          <w:rPr>
            <w:noProof/>
            <w:webHidden/>
          </w:rPr>
          <w:fldChar w:fldCharType="separate"/>
        </w:r>
        <w:r>
          <w:rPr>
            <w:noProof/>
            <w:webHidden/>
          </w:rPr>
          <w:t>131</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21" w:history="1">
        <w:r>
          <w:rPr>
            <w:rStyle w:val="Lienhypertexte"/>
            <w:noProof/>
            <w:color w:val="auto"/>
          </w:rPr>
          <w:t>4.4.3.</w:t>
        </w:r>
        <w:r>
          <w:rPr>
            <w:rFonts w:asciiTheme="minorHAnsi" w:eastAsiaTheme="minorEastAsia" w:hAnsiTheme="minorHAnsi" w:cstheme="minorBidi"/>
            <w:b w:val="0"/>
            <w:noProof/>
            <w:szCs w:val="22"/>
            <w:lang w:val="fr-BE" w:eastAsia="fr-BE"/>
          </w:rPr>
          <w:t xml:space="preserve"> </w:t>
        </w:r>
        <w:r>
          <w:rPr>
            <w:rStyle w:val="Lienhypertexte"/>
            <w:noProof/>
            <w:color w:val="auto"/>
          </w:rPr>
          <w:t>Apprentissage d'une seconde langue par immersion</w:t>
        </w:r>
        <w:r>
          <w:rPr>
            <w:noProof/>
            <w:webHidden/>
          </w:rPr>
          <w:tab/>
        </w:r>
        <w:r>
          <w:rPr>
            <w:noProof/>
            <w:webHidden/>
          </w:rPr>
          <w:fldChar w:fldCharType="begin"/>
        </w:r>
        <w:r>
          <w:rPr>
            <w:noProof/>
            <w:webHidden/>
          </w:rPr>
          <w:instrText xml:space="preserve"> PAGEREF _Toc486241821 \h </w:instrText>
        </w:r>
        <w:r>
          <w:rPr>
            <w:noProof/>
            <w:webHidden/>
          </w:rPr>
        </w:r>
        <w:r>
          <w:rPr>
            <w:noProof/>
            <w:webHidden/>
          </w:rPr>
          <w:fldChar w:fldCharType="separate"/>
        </w:r>
        <w:r>
          <w:rPr>
            <w:noProof/>
            <w:webHidden/>
          </w:rPr>
          <w:t>132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22" w:history="1">
        <w:r>
          <w:rPr>
            <w:rStyle w:val="Lienhypertexte"/>
            <w:noProof/>
            <w:color w:val="auto"/>
          </w:rPr>
          <w:t>4.4.3.1.</w:t>
        </w:r>
        <w:r>
          <w:rPr>
            <w:rFonts w:asciiTheme="minorHAnsi" w:eastAsiaTheme="minorEastAsia" w:hAnsiTheme="minorHAnsi" w:cstheme="minorBidi"/>
            <w:noProof/>
            <w:sz w:val="22"/>
            <w:szCs w:val="22"/>
            <w:lang w:val="fr-BE" w:eastAsia="fr-BE"/>
          </w:rPr>
          <w:tab/>
        </w:r>
        <w:r>
          <w:rPr>
            <w:rStyle w:val="Lienhypertexte"/>
            <w:noProof/>
            <w:color w:val="auto"/>
          </w:rPr>
          <w:t>Définitions</w:t>
        </w:r>
        <w:r>
          <w:rPr>
            <w:noProof/>
            <w:webHidden/>
          </w:rPr>
          <w:tab/>
        </w:r>
        <w:r>
          <w:rPr>
            <w:noProof/>
            <w:webHidden/>
          </w:rPr>
          <w:fldChar w:fldCharType="begin"/>
        </w:r>
        <w:r>
          <w:rPr>
            <w:noProof/>
            <w:webHidden/>
          </w:rPr>
          <w:instrText xml:space="preserve"> PAGEREF _Toc486241822 \h </w:instrText>
        </w:r>
        <w:r>
          <w:rPr>
            <w:noProof/>
            <w:webHidden/>
          </w:rPr>
        </w:r>
        <w:r>
          <w:rPr>
            <w:noProof/>
            <w:webHidden/>
          </w:rPr>
          <w:fldChar w:fldCharType="separate"/>
        </w:r>
        <w:r>
          <w:rPr>
            <w:noProof/>
            <w:webHidden/>
          </w:rPr>
          <w:t>132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23" w:history="1">
        <w:r>
          <w:rPr>
            <w:rStyle w:val="Lienhypertexte"/>
            <w:noProof/>
            <w:color w:val="auto"/>
          </w:rPr>
          <w:t>4.4.3.2.</w:t>
        </w:r>
        <w:r>
          <w:rPr>
            <w:rFonts w:asciiTheme="minorHAnsi" w:eastAsiaTheme="minorEastAsia" w:hAnsiTheme="minorHAnsi" w:cstheme="minorBidi"/>
            <w:noProof/>
            <w:sz w:val="22"/>
            <w:szCs w:val="22"/>
            <w:lang w:val="fr-BE" w:eastAsia="fr-BE"/>
          </w:rPr>
          <w:tab/>
        </w:r>
        <w:r>
          <w:rPr>
            <w:rStyle w:val="Lienhypertexte"/>
            <w:noProof/>
            <w:color w:val="auto"/>
          </w:rPr>
          <w:t>Objectifs de l'apprentissage par immersion</w:t>
        </w:r>
        <w:r>
          <w:rPr>
            <w:noProof/>
            <w:webHidden/>
          </w:rPr>
          <w:tab/>
        </w:r>
        <w:r>
          <w:rPr>
            <w:noProof/>
            <w:webHidden/>
          </w:rPr>
          <w:fldChar w:fldCharType="begin"/>
        </w:r>
        <w:r>
          <w:rPr>
            <w:noProof/>
            <w:webHidden/>
          </w:rPr>
          <w:instrText xml:space="preserve"> PAGEREF _Toc486241823 \h </w:instrText>
        </w:r>
        <w:r>
          <w:rPr>
            <w:noProof/>
            <w:webHidden/>
          </w:rPr>
        </w:r>
        <w:r>
          <w:rPr>
            <w:noProof/>
            <w:webHidden/>
          </w:rPr>
          <w:fldChar w:fldCharType="separate"/>
        </w:r>
        <w:r>
          <w:rPr>
            <w:noProof/>
            <w:webHidden/>
          </w:rPr>
          <w:t>132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24" w:history="1">
        <w:r>
          <w:rPr>
            <w:rStyle w:val="Lienhypertexte"/>
            <w:noProof/>
            <w:color w:val="auto"/>
          </w:rPr>
          <w:t>4.4.3.3.</w:t>
        </w:r>
        <w:r>
          <w:rPr>
            <w:rFonts w:asciiTheme="minorHAnsi" w:eastAsiaTheme="minorEastAsia" w:hAnsiTheme="minorHAnsi" w:cstheme="minorBidi"/>
            <w:noProof/>
            <w:sz w:val="22"/>
            <w:szCs w:val="22"/>
            <w:lang w:val="fr-BE" w:eastAsia="fr-BE"/>
          </w:rPr>
          <w:tab/>
        </w:r>
        <w:r>
          <w:rPr>
            <w:rStyle w:val="Lienhypertexte"/>
            <w:noProof/>
            <w:color w:val="auto"/>
          </w:rPr>
          <w:t>Principes généraux</w:t>
        </w:r>
        <w:r>
          <w:rPr>
            <w:noProof/>
            <w:webHidden/>
          </w:rPr>
          <w:tab/>
        </w:r>
        <w:r>
          <w:rPr>
            <w:noProof/>
            <w:webHidden/>
          </w:rPr>
          <w:fldChar w:fldCharType="begin"/>
        </w:r>
        <w:r>
          <w:rPr>
            <w:noProof/>
            <w:webHidden/>
          </w:rPr>
          <w:instrText xml:space="preserve"> PAGEREF _Toc486241824 \h </w:instrText>
        </w:r>
        <w:r>
          <w:rPr>
            <w:noProof/>
            <w:webHidden/>
          </w:rPr>
        </w:r>
        <w:r>
          <w:rPr>
            <w:noProof/>
            <w:webHidden/>
          </w:rPr>
          <w:fldChar w:fldCharType="separate"/>
        </w:r>
        <w:r>
          <w:rPr>
            <w:noProof/>
            <w:webHidden/>
          </w:rPr>
          <w:t>132</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25" w:history="1">
        <w:r>
          <w:rPr>
            <w:rStyle w:val="Lienhypertexte"/>
            <w:noProof/>
            <w:color w:val="auto"/>
          </w:rPr>
          <w:t>4.4.3.4.</w:t>
        </w:r>
        <w:r>
          <w:rPr>
            <w:rFonts w:asciiTheme="minorHAnsi" w:eastAsiaTheme="minorEastAsia" w:hAnsiTheme="minorHAnsi" w:cstheme="minorBidi"/>
            <w:noProof/>
            <w:sz w:val="22"/>
            <w:szCs w:val="22"/>
            <w:lang w:val="fr-BE" w:eastAsia="fr-BE"/>
          </w:rPr>
          <w:tab/>
        </w:r>
        <w:r>
          <w:rPr>
            <w:rStyle w:val="Lienhypertexte"/>
            <w:noProof/>
            <w:color w:val="auto"/>
          </w:rPr>
          <w:t>Organisation</w:t>
        </w:r>
        <w:r>
          <w:rPr>
            <w:noProof/>
            <w:webHidden/>
          </w:rPr>
          <w:tab/>
        </w:r>
        <w:r>
          <w:rPr>
            <w:noProof/>
            <w:webHidden/>
          </w:rPr>
          <w:fldChar w:fldCharType="begin"/>
        </w:r>
        <w:r>
          <w:rPr>
            <w:noProof/>
            <w:webHidden/>
          </w:rPr>
          <w:instrText xml:space="preserve"> PAGEREF _Toc486241825 \h </w:instrText>
        </w:r>
        <w:r>
          <w:rPr>
            <w:noProof/>
            <w:webHidden/>
          </w:rPr>
        </w:r>
        <w:r>
          <w:rPr>
            <w:noProof/>
            <w:webHidden/>
          </w:rPr>
          <w:fldChar w:fldCharType="separate"/>
        </w:r>
        <w:r>
          <w:rPr>
            <w:noProof/>
            <w:webHidden/>
          </w:rPr>
          <w:t>133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26" w:history="1">
        <w:r>
          <w:rPr>
            <w:rStyle w:val="Lienhypertexte"/>
            <w:noProof/>
            <w:color w:val="auto"/>
          </w:rPr>
          <w:t>4.4.3.5.</w:t>
        </w:r>
        <w:r>
          <w:rPr>
            <w:rFonts w:asciiTheme="minorHAnsi" w:eastAsiaTheme="minorEastAsia" w:hAnsiTheme="minorHAnsi" w:cstheme="minorBidi"/>
            <w:noProof/>
            <w:sz w:val="22"/>
            <w:szCs w:val="22"/>
            <w:lang w:val="fr-BE" w:eastAsia="fr-BE"/>
          </w:rPr>
          <w:tab/>
        </w:r>
        <w:r>
          <w:rPr>
            <w:rStyle w:val="Lienhypertexte"/>
            <w:noProof/>
            <w:color w:val="auto"/>
          </w:rPr>
          <w:t>Grille-horaire</w:t>
        </w:r>
        <w:r>
          <w:rPr>
            <w:noProof/>
            <w:webHidden/>
          </w:rPr>
          <w:tab/>
        </w:r>
        <w:r>
          <w:rPr>
            <w:noProof/>
            <w:webHidden/>
          </w:rPr>
          <w:fldChar w:fldCharType="begin"/>
        </w:r>
        <w:r>
          <w:rPr>
            <w:noProof/>
            <w:webHidden/>
          </w:rPr>
          <w:instrText xml:space="preserve"> PAGEREF _Toc486241826 \h </w:instrText>
        </w:r>
        <w:r>
          <w:rPr>
            <w:noProof/>
            <w:webHidden/>
          </w:rPr>
        </w:r>
        <w:r>
          <w:rPr>
            <w:noProof/>
            <w:webHidden/>
          </w:rPr>
          <w:fldChar w:fldCharType="separate"/>
        </w:r>
        <w:r>
          <w:rPr>
            <w:noProof/>
            <w:webHidden/>
          </w:rPr>
          <w:t>134</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27" w:history="1">
        <w:r>
          <w:rPr>
            <w:rStyle w:val="Lienhypertexte"/>
            <w:noProof/>
            <w:color w:val="auto"/>
          </w:rPr>
          <w:t>4.4.3.6.</w:t>
        </w:r>
        <w:r>
          <w:rPr>
            <w:rFonts w:asciiTheme="minorHAnsi" w:eastAsiaTheme="minorEastAsia" w:hAnsiTheme="minorHAnsi" w:cstheme="minorBidi"/>
            <w:noProof/>
            <w:sz w:val="22"/>
            <w:szCs w:val="22"/>
            <w:lang w:val="fr-BE" w:eastAsia="fr-BE"/>
          </w:rPr>
          <w:tab/>
        </w:r>
        <w:r>
          <w:rPr>
            <w:rStyle w:val="Lienhypertexte"/>
            <w:noProof/>
            <w:color w:val="auto"/>
          </w:rPr>
          <w:t>Modalités à remplir pour organiser de l'apprentissage par immersion</w:t>
        </w:r>
        <w:r>
          <w:rPr>
            <w:noProof/>
            <w:webHidden/>
          </w:rPr>
          <w:tab/>
        </w:r>
        <w:r>
          <w:rPr>
            <w:noProof/>
            <w:webHidden/>
          </w:rPr>
          <w:fldChar w:fldCharType="begin"/>
        </w:r>
        <w:r>
          <w:rPr>
            <w:noProof/>
            <w:webHidden/>
          </w:rPr>
          <w:instrText xml:space="preserve"> PAGEREF _Toc486241827 \h </w:instrText>
        </w:r>
        <w:r>
          <w:rPr>
            <w:noProof/>
            <w:webHidden/>
          </w:rPr>
        </w:r>
        <w:r>
          <w:rPr>
            <w:noProof/>
            <w:webHidden/>
          </w:rPr>
          <w:fldChar w:fldCharType="separate"/>
        </w:r>
        <w:r>
          <w:rPr>
            <w:noProof/>
            <w:webHidden/>
          </w:rPr>
          <w:t>134</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28" w:history="1">
        <w:r>
          <w:rPr>
            <w:rStyle w:val="Lienhypertexte"/>
            <w:noProof/>
            <w:color w:val="auto"/>
          </w:rPr>
          <w:t>4.4.4.</w:t>
        </w:r>
        <w:r>
          <w:rPr>
            <w:rFonts w:asciiTheme="minorHAnsi" w:eastAsiaTheme="minorEastAsia" w:hAnsiTheme="minorHAnsi" w:cstheme="minorBidi"/>
            <w:b w:val="0"/>
            <w:noProof/>
            <w:szCs w:val="22"/>
            <w:lang w:val="fr-BE" w:eastAsia="fr-BE"/>
          </w:rPr>
          <w:t xml:space="preserve"> </w:t>
        </w:r>
        <w:r>
          <w:rPr>
            <w:rStyle w:val="Lienhypertexte"/>
            <w:noProof/>
            <w:color w:val="auto"/>
          </w:rPr>
          <w:t>Apprentissage en classe bilingue français – langue des signes</w:t>
        </w:r>
        <w:r>
          <w:rPr>
            <w:noProof/>
            <w:webHidden/>
          </w:rPr>
          <w:tab/>
        </w:r>
        <w:r>
          <w:rPr>
            <w:noProof/>
            <w:webHidden/>
          </w:rPr>
          <w:fldChar w:fldCharType="begin"/>
        </w:r>
        <w:r>
          <w:rPr>
            <w:noProof/>
            <w:webHidden/>
          </w:rPr>
          <w:instrText xml:space="preserve"> PAGEREF _Toc486241828 \h </w:instrText>
        </w:r>
        <w:r>
          <w:rPr>
            <w:noProof/>
            <w:webHidden/>
          </w:rPr>
        </w:r>
        <w:r>
          <w:rPr>
            <w:noProof/>
            <w:webHidden/>
          </w:rPr>
          <w:fldChar w:fldCharType="separate"/>
        </w:r>
        <w:r>
          <w:rPr>
            <w:noProof/>
            <w:webHidden/>
          </w:rPr>
          <w:t>136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29" w:history="1">
        <w:r>
          <w:rPr>
            <w:rStyle w:val="Lienhypertexte"/>
            <w:noProof/>
            <w:color w:val="auto"/>
          </w:rPr>
          <w:t>4.4.4.1.</w:t>
        </w:r>
        <w:r>
          <w:rPr>
            <w:rFonts w:asciiTheme="minorHAnsi" w:eastAsiaTheme="minorEastAsia" w:hAnsiTheme="minorHAnsi" w:cstheme="minorBidi"/>
            <w:noProof/>
            <w:sz w:val="22"/>
            <w:szCs w:val="22"/>
            <w:lang w:val="fr-BE" w:eastAsia="fr-BE"/>
          </w:rPr>
          <w:tab/>
        </w:r>
        <w:r>
          <w:rPr>
            <w:rStyle w:val="Lienhypertexte"/>
            <w:noProof/>
            <w:color w:val="auto"/>
          </w:rPr>
          <w:t>Définitions et principes généraux</w:t>
        </w:r>
        <w:r>
          <w:rPr>
            <w:noProof/>
            <w:webHidden/>
          </w:rPr>
          <w:tab/>
        </w:r>
        <w:r>
          <w:rPr>
            <w:noProof/>
            <w:webHidden/>
          </w:rPr>
          <w:fldChar w:fldCharType="begin"/>
        </w:r>
        <w:r>
          <w:rPr>
            <w:noProof/>
            <w:webHidden/>
          </w:rPr>
          <w:instrText xml:space="preserve"> PAGEREF _Toc486241829 \h </w:instrText>
        </w:r>
        <w:r>
          <w:rPr>
            <w:noProof/>
            <w:webHidden/>
          </w:rPr>
        </w:r>
        <w:r>
          <w:rPr>
            <w:noProof/>
            <w:webHidden/>
          </w:rPr>
          <w:fldChar w:fldCharType="separate"/>
        </w:r>
        <w:r>
          <w:rPr>
            <w:noProof/>
            <w:webHidden/>
          </w:rPr>
          <w:t>136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30" w:history="1">
        <w:r>
          <w:rPr>
            <w:rStyle w:val="Lienhypertexte"/>
            <w:noProof/>
            <w:color w:val="auto"/>
          </w:rPr>
          <w:t>4.4.4.2.</w:t>
        </w:r>
        <w:r>
          <w:rPr>
            <w:rFonts w:asciiTheme="minorHAnsi" w:eastAsiaTheme="minorEastAsia" w:hAnsiTheme="minorHAnsi" w:cstheme="minorBidi"/>
            <w:noProof/>
            <w:sz w:val="22"/>
            <w:szCs w:val="22"/>
            <w:lang w:val="fr-BE" w:eastAsia="fr-BE"/>
          </w:rPr>
          <w:tab/>
        </w:r>
        <w:r>
          <w:rPr>
            <w:rStyle w:val="Lienhypertexte"/>
            <w:noProof/>
            <w:color w:val="auto"/>
          </w:rPr>
          <w:t>Organisation</w:t>
        </w:r>
        <w:r>
          <w:rPr>
            <w:noProof/>
            <w:webHidden/>
          </w:rPr>
          <w:tab/>
        </w:r>
        <w:r>
          <w:rPr>
            <w:noProof/>
            <w:webHidden/>
          </w:rPr>
          <w:fldChar w:fldCharType="begin"/>
        </w:r>
        <w:r>
          <w:rPr>
            <w:noProof/>
            <w:webHidden/>
          </w:rPr>
          <w:instrText xml:space="preserve"> PAGEREF _Toc486241830 \h </w:instrText>
        </w:r>
        <w:r>
          <w:rPr>
            <w:noProof/>
            <w:webHidden/>
          </w:rPr>
        </w:r>
        <w:r>
          <w:rPr>
            <w:noProof/>
            <w:webHidden/>
          </w:rPr>
          <w:fldChar w:fldCharType="separate"/>
        </w:r>
        <w:r>
          <w:rPr>
            <w:noProof/>
            <w:webHidden/>
          </w:rPr>
          <w:t>137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31" w:history="1">
        <w:r>
          <w:rPr>
            <w:rStyle w:val="Lienhypertexte"/>
            <w:noProof/>
            <w:color w:val="auto"/>
          </w:rPr>
          <w:t>4.4.4.3.</w:t>
        </w:r>
        <w:r>
          <w:rPr>
            <w:rFonts w:asciiTheme="minorHAnsi" w:eastAsiaTheme="minorEastAsia" w:hAnsiTheme="minorHAnsi" w:cstheme="minorBidi"/>
            <w:noProof/>
            <w:sz w:val="22"/>
            <w:szCs w:val="22"/>
            <w:lang w:val="fr-BE" w:eastAsia="fr-BE"/>
          </w:rPr>
          <w:tab/>
        </w:r>
        <w:r>
          <w:rPr>
            <w:rStyle w:val="Lienhypertexte"/>
            <w:noProof/>
            <w:color w:val="auto"/>
          </w:rPr>
          <w:t>Modalités à remplir pour organiser de l'apprentissage par immersion en langue des signes</w:t>
        </w:r>
        <w:r>
          <w:rPr>
            <w:noProof/>
            <w:webHidden/>
          </w:rPr>
          <w:tab/>
        </w:r>
        <w:r>
          <w:rPr>
            <w:noProof/>
            <w:webHidden/>
          </w:rPr>
          <w:fldChar w:fldCharType="begin"/>
        </w:r>
        <w:r>
          <w:rPr>
            <w:noProof/>
            <w:webHidden/>
          </w:rPr>
          <w:instrText xml:space="preserve"> PAGEREF _Toc486241831 \h </w:instrText>
        </w:r>
        <w:r>
          <w:rPr>
            <w:noProof/>
            <w:webHidden/>
          </w:rPr>
        </w:r>
        <w:r>
          <w:rPr>
            <w:noProof/>
            <w:webHidden/>
          </w:rPr>
          <w:fldChar w:fldCharType="separate"/>
        </w:r>
        <w:r>
          <w:rPr>
            <w:noProof/>
            <w:webHidden/>
          </w:rPr>
          <w:t>137</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32" w:history="1">
        <w:r>
          <w:rPr>
            <w:rStyle w:val="Lienhypertexte"/>
            <w:noProof/>
            <w:color w:val="auto"/>
          </w:rPr>
          <w:t>4.4.4.4.</w:t>
        </w:r>
        <w:r>
          <w:rPr>
            <w:rFonts w:asciiTheme="minorHAnsi" w:eastAsiaTheme="minorEastAsia" w:hAnsiTheme="minorHAnsi" w:cstheme="minorBidi"/>
            <w:noProof/>
            <w:sz w:val="22"/>
            <w:szCs w:val="22"/>
            <w:lang w:val="fr-BE" w:eastAsia="fr-BE"/>
          </w:rPr>
          <w:tab/>
        </w:r>
        <w:r>
          <w:rPr>
            <w:rStyle w:val="Lienhypertexte"/>
            <w:noProof/>
            <w:color w:val="auto"/>
          </w:rPr>
          <w:t>Documents concernant les élèves sourds</w:t>
        </w:r>
        <w:r>
          <w:rPr>
            <w:noProof/>
            <w:webHidden/>
          </w:rPr>
          <w:tab/>
        </w:r>
        <w:r>
          <w:rPr>
            <w:noProof/>
            <w:webHidden/>
          </w:rPr>
          <w:fldChar w:fldCharType="begin"/>
        </w:r>
        <w:r>
          <w:rPr>
            <w:noProof/>
            <w:webHidden/>
          </w:rPr>
          <w:instrText xml:space="preserve"> PAGEREF _Toc486241832 \h </w:instrText>
        </w:r>
        <w:r>
          <w:rPr>
            <w:noProof/>
            <w:webHidden/>
          </w:rPr>
        </w:r>
        <w:r>
          <w:rPr>
            <w:noProof/>
            <w:webHidden/>
          </w:rPr>
          <w:fldChar w:fldCharType="separate"/>
        </w:r>
        <w:r>
          <w:rPr>
            <w:noProof/>
            <w:webHidden/>
          </w:rPr>
          <w:t>138</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33" w:history="1">
        <w:r>
          <w:rPr>
            <w:rStyle w:val="Lienhypertexte"/>
            <w:noProof/>
            <w:color w:val="auto"/>
          </w:rPr>
          <w:t>4.4.4.5.</w:t>
        </w:r>
        <w:r>
          <w:rPr>
            <w:rFonts w:asciiTheme="minorHAnsi" w:eastAsiaTheme="minorEastAsia" w:hAnsiTheme="minorHAnsi" w:cstheme="minorBidi"/>
            <w:noProof/>
            <w:sz w:val="22"/>
            <w:szCs w:val="22"/>
            <w:lang w:val="fr-BE" w:eastAsia="fr-BE"/>
          </w:rPr>
          <w:tab/>
        </w:r>
        <w:r>
          <w:rPr>
            <w:rStyle w:val="Lienhypertexte"/>
            <w:noProof/>
            <w:color w:val="auto"/>
          </w:rPr>
          <w:t>Encadrement spécifique réservé à l’organisation de l’apprentissage par immersion en langue des signes en classes bilingues français-langue des signes</w:t>
        </w:r>
        <w:r>
          <w:rPr>
            <w:noProof/>
            <w:webHidden/>
          </w:rPr>
          <w:tab/>
        </w:r>
        <w:r>
          <w:rPr>
            <w:noProof/>
            <w:webHidden/>
          </w:rPr>
          <w:fldChar w:fldCharType="begin"/>
        </w:r>
        <w:r>
          <w:rPr>
            <w:noProof/>
            <w:webHidden/>
          </w:rPr>
          <w:instrText xml:space="preserve"> PAGEREF _Toc486241833 \h </w:instrText>
        </w:r>
        <w:r>
          <w:rPr>
            <w:noProof/>
            <w:webHidden/>
          </w:rPr>
        </w:r>
        <w:r>
          <w:rPr>
            <w:noProof/>
            <w:webHidden/>
          </w:rPr>
          <w:fldChar w:fldCharType="separate"/>
        </w:r>
        <w:r>
          <w:rPr>
            <w:noProof/>
            <w:webHidden/>
          </w:rPr>
          <w:t>138</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34" w:history="1">
        <w:r>
          <w:rPr>
            <w:rStyle w:val="Lienhypertexte"/>
            <w:noProof/>
            <w:color w:val="auto"/>
          </w:rPr>
          <w:t>Chapitre 4.5.</w:t>
        </w:r>
        <w:r>
          <w:rPr>
            <w:rFonts w:asciiTheme="minorHAnsi" w:eastAsiaTheme="minorEastAsia" w:hAnsiTheme="minorHAnsi" w:cstheme="minorBidi"/>
            <w:noProof/>
            <w:szCs w:val="22"/>
            <w:lang w:val="fr-BE" w:eastAsia="fr-BE"/>
          </w:rPr>
          <w:t xml:space="preserve"> </w:t>
        </w:r>
        <w:r>
          <w:rPr>
            <w:rStyle w:val="Lienhypertexte"/>
            <w:noProof/>
            <w:color w:val="auto"/>
          </w:rPr>
          <w:t>Cours d'éducation physique</w:t>
        </w:r>
        <w:r>
          <w:rPr>
            <w:noProof/>
            <w:webHidden/>
          </w:rPr>
          <w:t xml:space="preserve"> </w:t>
        </w:r>
        <w:r>
          <w:rPr>
            <w:noProof/>
            <w:webHidden/>
          </w:rPr>
          <w:tab/>
        </w:r>
        <w:r>
          <w:rPr>
            <w:noProof/>
            <w:webHidden/>
          </w:rPr>
          <w:fldChar w:fldCharType="begin"/>
        </w:r>
        <w:r>
          <w:rPr>
            <w:noProof/>
            <w:webHidden/>
          </w:rPr>
          <w:instrText xml:space="preserve"> PAGEREF _Toc486241834 \h </w:instrText>
        </w:r>
        <w:r>
          <w:rPr>
            <w:noProof/>
            <w:webHidden/>
          </w:rPr>
        </w:r>
        <w:r>
          <w:rPr>
            <w:noProof/>
            <w:webHidden/>
          </w:rPr>
          <w:fldChar w:fldCharType="separate"/>
        </w:r>
        <w:r>
          <w:rPr>
            <w:noProof/>
            <w:webHidden/>
          </w:rPr>
          <w:t>140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35" w:history="1">
        <w:r>
          <w:rPr>
            <w:rStyle w:val="Lienhypertexte"/>
            <w:noProof/>
            <w:color w:val="auto"/>
          </w:rPr>
          <w:t>4.5.1.</w:t>
        </w:r>
        <w:r>
          <w:rPr>
            <w:rFonts w:asciiTheme="minorHAnsi" w:eastAsiaTheme="minorEastAsia" w:hAnsiTheme="minorHAnsi" w:cstheme="minorBidi"/>
            <w:b w:val="0"/>
            <w:noProof/>
            <w:szCs w:val="22"/>
            <w:lang w:val="fr-BE" w:eastAsia="fr-BE"/>
          </w:rPr>
          <w:t xml:space="preserve"> </w:t>
        </w:r>
        <w:r>
          <w:rPr>
            <w:rStyle w:val="Lienhypertexte"/>
            <w:noProof/>
            <w:color w:val="auto"/>
          </w:rPr>
          <w:t>Dispositions générales</w:t>
        </w:r>
        <w:r>
          <w:rPr>
            <w:noProof/>
            <w:webHidden/>
          </w:rPr>
          <w:tab/>
        </w:r>
        <w:r>
          <w:rPr>
            <w:noProof/>
            <w:webHidden/>
          </w:rPr>
          <w:fldChar w:fldCharType="begin"/>
        </w:r>
        <w:r>
          <w:rPr>
            <w:noProof/>
            <w:webHidden/>
          </w:rPr>
          <w:instrText xml:space="preserve"> PAGEREF _Toc486241835 \h </w:instrText>
        </w:r>
        <w:r>
          <w:rPr>
            <w:noProof/>
            <w:webHidden/>
          </w:rPr>
        </w:r>
        <w:r>
          <w:rPr>
            <w:noProof/>
            <w:webHidden/>
          </w:rPr>
          <w:fldChar w:fldCharType="separate"/>
        </w:r>
        <w:r>
          <w:rPr>
            <w:noProof/>
            <w:webHidden/>
          </w:rPr>
          <w:t>140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36" w:history="1">
        <w:r>
          <w:rPr>
            <w:rStyle w:val="Lienhypertexte"/>
            <w:noProof/>
            <w:color w:val="auto"/>
          </w:rPr>
          <w:t>4.5.2.</w:t>
        </w:r>
        <w:r>
          <w:rPr>
            <w:rFonts w:asciiTheme="minorHAnsi" w:eastAsiaTheme="minorEastAsia" w:hAnsiTheme="minorHAnsi" w:cstheme="minorBidi"/>
            <w:b w:val="0"/>
            <w:noProof/>
            <w:szCs w:val="22"/>
            <w:lang w:val="fr-BE" w:eastAsia="fr-BE"/>
          </w:rPr>
          <w:t xml:space="preserve"> </w:t>
        </w:r>
        <w:r>
          <w:rPr>
            <w:rStyle w:val="Lienhypertexte"/>
            <w:noProof/>
            <w:color w:val="auto"/>
          </w:rPr>
          <w:t>Dispenses</w:t>
        </w:r>
        <w:r>
          <w:rPr>
            <w:noProof/>
            <w:webHidden/>
          </w:rPr>
          <w:tab/>
        </w:r>
        <w:r>
          <w:rPr>
            <w:noProof/>
            <w:webHidden/>
          </w:rPr>
          <w:fldChar w:fldCharType="begin"/>
        </w:r>
        <w:r>
          <w:rPr>
            <w:noProof/>
            <w:webHidden/>
          </w:rPr>
          <w:instrText xml:space="preserve"> PAGEREF _Toc486241836 \h </w:instrText>
        </w:r>
        <w:r>
          <w:rPr>
            <w:noProof/>
            <w:webHidden/>
          </w:rPr>
        </w:r>
        <w:r>
          <w:rPr>
            <w:noProof/>
            <w:webHidden/>
          </w:rPr>
          <w:fldChar w:fldCharType="separate"/>
        </w:r>
        <w:r>
          <w:rPr>
            <w:noProof/>
            <w:webHidden/>
          </w:rPr>
          <w:t>140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37" w:history="1">
        <w:r>
          <w:rPr>
            <w:rStyle w:val="Lienhypertexte"/>
            <w:noProof/>
            <w:color w:val="auto"/>
          </w:rPr>
          <w:t>4.5.3.</w:t>
        </w:r>
        <w:r>
          <w:rPr>
            <w:rFonts w:asciiTheme="minorHAnsi" w:eastAsiaTheme="minorEastAsia" w:hAnsiTheme="minorHAnsi" w:cstheme="minorBidi"/>
            <w:b w:val="0"/>
            <w:noProof/>
            <w:szCs w:val="22"/>
            <w:lang w:val="fr-BE" w:eastAsia="fr-BE"/>
          </w:rPr>
          <w:t xml:space="preserve"> </w:t>
        </w:r>
        <w:r>
          <w:rPr>
            <w:rStyle w:val="Lienhypertexte"/>
            <w:noProof/>
            <w:color w:val="auto"/>
          </w:rPr>
          <w:t>Organisation des cours de natation</w:t>
        </w:r>
        <w:r>
          <w:rPr>
            <w:noProof/>
            <w:webHidden/>
          </w:rPr>
          <w:tab/>
        </w:r>
        <w:r>
          <w:rPr>
            <w:noProof/>
            <w:webHidden/>
          </w:rPr>
          <w:fldChar w:fldCharType="begin"/>
        </w:r>
        <w:r>
          <w:rPr>
            <w:noProof/>
            <w:webHidden/>
          </w:rPr>
          <w:instrText xml:space="preserve"> PAGEREF _Toc486241837 \h </w:instrText>
        </w:r>
        <w:r>
          <w:rPr>
            <w:noProof/>
            <w:webHidden/>
          </w:rPr>
        </w:r>
        <w:r>
          <w:rPr>
            <w:noProof/>
            <w:webHidden/>
          </w:rPr>
          <w:fldChar w:fldCharType="separate"/>
        </w:r>
        <w:r>
          <w:rPr>
            <w:noProof/>
            <w:webHidden/>
          </w:rPr>
          <w:t>140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38" w:history="1">
        <w:r>
          <w:rPr>
            <w:rStyle w:val="Lienhypertexte"/>
            <w:noProof/>
            <w:color w:val="auto"/>
          </w:rPr>
          <w:t>4.5.3.1. Encadrement du cours de natation</w:t>
        </w:r>
        <w:r>
          <w:rPr>
            <w:noProof/>
            <w:webHidden/>
          </w:rPr>
          <w:tab/>
        </w:r>
        <w:r>
          <w:rPr>
            <w:noProof/>
            <w:webHidden/>
          </w:rPr>
          <w:fldChar w:fldCharType="begin"/>
        </w:r>
        <w:r>
          <w:rPr>
            <w:noProof/>
            <w:webHidden/>
          </w:rPr>
          <w:instrText xml:space="preserve"> PAGEREF _Toc486241838 \h </w:instrText>
        </w:r>
        <w:r>
          <w:rPr>
            <w:noProof/>
            <w:webHidden/>
          </w:rPr>
        </w:r>
        <w:r>
          <w:rPr>
            <w:noProof/>
            <w:webHidden/>
          </w:rPr>
          <w:fldChar w:fldCharType="separate"/>
        </w:r>
        <w:r>
          <w:rPr>
            <w:noProof/>
            <w:webHidden/>
          </w:rPr>
          <w:t>140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39" w:history="1">
        <w:r>
          <w:rPr>
            <w:rStyle w:val="Lienhypertexte"/>
            <w:noProof/>
            <w:color w:val="auto"/>
          </w:rPr>
          <w:t>4.5.3.2. La surveillance des élèves et les prestations des enseignants titulaires</w:t>
        </w:r>
        <w:r>
          <w:rPr>
            <w:noProof/>
            <w:webHidden/>
          </w:rPr>
          <w:tab/>
        </w:r>
        <w:r>
          <w:rPr>
            <w:noProof/>
            <w:webHidden/>
          </w:rPr>
          <w:fldChar w:fldCharType="begin"/>
        </w:r>
        <w:r>
          <w:rPr>
            <w:noProof/>
            <w:webHidden/>
          </w:rPr>
          <w:instrText xml:space="preserve"> PAGEREF _Toc486241839 \h </w:instrText>
        </w:r>
        <w:r>
          <w:rPr>
            <w:noProof/>
            <w:webHidden/>
          </w:rPr>
        </w:r>
        <w:r>
          <w:rPr>
            <w:noProof/>
            <w:webHidden/>
          </w:rPr>
          <w:fldChar w:fldCharType="separate"/>
        </w:r>
        <w:r>
          <w:rPr>
            <w:noProof/>
            <w:webHidden/>
          </w:rPr>
          <w:t>141</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40" w:history="1">
        <w:r>
          <w:rPr>
            <w:rStyle w:val="Lienhypertexte"/>
            <w:noProof/>
            <w:color w:val="auto"/>
          </w:rPr>
          <w:t>4.5.3.3. La sécurité des élèves et les gestionnaires des piscines</w:t>
        </w:r>
        <w:r>
          <w:rPr>
            <w:noProof/>
            <w:webHidden/>
          </w:rPr>
          <w:tab/>
        </w:r>
        <w:r>
          <w:rPr>
            <w:noProof/>
            <w:webHidden/>
          </w:rPr>
          <w:fldChar w:fldCharType="begin"/>
        </w:r>
        <w:r>
          <w:rPr>
            <w:noProof/>
            <w:webHidden/>
          </w:rPr>
          <w:instrText xml:space="preserve"> PAGEREF _Toc486241840 \h </w:instrText>
        </w:r>
        <w:r>
          <w:rPr>
            <w:noProof/>
            <w:webHidden/>
          </w:rPr>
        </w:r>
        <w:r>
          <w:rPr>
            <w:noProof/>
            <w:webHidden/>
          </w:rPr>
          <w:fldChar w:fldCharType="separate"/>
        </w:r>
        <w:r>
          <w:rPr>
            <w:noProof/>
            <w:webHidden/>
          </w:rPr>
          <w:t>141</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41" w:history="1">
        <w:r>
          <w:rPr>
            <w:rStyle w:val="Lienhypertexte"/>
            <w:noProof/>
            <w:color w:val="auto"/>
          </w:rPr>
          <w:t>Chapitre 4.6.</w:t>
        </w:r>
        <w:r>
          <w:rPr>
            <w:rFonts w:asciiTheme="minorHAnsi" w:eastAsiaTheme="minorEastAsia" w:hAnsiTheme="minorHAnsi" w:cstheme="minorBidi"/>
            <w:noProof/>
            <w:szCs w:val="22"/>
            <w:lang w:val="fr-BE" w:eastAsia="fr-BE"/>
          </w:rPr>
          <w:t xml:space="preserve"> </w:t>
        </w:r>
        <w:r>
          <w:rPr>
            <w:rStyle w:val="Lienhypertexte"/>
            <w:noProof/>
            <w:color w:val="auto"/>
          </w:rPr>
          <w:t>Horaire des membres du personnel</w:t>
        </w:r>
        <w:r>
          <w:rPr>
            <w:noProof/>
            <w:webHidden/>
          </w:rPr>
          <w:t xml:space="preserve"> </w:t>
        </w:r>
        <w:r>
          <w:rPr>
            <w:noProof/>
            <w:webHidden/>
          </w:rPr>
          <w:tab/>
        </w:r>
        <w:r>
          <w:rPr>
            <w:noProof/>
            <w:webHidden/>
          </w:rPr>
          <w:fldChar w:fldCharType="begin"/>
        </w:r>
        <w:r>
          <w:rPr>
            <w:noProof/>
            <w:webHidden/>
          </w:rPr>
          <w:instrText xml:space="preserve"> PAGEREF _Toc486241841 \h </w:instrText>
        </w:r>
        <w:r>
          <w:rPr>
            <w:noProof/>
            <w:webHidden/>
          </w:rPr>
        </w:r>
        <w:r>
          <w:rPr>
            <w:noProof/>
            <w:webHidden/>
          </w:rPr>
          <w:fldChar w:fldCharType="separate"/>
        </w:r>
        <w:r>
          <w:rPr>
            <w:noProof/>
            <w:webHidden/>
          </w:rPr>
          <w:t>143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42" w:history="1">
        <w:r>
          <w:rPr>
            <w:rStyle w:val="Lienhypertexte"/>
            <w:noProof/>
            <w:color w:val="auto"/>
          </w:rPr>
          <w:t>4.6.1.</w:t>
        </w:r>
        <w:r>
          <w:rPr>
            <w:rFonts w:asciiTheme="minorHAnsi" w:eastAsiaTheme="minorEastAsia" w:hAnsiTheme="minorHAnsi" w:cstheme="minorBidi"/>
            <w:b w:val="0"/>
            <w:noProof/>
            <w:szCs w:val="22"/>
            <w:lang w:val="fr-BE" w:eastAsia="fr-BE"/>
          </w:rPr>
          <w:t xml:space="preserve"> </w:t>
        </w:r>
        <w:r>
          <w:rPr>
            <w:rStyle w:val="Lienhypertexte"/>
            <w:noProof/>
            <w:color w:val="auto"/>
          </w:rPr>
          <w:t>Horaire des enseignants du maternel</w:t>
        </w:r>
        <w:r>
          <w:rPr>
            <w:noProof/>
            <w:webHidden/>
          </w:rPr>
          <w:tab/>
        </w:r>
        <w:r>
          <w:rPr>
            <w:noProof/>
            <w:webHidden/>
          </w:rPr>
          <w:fldChar w:fldCharType="begin"/>
        </w:r>
        <w:r>
          <w:rPr>
            <w:noProof/>
            <w:webHidden/>
          </w:rPr>
          <w:instrText xml:space="preserve"> PAGEREF _Toc486241842 \h </w:instrText>
        </w:r>
        <w:r>
          <w:rPr>
            <w:noProof/>
            <w:webHidden/>
          </w:rPr>
        </w:r>
        <w:r>
          <w:rPr>
            <w:noProof/>
            <w:webHidden/>
          </w:rPr>
          <w:fldChar w:fldCharType="separate"/>
        </w:r>
        <w:r>
          <w:rPr>
            <w:noProof/>
            <w:webHidden/>
          </w:rPr>
          <w:t>143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43" w:history="1">
        <w:r>
          <w:rPr>
            <w:rStyle w:val="Lienhypertexte"/>
            <w:noProof/>
            <w:color w:val="auto"/>
          </w:rPr>
          <w:t>4.6.2.</w:t>
        </w:r>
        <w:r>
          <w:rPr>
            <w:rFonts w:asciiTheme="minorHAnsi" w:eastAsiaTheme="minorEastAsia" w:hAnsiTheme="minorHAnsi" w:cstheme="minorBidi"/>
            <w:b w:val="0"/>
            <w:noProof/>
            <w:szCs w:val="22"/>
            <w:lang w:val="fr-BE" w:eastAsia="fr-BE"/>
          </w:rPr>
          <w:t xml:space="preserve"> </w:t>
        </w:r>
        <w:r>
          <w:rPr>
            <w:rStyle w:val="Lienhypertexte"/>
            <w:noProof/>
            <w:color w:val="auto"/>
          </w:rPr>
          <w:t>Horaire des enseignants du primaire</w:t>
        </w:r>
        <w:r>
          <w:rPr>
            <w:noProof/>
            <w:webHidden/>
          </w:rPr>
          <w:tab/>
        </w:r>
        <w:r>
          <w:rPr>
            <w:noProof/>
            <w:webHidden/>
          </w:rPr>
          <w:fldChar w:fldCharType="begin"/>
        </w:r>
        <w:r>
          <w:rPr>
            <w:noProof/>
            <w:webHidden/>
          </w:rPr>
          <w:instrText xml:space="preserve"> PAGEREF _Toc486241843 \h </w:instrText>
        </w:r>
        <w:r>
          <w:rPr>
            <w:noProof/>
            <w:webHidden/>
          </w:rPr>
        </w:r>
        <w:r>
          <w:rPr>
            <w:noProof/>
            <w:webHidden/>
          </w:rPr>
          <w:fldChar w:fldCharType="separate"/>
        </w:r>
        <w:r>
          <w:rPr>
            <w:noProof/>
            <w:webHidden/>
          </w:rPr>
          <w:t>143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44" w:history="1">
        <w:r>
          <w:rPr>
            <w:rStyle w:val="Lienhypertexte"/>
            <w:noProof/>
            <w:color w:val="auto"/>
          </w:rPr>
          <w:t xml:space="preserve">4.6.2.1. </w:t>
        </w:r>
        <w:r>
          <w:rPr>
            <w:rFonts w:asciiTheme="minorHAnsi" w:eastAsiaTheme="minorEastAsia" w:hAnsiTheme="minorHAnsi" w:cstheme="minorBidi"/>
            <w:noProof/>
            <w:sz w:val="22"/>
            <w:szCs w:val="22"/>
            <w:lang w:val="fr-BE" w:eastAsia="fr-BE"/>
          </w:rPr>
          <w:tab/>
        </w:r>
        <w:r>
          <w:rPr>
            <w:rStyle w:val="Lienhypertexte"/>
            <w:noProof/>
            <w:color w:val="auto"/>
          </w:rPr>
          <w:t>Périodes de cours</w:t>
        </w:r>
        <w:r>
          <w:rPr>
            <w:noProof/>
            <w:webHidden/>
          </w:rPr>
          <w:tab/>
        </w:r>
        <w:r>
          <w:rPr>
            <w:noProof/>
            <w:webHidden/>
          </w:rPr>
          <w:fldChar w:fldCharType="begin"/>
        </w:r>
        <w:r>
          <w:rPr>
            <w:noProof/>
            <w:webHidden/>
          </w:rPr>
          <w:instrText xml:space="preserve"> PAGEREF _Toc486241844 \h </w:instrText>
        </w:r>
        <w:r>
          <w:rPr>
            <w:noProof/>
            <w:webHidden/>
          </w:rPr>
        </w:r>
        <w:r>
          <w:rPr>
            <w:noProof/>
            <w:webHidden/>
          </w:rPr>
          <w:fldChar w:fldCharType="separate"/>
        </w:r>
        <w:r>
          <w:rPr>
            <w:noProof/>
            <w:webHidden/>
          </w:rPr>
          <w:t>143</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45" w:history="1">
        <w:r>
          <w:rPr>
            <w:rStyle w:val="Lienhypertexte"/>
            <w:noProof/>
            <w:color w:val="auto"/>
          </w:rPr>
          <w:t xml:space="preserve">4.6.2.2. </w:t>
        </w:r>
        <w:r>
          <w:rPr>
            <w:rFonts w:asciiTheme="minorHAnsi" w:eastAsiaTheme="minorEastAsia" w:hAnsiTheme="minorHAnsi" w:cstheme="minorBidi"/>
            <w:noProof/>
            <w:sz w:val="22"/>
            <w:szCs w:val="22"/>
            <w:lang w:val="fr-BE" w:eastAsia="fr-BE"/>
          </w:rPr>
          <w:tab/>
        </w:r>
        <w:r>
          <w:rPr>
            <w:rStyle w:val="Lienhypertexte"/>
            <w:noProof/>
            <w:color w:val="auto"/>
          </w:rPr>
          <w:t>Surveillances</w:t>
        </w:r>
        <w:r>
          <w:rPr>
            <w:noProof/>
            <w:webHidden/>
          </w:rPr>
          <w:tab/>
        </w:r>
        <w:r>
          <w:rPr>
            <w:noProof/>
            <w:webHidden/>
          </w:rPr>
          <w:fldChar w:fldCharType="begin"/>
        </w:r>
        <w:r>
          <w:rPr>
            <w:noProof/>
            <w:webHidden/>
          </w:rPr>
          <w:instrText xml:space="preserve"> PAGEREF _Toc486241845 \h </w:instrText>
        </w:r>
        <w:r>
          <w:rPr>
            <w:noProof/>
            <w:webHidden/>
          </w:rPr>
        </w:r>
        <w:r>
          <w:rPr>
            <w:noProof/>
            <w:webHidden/>
          </w:rPr>
          <w:fldChar w:fldCharType="separate"/>
        </w:r>
        <w:r>
          <w:rPr>
            <w:noProof/>
            <w:webHidden/>
          </w:rPr>
          <w:t>143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46" w:history="1">
        <w:r>
          <w:rPr>
            <w:rStyle w:val="Lienhypertexte"/>
            <w:noProof/>
            <w:color w:val="auto"/>
          </w:rPr>
          <w:t>4.6.3.</w:t>
        </w:r>
        <w:r>
          <w:rPr>
            <w:rFonts w:asciiTheme="minorHAnsi" w:eastAsiaTheme="minorEastAsia" w:hAnsiTheme="minorHAnsi" w:cstheme="minorBidi"/>
            <w:b w:val="0"/>
            <w:noProof/>
            <w:szCs w:val="22"/>
            <w:lang w:val="fr-BE" w:eastAsia="fr-BE"/>
          </w:rPr>
          <w:t xml:space="preserve"> </w:t>
        </w:r>
        <w:r>
          <w:rPr>
            <w:rStyle w:val="Lienhypertexte"/>
            <w:noProof/>
            <w:color w:val="auto"/>
          </w:rPr>
          <w:t>Horaire des directeurs d'école</w:t>
        </w:r>
        <w:r>
          <w:rPr>
            <w:noProof/>
            <w:webHidden/>
          </w:rPr>
          <w:tab/>
        </w:r>
        <w:r>
          <w:rPr>
            <w:noProof/>
            <w:webHidden/>
          </w:rPr>
          <w:fldChar w:fldCharType="begin"/>
        </w:r>
        <w:r>
          <w:rPr>
            <w:noProof/>
            <w:webHidden/>
          </w:rPr>
          <w:instrText xml:space="preserve"> PAGEREF _Toc486241846 \h </w:instrText>
        </w:r>
        <w:r>
          <w:rPr>
            <w:noProof/>
            <w:webHidden/>
          </w:rPr>
        </w:r>
        <w:r>
          <w:rPr>
            <w:noProof/>
            <w:webHidden/>
          </w:rPr>
          <w:fldChar w:fldCharType="separate"/>
        </w:r>
        <w:r>
          <w:rPr>
            <w:noProof/>
            <w:webHidden/>
          </w:rPr>
          <w:t>144</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47" w:history="1">
        <w:r>
          <w:rPr>
            <w:rStyle w:val="Lienhypertexte"/>
            <w:noProof/>
            <w:color w:val="auto"/>
          </w:rPr>
          <w:t>4.6.4.</w:t>
        </w:r>
        <w:r>
          <w:rPr>
            <w:rFonts w:asciiTheme="minorHAnsi" w:eastAsiaTheme="minorEastAsia" w:hAnsiTheme="minorHAnsi" w:cstheme="minorBidi"/>
            <w:b w:val="0"/>
            <w:noProof/>
            <w:szCs w:val="22"/>
            <w:lang w:val="fr-BE" w:eastAsia="fr-BE"/>
          </w:rPr>
          <w:t xml:space="preserve"> </w:t>
        </w:r>
        <w:r>
          <w:rPr>
            <w:rStyle w:val="Lienhypertexte"/>
            <w:noProof/>
            <w:color w:val="auto"/>
          </w:rPr>
          <w:t>Horaire des chargés de l’aide à la gestion pédagogique ou administrative</w:t>
        </w:r>
        <w:r>
          <w:rPr>
            <w:noProof/>
            <w:webHidden/>
          </w:rPr>
          <w:tab/>
        </w:r>
        <w:r>
          <w:rPr>
            <w:noProof/>
            <w:webHidden/>
          </w:rPr>
          <w:fldChar w:fldCharType="begin"/>
        </w:r>
        <w:r>
          <w:rPr>
            <w:noProof/>
            <w:webHidden/>
          </w:rPr>
          <w:instrText xml:space="preserve"> PAGEREF _Toc486241847 \h </w:instrText>
        </w:r>
        <w:r>
          <w:rPr>
            <w:noProof/>
            <w:webHidden/>
          </w:rPr>
        </w:r>
        <w:r>
          <w:rPr>
            <w:noProof/>
            <w:webHidden/>
          </w:rPr>
          <w:fldChar w:fldCharType="separate"/>
        </w:r>
        <w:r>
          <w:rPr>
            <w:noProof/>
            <w:webHidden/>
          </w:rPr>
          <w:t>144</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48" w:history="1">
        <w:r>
          <w:rPr>
            <w:rStyle w:val="Lienhypertexte"/>
            <w:noProof/>
            <w:color w:val="auto"/>
          </w:rPr>
          <w:t>4.6.5.</w:t>
        </w:r>
        <w:r>
          <w:rPr>
            <w:rFonts w:asciiTheme="minorHAnsi" w:eastAsiaTheme="minorEastAsia" w:hAnsiTheme="minorHAnsi" w:cstheme="minorBidi"/>
            <w:b w:val="0"/>
            <w:noProof/>
            <w:szCs w:val="22"/>
            <w:lang w:val="fr-BE" w:eastAsia="fr-BE"/>
          </w:rPr>
          <w:t xml:space="preserve"> </w:t>
        </w:r>
        <w:r>
          <w:rPr>
            <w:rStyle w:val="Lienhypertexte"/>
            <w:noProof/>
            <w:color w:val="auto"/>
          </w:rPr>
          <w:t>Organisation de la concertation</w:t>
        </w:r>
        <w:r>
          <w:rPr>
            <w:noProof/>
            <w:webHidden/>
          </w:rPr>
          <w:tab/>
        </w:r>
        <w:r>
          <w:rPr>
            <w:noProof/>
            <w:webHidden/>
          </w:rPr>
          <w:fldChar w:fldCharType="begin"/>
        </w:r>
        <w:r>
          <w:rPr>
            <w:noProof/>
            <w:webHidden/>
          </w:rPr>
          <w:instrText xml:space="preserve"> PAGEREF _Toc486241848 \h </w:instrText>
        </w:r>
        <w:r>
          <w:rPr>
            <w:noProof/>
            <w:webHidden/>
          </w:rPr>
        </w:r>
        <w:r>
          <w:rPr>
            <w:noProof/>
            <w:webHidden/>
          </w:rPr>
          <w:fldChar w:fldCharType="separate"/>
        </w:r>
        <w:r>
          <w:rPr>
            <w:noProof/>
            <w:webHidden/>
          </w:rPr>
          <w:t>145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49" w:history="1">
        <w:r>
          <w:rPr>
            <w:rStyle w:val="Lienhypertexte"/>
            <w:noProof/>
            <w:color w:val="auto"/>
          </w:rPr>
          <w:t>4.6.5.1.</w:t>
        </w:r>
        <w:r>
          <w:rPr>
            <w:rFonts w:asciiTheme="minorHAnsi" w:eastAsiaTheme="minorEastAsia" w:hAnsiTheme="minorHAnsi" w:cstheme="minorBidi"/>
            <w:noProof/>
            <w:sz w:val="22"/>
            <w:szCs w:val="22"/>
            <w:lang w:val="fr-BE" w:eastAsia="fr-BE"/>
          </w:rPr>
          <w:tab/>
        </w:r>
        <w:r>
          <w:rPr>
            <w:rStyle w:val="Lienhypertexte"/>
            <w:noProof/>
            <w:color w:val="auto"/>
          </w:rPr>
          <w:t>Règles générales</w:t>
        </w:r>
        <w:r>
          <w:rPr>
            <w:noProof/>
            <w:webHidden/>
          </w:rPr>
          <w:tab/>
        </w:r>
        <w:r>
          <w:rPr>
            <w:noProof/>
            <w:webHidden/>
          </w:rPr>
          <w:fldChar w:fldCharType="begin"/>
        </w:r>
        <w:r>
          <w:rPr>
            <w:noProof/>
            <w:webHidden/>
          </w:rPr>
          <w:instrText xml:space="preserve"> PAGEREF _Toc486241849 \h </w:instrText>
        </w:r>
        <w:r>
          <w:rPr>
            <w:noProof/>
            <w:webHidden/>
          </w:rPr>
        </w:r>
        <w:r>
          <w:rPr>
            <w:noProof/>
            <w:webHidden/>
          </w:rPr>
          <w:fldChar w:fldCharType="separate"/>
        </w:r>
        <w:r>
          <w:rPr>
            <w:noProof/>
            <w:webHidden/>
          </w:rPr>
          <w:t>145</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50" w:history="1">
        <w:r>
          <w:rPr>
            <w:rStyle w:val="Lienhypertexte"/>
            <w:noProof/>
            <w:color w:val="auto"/>
          </w:rPr>
          <w:t>4.6.5.2.</w:t>
        </w:r>
        <w:r>
          <w:rPr>
            <w:rFonts w:asciiTheme="minorHAnsi" w:eastAsiaTheme="minorEastAsia" w:hAnsiTheme="minorHAnsi" w:cstheme="minorBidi"/>
            <w:noProof/>
            <w:sz w:val="22"/>
            <w:szCs w:val="22"/>
            <w:lang w:val="fr-BE" w:eastAsia="fr-BE"/>
          </w:rPr>
          <w:tab/>
        </w:r>
        <w:r>
          <w:rPr>
            <w:rStyle w:val="Lienhypertexte"/>
            <w:noProof/>
            <w:color w:val="auto"/>
          </w:rPr>
          <w:t>Contrôle des dispositions relatives à la concertation</w:t>
        </w:r>
        <w:r>
          <w:rPr>
            <w:noProof/>
            <w:webHidden/>
          </w:rPr>
          <w:tab/>
        </w:r>
        <w:r>
          <w:rPr>
            <w:noProof/>
            <w:webHidden/>
          </w:rPr>
          <w:fldChar w:fldCharType="begin"/>
        </w:r>
        <w:r>
          <w:rPr>
            <w:noProof/>
            <w:webHidden/>
          </w:rPr>
          <w:instrText xml:space="preserve"> PAGEREF _Toc486241850 \h </w:instrText>
        </w:r>
        <w:r>
          <w:rPr>
            <w:noProof/>
            <w:webHidden/>
          </w:rPr>
        </w:r>
        <w:r>
          <w:rPr>
            <w:noProof/>
            <w:webHidden/>
          </w:rPr>
          <w:fldChar w:fldCharType="separate"/>
        </w:r>
        <w:r>
          <w:rPr>
            <w:noProof/>
            <w:webHidden/>
          </w:rPr>
          <w:t>146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51" w:history="1">
        <w:r>
          <w:rPr>
            <w:rStyle w:val="Lienhypertexte"/>
            <w:noProof/>
            <w:color w:val="auto"/>
          </w:rPr>
          <w:t>4.6.6.</w:t>
        </w:r>
        <w:r>
          <w:rPr>
            <w:rFonts w:asciiTheme="minorHAnsi" w:eastAsiaTheme="minorEastAsia" w:hAnsiTheme="minorHAnsi" w:cstheme="minorBidi"/>
            <w:b w:val="0"/>
            <w:noProof/>
            <w:szCs w:val="22"/>
            <w:lang w:val="fr-BE" w:eastAsia="fr-BE"/>
          </w:rPr>
          <w:t xml:space="preserve"> </w:t>
        </w:r>
        <w:r>
          <w:rPr>
            <w:rStyle w:val="Lienhypertexte"/>
            <w:noProof/>
            <w:color w:val="auto"/>
          </w:rPr>
          <w:t>Grille-horaire</w:t>
        </w:r>
        <w:r>
          <w:rPr>
            <w:noProof/>
            <w:webHidden/>
          </w:rPr>
          <w:tab/>
        </w:r>
        <w:r>
          <w:rPr>
            <w:noProof/>
            <w:webHidden/>
          </w:rPr>
          <w:fldChar w:fldCharType="begin"/>
        </w:r>
        <w:r>
          <w:rPr>
            <w:noProof/>
            <w:webHidden/>
          </w:rPr>
          <w:instrText xml:space="preserve"> PAGEREF _Toc486241851 \h </w:instrText>
        </w:r>
        <w:r>
          <w:rPr>
            <w:noProof/>
            <w:webHidden/>
          </w:rPr>
        </w:r>
        <w:r>
          <w:rPr>
            <w:noProof/>
            <w:webHidden/>
          </w:rPr>
          <w:fldChar w:fldCharType="separate"/>
        </w:r>
        <w:r>
          <w:rPr>
            <w:noProof/>
            <w:webHidden/>
          </w:rPr>
          <w:t>146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52" w:history="1">
        <w:r>
          <w:rPr>
            <w:rStyle w:val="Lienhypertexte"/>
            <w:noProof/>
            <w:color w:val="auto"/>
          </w:rPr>
          <w:t xml:space="preserve">4.6.6.1. </w:t>
        </w:r>
        <w:r>
          <w:rPr>
            <w:rFonts w:asciiTheme="minorHAnsi" w:eastAsiaTheme="minorEastAsia" w:hAnsiTheme="minorHAnsi" w:cstheme="minorBidi"/>
            <w:noProof/>
            <w:sz w:val="22"/>
            <w:szCs w:val="22"/>
            <w:lang w:val="fr-BE" w:eastAsia="fr-BE"/>
          </w:rPr>
          <w:tab/>
        </w:r>
        <w:r>
          <w:rPr>
            <w:rStyle w:val="Lienhypertexte"/>
            <w:noProof/>
            <w:color w:val="auto"/>
          </w:rPr>
          <w:t>Règle générale</w:t>
        </w:r>
        <w:r>
          <w:rPr>
            <w:noProof/>
            <w:webHidden/>
          </w:rPr>
          <w:tab/>
        </w:r>
        <w:r>
          <w:rPr>
            <w:noProof/>
            <w:webHidden/>
          </w:rPr>
          <w:fldChar w:fldCharType="begin"/>
        </w:r>
        <w:r>
          <w:rPr>
            <w:noProof/>
            <w:webHidden/>
          </w:rPr>
          <w:instrText xml:space="preserve"> PAGEREF _Toc486241852 \h </w:instrText>
        </w:r>
        <w:r>
          <w:rPr>
            <w:noProof/>
            <w:webHidden/>
          </w:rPr>
        </w:r>
        <w:r>
          <w:rPr>
            <w:noProof/>
            <w:webHidden/>
          </w:rPr>
          <w:fldChar w:fldCharType="separate"/>
        </w:r>
        <w:r>
          <w:rPr>
            <w:noProof/>
            <w:webHidden/>
          </w:rPr>
          <w:t>146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53" w:history="1">
        <w:r>
          <w:rPr>
            <w:rStyle w:val="Lienhypertexte"/>
            <w:noProof/>
            <w:color w:val="auto"/>
          </w:rPr>
          <w:t xml:space="preserve">4.6.6.2. </w:t>
        </w:r>
        <w:r>
          <w:rPr>
            <w:rFonts w:asciiTheme="minorHAnsi" w:eastAsiaTheme="minorEastAsia" w:hAnsiTheme="minorHAnsi" w:cstheme="minorBidi"/>
            <w:noProof/>
            <w:sz w:val="22"/>
            <w:szCs w:val="22"/>
            <w:lang w:val="fr-BE" w:eastAsia="fr-BE"/>
          </w:rPr>
          <w:tab/>
        </w:r>
        <w:r>
          <w:rPr>
            <w:rStyle w:val="Lienhypertexte"/>
            <w:noProof/>
            <w:color w:val="auto"/>
          </w:rPr>
          <w:t>Contrôle des horaires des élèves et des enseignants</w:t>
        </w:r>
        <w:r>
          <w:rPr>
            <w:noProof/>
            <w:webHidden/>
          </w:rPr>
          <w:tab/>
        </w:r>
        <w:r>
          <w:rPr>
            <w:noProof/>
            <w:webHidden/>
          </w:rPr>
          <w:fldChar w:fldCharType="begin"/>
        </w:r>
        <w:r>
          <w:rPr>
            <w:noProof/>
            <w:webHidden/>
          </w:rPr>
          <w:instrText xml:space="preserve"> PAGEREF _Toc486241853 \h </w:instrText>
        </w:r>
        <w:r>
          <w:rPr>
            <w:noProof/>
            <w:webHidden/>
          </w:rPr>
        </w:r>
        <w:r>
          <w:rPr>
            <w:noProof/>
            <w:webHidden/>
          </w:rPr>
          <w:fldChar w:fldCharType="separate"/>
        </w:r>
        <w:r>
          <w:rPr>
            <w:noProof/>
            <w:webHidden/>
          </w:rPr>
          <w:t>146</w:t>
        </w:r>
        <w:r>
          <w:rPr>
            <w:noProof/>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54" w:history="1">
        <w:r>
          <w:rPr>
            <w:rStyle w:val="Lienhypertexte"/>
            <w:color w:val="auto"/>
          </w:rPr>
          <w:t xml:space="preserve">Titre 5. </w:t>
        </w:r>
        <w:r>
          <w:rPr>
            <w:rFonts w:asciiTheme="minorHAnsi" w:eastAsiaTheme="minorEastAsia" w:hAnsiTheme="minorHAnsi" w:cstheme="minorBidi"/>
            <w:b w:val="0"/>
            <w:bCs w:val="0"/>
            <w:caps w:val="0"/>
            <w:lang w:val="fr-BE" w:eastAsia="fr-BE"/>
          </w:rPr>
          <w:tab/>
        </w:r>
        <w:r>
          <w:rPr>
            <w:rStyle w:val="Lienhypertexte"/>
            <w:color w:val="auto"/>
          </w:rPr>
          <w:t>Sanction des études – Certificat d'études de base</w:t>
        </w:r>
        <w:r>
          <w:rPr>
            <w:webHidden/>
          </w:rPr>
          <w:tab/>
        </w:r>
        <w:r>
          <w:rPr>
            <w:webHidden/>
          </w:rPr>
          <w:fldChar w:fldCharType="begin"/>
        </w:r>
        <w:r>
          <w:rPr>
            <w:webHidden/>
          </w:rPr>
          <w:instrText xml:space="preserve"> PAGEREF _Toc486241854 \h </w:instrText>
        </w:r>
        <w:r>
          <w:rPr>
            <w:webHidden/>
          </w:rPr>
        </w:r>
        <w:r>
          <w:rPr>
            <w:webHidden/>
          </w:rPr>
          <w:fldChar w:fldCharType="separate"/>
        </w:r>
        <w:r>
          <w:rPr>
            <w:webHidden/>
          </w:rPr>
          <w:t>147</w:t>
        </w:r>
        <w:r>
          <w:rPr>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55" w:history="1">
        <w:r>
          <w:rPr>
            <w:rStyle w:val="Lienhypertexte"/>
            <w:color w:val="auto"/>
          </w:rPr>
          <w:t xml:space="preserve">Titre 6. </w:t>
        </w:r>
        <w:r>
          <w:rPr>
            <w:rFonts w:asciiTheme="minorHAnsi" w:eastAsiaTheme="minorEastAsia" w:hAnsiTheme="minorHAnsi" w:cstheme="minorBidi"/>
            <w:b w:val="0"/>
            <w:bCs w:val="0"/>
            <w:caps w:val="0"/>
            <w:lang w:val="fr-BE" w:eastAsia="fr-BE"/>
          </w:rPr>
          <w:tab/>
        </w:r>
        <w:r>
          <w:rPr>
            <w:rStyle w:val="Lienhypertexte"/>
            <w:color w:val="auto"/>
          </w:rPr>
          <w:t>Dispositions en matière de vérification</w:t>
        </w:r>
        <w:r>
          <w:rPr>
            <w:webHidden/>
          </w:rPr>
          <w:tab/>
        </w:r>
        <w:r>
          <w:rPr>
            <w:webHidden/>
          </w:rPr>
          <w:fldChar w:fldCharType="begin"/>
        </w:r>
        <w:r>
          <w:rPr>
            <w:webHidden/>
          </w:rPr>
          <w:instrText xml:space="preserve"> PAGEREF _Toc486241855 \h </w:instrText>
        </w:r>
        <w:r>
          <w:rPr>
            <w:webHidden/>
          </w:rPr>
        </w:r>
        <w:r>
          <w:rPr>
            <w:webHidden/>
          </w:rPr>
          <w:fldChar w:fldCharType="separate"/>
        </w:r>
        <w:r>
          <w:rPr>
            <w:webHidden/>
          </w:rPr>
          <w:t>148</w:t>
        </w:r>
        <w:r>
          <w:rPr>
            <w:webHidden/>
          </w:rPr>
          <w:fldChar w:fldCharType="end"/>
        </w:r>
      </w:hyperlink>
    </w:p>
    <w:p>
      <w:pPr>
        <w:pStyle w:val="TM2"/>
        <w:rPr>
          <w:rFonts w:asciiTheme="minorHAnsi" w:eastAsiaTheme="minorEastAsia" w:hAnsiTheme="minorHAnsi" w:cstheme="minorBidi"/>
          <w:noProof/>
          <w:szCs w:val="22"/>
          <w:lang w:val="fr-BE" w:eastAsia="fr-BE"/>
        </w:rPr>
      </w:pPr>
      <w:hyperlink w:anchor="_Toc486241856" w:history="1">
        <w:r>
          <w:rPr>
            <w:rStyle w:val="Lienhypertexte"/>
            <w:noProof/>
            <w:color w:val="auto"/>
          </w:rPr>
          <w:t>Chapitre 6.1.</w:t>
        </w:r>
        <w:r>
          <w:rPr>
            <w:rFonts w:asciiTheme="minorHAnsi" w:eastAsiaTheme="minorEastAsia" w:hAnsiTheme="minorHAnsi" w:cstheme="minorBidi"/>
            <w:noProof/>
            <w:szCs w:val="22"/>
            <w:lang w:val="fr-BE" w:eastAsia="fr-BE"/>
          </w:rPr>
          <w:t xml:space="preserve"> </w:t>
        </w:r>
        <w:r>
          <w:rPr>
            <w:rStyle w:val="Lienhypertexte"/>
            <w:noProof/>
            <w:color w:val="auto"/>
          </w:rPr>
          <w:t>Dispositions générales</w:t>
        </w:r>
        <w:r>
          <w:rPr>
            <w:noProof/>
            <w:webHidden/>
          </w:rPr>
          <w:t xml:space="preserve"> </w:t>
        </w:r>
        <w:r>
          <w:rPr>
            <w:noProof/>
            <w:webHidden/>
          </w:rPr>
          <w:tab/>
        </w:r>
        <w:r>
          <w:rPr>
            <w:noProof/>
            <w:webHidden/>
          </w:rPr>
          <w:fldChar w:fldCharType="begin"/>
        </w:r>
        <w:r>
          <w:rPr>
            <w:noProof/>
            <w:webHidden/>
          </w:rPr>
          <w:instrText xml:space="preserve"> PAGEREF _Toc486241856 \h </w:instrText>
        </w:r>
        <w:r>
          <w:rPr>
            <w:noProof/>
            <w:webHidden/>
          </w:rPr>
        </w:r>
        <w:r>
          <w:rPr>
            <w:noProof/>
            <w:webHidden/>
          </w:rPr>
          <w:fldChar w:fldCharType="separate"/>
        </w:r>
        <w:r>
          <w:rPr>
            <w:noProof/>
            <w:webHidden/>
          </w:rPr>
          <w:t>148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57" w:history="1">
        <w:r>
          <w:rPr>
            <w:rStyle w:val="Lienhypertexte"/>
            <w:noProof/>
            <w:color w:val="auto"/>
          </w:rPr>
          <w:t>6. 1. 1. Le rôle du vérificateur et les finalités du contrôle de la population scolaire</w:t>
        </w:r>
        <w:r>
          <w:rPr>
            <w:noProof/>
            <w:webHidden/>
          </w:rPr>
          <w:tab/>
        </w:r>
        <w:r>
          <w:rPr>
            <w:noProof/>
            <w:webHidden/>
          </w:rPr>
          <w:fldChar w:fldCharType="begin"/>
        </w:r>
        <w:r>
          <w:rPr>
            <w:noProof/>
            <w:webHidden/>
          </w:rPr>
          <w:instrText xml:space="preserve"> PAGEREF _Toc486241857 \h </w:instrText>
        </w:r>
        <w:r>
          <w:rPr>
            <w:noProof/>
            <w:webHidden/>
          </w:rPr>
        </w:r>
        <w:r>
          <w:rPr>
            <w:noProof/>
            <w:webHidden/>
          </w:rPr>
          <w:fldChar w:fldCharType="separate"/>
        </w:r>
        <w:r>
          <w:rPr>
            <w:noProof/>
            <w:webHidden/>
          </w:rPr>
          <w:t>148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58" w:history="1">
        <w:r>
          <w:rPr>
            <w:rStyle w:val="Lienhypertexte"/>
            <w:noProof/>
            <w:color w:val="auto"/>
          </w:rPr>
          <w:t>6. 1. 2. Les modalités de contrôle</w:t>
        </w:r>
        <w:r>
          <w:rPr>
            <w:noProof/>
            <w:webHidden/>
          </w:rPr>
          <w:tab/>
        </w:r>
        <w:r>
          <w:rPr>
            <w:noProof/>
            <w:webHidden/>
          </w:rPr>
          <w:fldChar w:fldCharType="begin"/>
        </w:r>
        <w:r>
          <w:rPr>
            <w:noProof/>
            <w:webHidden/>
          </w:rPr>
          <w:instrText xml:space="preserve"> PAGEREF _Toc486241858 \h </w:instrText>
        </w:r>
        <w:r>
          <w:rPr>
            <w:noProof/>
            <w:webHidden/>
          </w:rPr>
        </w:r>
        <w:r>
          <w:rPr>
            <w:noProof/>
            <w:webHidden/>
          </w:rPr>
          <w:fldChar w:fldCharType="separate"/>
        </w:r>
        <w:r>
          <w:rPr>
            <w:noProof/>
            <w:webHidden/>
          </w:rPr>
          <w:t>148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59" w:history="1">
        <w:r>
          <w:rPr>
            <w:rStyle w:val="Lienhypertexte"/>
            <w:noProof/>
            <w:color w:val="auto"/>
          </w:rPr>
          <w:t>6. 1. 3. Les fraudes à l’inscription</w:t>
        </w:r>
        <w:r>
          <w:rPr>
            <w:noProof/>
            <w:webHidden/>
          </w:rPr>
          <w:tab/>
        </w:r>
        <w:r>
          <w:rPr>
            <w:noProof/>
            <w:webHidden/>
          </w:rPr>
          <w:fldChar w:fldCharType="begin"/>
        </w:r>
        <w:r>
          <w:rPr>
            <w:noProof/>
            <w:webHidden/>
          </w:rPr>
          <w:instrText xml:space="preserve"> PAGEREF _Toc486241859 \h </w:instrText>
        </w:r>
        <w:r>
          <w:rPr>
            <w:noProof/>
            <w:webHidden/>
          </w:rPr>
        </w:r>
        <w:r>
          <w:rPr>
            <w:noProof/>
            <w:webHidden/>
          </w:rPr>
          <w:fldChar w:fldCharType="separate"/>
        </w:r>
        <w:r>
          <w:rPr>
            <w:noProof/>
            <w:webHidden/>
          </w:rPr>
          <w:t>149</w:t>
        </w:r>
        <w:r>
          <w:rPr>
            <w:noProof/>
            <w:webHidden/>
          </w:rPr>
          <w:fldChar w:fldCharType="end"/>
        </w:r>
      </w:hyperlink>
    </w:p>
    <w:p>
      <w:pPr>
        <w:pStyle w:val="TM2"/>
        <w:rPr>
          <w:noProof/>
        </w:rPr>
      </w:pPr>
    </w:p>
    <w:p>
      <w:pPr>
        <w:pStyle w:val="TM2"/>
        <w:rPr>
          <w:noProof/>
        </w:rPr>
      </w:pPr>
    </w:p>
    <w:p>
      <w:pPr>
        <w:pStyle w:val="TM2"/>
        <w:rPr>
          <w:rFonts w:asciiTheme="minorHAnsi" w:eastAsiaTheme="minorEastAsia" w:hAnsiTheme="minorHAnsi" w:cstheme="minorBidi"/>
          <w:noProof/>
          <w:szCs w:val="22"/>
          <w:lang w:val="fr-BE" w:eastAsia="fr-BE"/>
        </w:rPr>
      </w:pPr>
      <w:hyperlink w:anchor="_Toc486241860" w:history="1">
        <w:r>
          <w:rPr>
            <w:rStyle w:val="Lienhypertexte"/>
            <w:noProof/>
            <w:color w:val="auto"/>
          </w:rPr>
          <w:t>Chapitre 6.2.</w:t>
        </w:r>
        <w:r>
          <w:rPr>
            <w:rFonts w:asciiTheme="minorHAnsi" w:eastAsiaTheme="minorEastAsia" w:hAnsiTheme="minorHAnsi" w:cstheme="minorBidi"/>
            <w:noProof/>
            <w:szCs w:val="22"/>
            <w:lang w:val="fr-BE" w:eastAsia="fr-BE"/>
          </w:rPr>
          <w:t xml:space="preserve"> </w:t>
        </w:r>
        <w:r>
          <w:rPr>
            <w:rStyle w:val="Lienhypertexte"/>
            <w:noProof/>
            <w:color w:val="auto"/>
          </w:rPr>
          <w:t>Documents nécessaires à la vérification</w:t>
        </w:r>
        <w:r>
          <w:rPr>
            <w:noProof/>
            <w:webHidden/>
          </w:rPr>
          <w:t xml:space="preserve"> </w:t>
        </w:r>
        <w:r>
          <w:rPr>
            <w:noProof/>
            <w:webHidden/>
          </w:rPr>
          <w:tab/>
        </w:r>
        <w:r>
          <w:rPr>
            <w:noProof/>
            <w:webHidden/>
          </w:rPr>
          <w:fldChar w:fldCharType="begin"/>
        </w:r>
        <w:r>
          <w:rPr>
            <w:noProof/>
            <w:webHidden/>
          </w:rPr>
          <w:instrText xml:space="preserve"> PAGEREF _Toc486241860 \h </w:instrText>
        </w:r>
        <w:r>
          <w:rPr>
            <w:noProof/>
            <w:webHidden/>
          </w:rPr>
        </w:r>
        <w:r>
          <w:rPr>
            <w:noProof/>
            <w:webHidden/>
          </w:rPr>
          <w:fldChar w:fldCharType="separate"/>
        </w:r>
        <w:r>
          <w:rPr>
            <w:noProof/>
            <w:webHidden/>
          </w:rPr>
          <w:t>150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61" w:history="1">
        <w:r>
          <w:rPr>
            <w:rStyle w:val="Lienhypertexte"/>
            <w:noProof/>
            <w:color w:val="auto"/>
          </w:rPr>
          <w:t>6.2.1.</w:t>
        </w:r>
        <w:r>
          <w:rPr>
            <w:rFonts w:asciiTheme="minorHAnsi" w:eastAsiaTheme="minorEastAsia" w:hAnsiTheme="minorHAnsi" w:cstheme="minorBidi"/>
            <w:b w:val="0"/>
            <w:noProof/>
            <w:szCs w:val="22"/>
            <w:lang w:val="fr-BE" w:eastAsia="fr-BE"/>
          </w:rPr>
          <w:t xml:space="preserve"> </w:t>
        </w:r>
        <w:r>
          <w:rPr>
            <w:rStyle w:val="Lienhypertexte"/>
            <w:noProof/>
            <w:color w:val="auto"/>
          </w:rPr>
          <w:t>Liste des documents à présenter lors du contrôle du Service de Vérification de la Population scolaire</w:t>
        </w:r>
        <w:r>
          <w:rPr>
            <w:noProof/>
            <w:webHidden/>
          </w:rPr>
          <w:tab/>
        </w:r>
        <w:r>
          <w:rPr>
            <w:noProof/>
            <w:webHidden/>
          </w:rPr>
          <w:fldChar w:fldCharType="begin"/>
        </w:r>
        <w:r>
          <w:rPr>
            <w:noProof/>
            <w:webHidden/>
          </w:rPr>
          <w:instrText xml:space="preserve"> PAGEREF _Toc486241861 \h </w:instrText>
        </w:r>
        <w:r>
          <w:rPr>
            <w:noProof/>
            <w:webHidden/>
          </w:rPr>
        </w:r>
        <w:r>
          <w:rPr>
            <w:noProof/>
            <w:webHidden/>
          </w:rPr>
          <w:fldChar w:fldCharType="separate"/>
        </w:r>
        <w:r>
          <w:rPr>
            <w:noProof/>
            <w:webHidden/>
          </w:rPr>
          <w:t>150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62" w:history="1">
        <w:r>
          <w:rPr>
            <w:rStyle w:val="Lienhypertexte"/>
            <w:noProof/>
            <w:color w:val="auto"/>
          </w:rPr>
          <w:t>6.2.2.</w:t>
        </w:r>
        <w:r>
          <w:rPr>
            <w:rFonts w:asciiTheme="minorHAnsi" w:eastAsiaTheme="minorEastAsia" w:hAnsiTheme="minorHAnsi" w:cstheme="minorBidi"/>
            <w:b w:val="0"/>
            <w:noProof/>
            <w:szCs w:val="22"/>
            <w:lang w:val="fr-BE" w:eastAsia="fr-BE"/>
          </w:rPr>
          <w:t xml:space="preserve"> </w:t>
        </w:r>
        <w:r>
          <w:rPr>
            <w:rStyle w:val="Lienhypertexte"/>
            <w:noProof/>
            <w:color w:val="auto"/>
          </w:rPr>
          <w:t>La base de données SIEL et le registre de fréquentation</w:t>
        </w:r>
        <w:r>
          <w:rPr>
            <w:noProof/>
            <w:webHidden/>
          </w:rPr>
          <w:tab/>
        </w:r>
        <w:r>
          <w:rPr>
            <w:noProof/>
            <w:webHidden/>
          </w:rPr>
          <w:fldChar w:fldCharType="begin"/>
        </w:r>
        <w:r>
          <w:rPr>
            <w:noProof/>
            <w:webHidden/>
          </w:rPr>
          <w:instrText xml:space="preserve"> PAGEREF _Toc486241862 \h </w:instrText>
        </w:r>
        <w:r>
          <w:rPr>
            <w:noProof/>
            <w:webHidden/>
          </w:rPr>
        </w:r>
        <w:r>
          <w:rPr>
            <w:noProof/>
            <w:webHidden/>
          </w:rPr>
          <w:fldChar w:fldCharType="separate"/>
        </w:r>
        <w:r>
          <w:rPr>
            <w:noProof/>
            <w:webHidden/>
          </w:rPr>
          <w:t>150</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63" w:history="1">
        <w:r>
          <w:rPr>
            <w:rStyle w:val="Lienhypertexte"/>
            <w:noProof/>
            <w:color w:val="auto"/>
          </w:rPr>
          <w:t xml:space="preserve">6.2.2.1. </w:t>
        </w:r>
        <w:r>
          <w:rPr>
            <w:rFonts w:asciiTheme="minorHAnsi" w:eastAsiaTheme="minorEastAsia" w:hAnsiTheme="minorHAnsi" w:cstheme="minorBidi"/>
            <w:noProof/>
            <w:sz w:val="22"/>
            <w:szCs w:val="22"/>
            <w:lang w:val="fr-BE" w:eastAsia="fr-BE"/>
          </w:rPr>
          <w:tab/>
        </w:r>
        <w:r>
          <w:rPr>
            <w:rStyle w:val="Lienhypertexte"/>
            <w:noProof/>
            <w:color w:val="auto"/>
          </w:rPr>
          <w:t>La base de données SIEL</w:t>
        </w:r>
        <w:r>
          <w:rPr>
            <w:noProof/>
            <w:webHidden/>
          </w:rPr>
          <w:tab/>
        </w:r>
        <w:r>
          <w:rPr>
            <w:noProof/>
            <w:webHidden/>
          </w:rPr>
          <w:fldChar w:fldCharType="begin"/>
        </w:r>
        <w:r>
          <w:rPr>
            <w:noProof/>
            <w:webHidden/>
          </w:rPr>
          <w:instrText xml:space="preserve"> PAGEREF _Toc486241863 \h </w:instrText>
        </w:r>
        <w:r>
          <w:rPr>
            <w:noProof/>
            <w:webHidden/>
          </w:rPr>
        </w:r>
        <w:r>
          <w:rPr>
            <w:noProof/>
            <w:webHidden/>
          </w:rPr>
          <w:fldChar w:fldCharType="separate"/>
        </w:r>
        <w:r>
          <w:rPr>
            <w:noProof/>
            <w:webHidden/>
          </w:rPr>
          <w:t>151</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64" w:history="1">
        <w:r>
          <w:rPr>
            <w:rStyle w:val="Lienhypertexte"/>
            <w:noProof/>
            <w:color w:val="auto"/>
          </w:rPr>
          <w:t>6.2.2.2.</w:t>
        </w:r>
        <w:r>
          <w:rPr>
            <w:rFonts w:asciiTheme="minorHAnsi" w:eastAsiaTheme="minorEastAsia" w:hAnsiTheme="minorHAnsi" w:cstheme="minorBidi"/>
            <w:noProof/>
            <w:sz w:val="22"/>
            <w:szCs w:val="22"/>
            <w:lang w:val="fr-BE" w:eastAsia="fr-BE"/>
          </w:rPr>
          <w:tab/>
        </w:r>
        <w:r>
          <w:rPr>
            <w:rStyle w:val="Lienhypertexte"/>
            <w:noProof/>
            <w:color w:val="auto"/>
          </w:rPr>
          <w:t>Le registre de fréquentation et le relevé des élèves inscrits</w:t>
        </w:r>
        <w:r>
          <w:rPr>
            <w:noProof/>
            <w:webHidden/>
          </w:rPr>
          <w:tab/>
        </w:r>
        <w:r>
          <w:rPr>
            <w:noProof/>
            <w:webHidden/>
          </w:rPr>
          <w:fldChar w:fldCharType="begin"/>
        </w:r>
        <w:r>
          <w:rPr>
            <w:noProof/>
            <w:webHidden/>
          </w:rPr>
          <w:instrText xml:space="preserve"> PAGEREF _Toc486241864 \h </w:instrText>
        </w:r>
        <w:r>
          <w:rPr>
            <w:noProof/>
            <w:webHidden/>
          </w:rPr>
        </w:r>
        <w:r>
          <w:rPr>
            <w:noProof/>
            <w:webHidden/>
          </w:rPr>
          <w:fldChar w:fldCharType="separate"/>
        </w:r>
        <w:r>
          <w:rPr>
            <w:noProof/>
            <w:webHidden/>
          </w:rPr>
          <w:t>152</w:t>
        </w:r>
        <w:r>
          <w:rPr>
            <w:noProof/>
            <w:webHidden/>
          </w:rPr>
          <w:fldChar w:fldCharType="end"/>
        </w:r>
      </w:hyperlink>
    </w:p>
    <w:p>
      <w:pPr>
        <w:pStyle w:val="TM5"/>
        <w:tabs>
          <w:tab w:val="left" w:pos="1630"/>
        </w:tabs>
        <w:rPr>
          <w:rFonts w:asciiTheme="minorHAnsi" w:eastAsiaTheme="minorEastAsia" w:hAnsiTheme="minorHAnsi" w:cstheme="minorBidi"/>
          <w:noProof/>
          <w:sz w:val="22"/>
          <w:szCs w:val="22"/>
          <w:lang w:val="fr-BE" w:eastAsia="fr-BE"/>
        </w:rPr>
      </w:pPr>
      <w:hyperlink w:anchor="_Toc486241865" w:history="1">
        <w:r>
          <w:rPr>
            <w:rStyle w:val="Lienhypertexte"/>
            <w:noProof/>
            <w:color w:val="auto"/>
          </w:rPr>
          <w:t>6.2.2.2.1.</w:t>
        </w:r>
        <w:r>
          <w:rPr>
            <w:rFonts w:asciiTheme="minorHAnsi" w:eastAsiaTheme="minorEastAsia" w:hAnsiTheme="minorHAnsi" w:cstheme="minorBidi"/>
            <w:noProof/>
            <w:sz w:val="22"/>
            <w:szCs w:val="22"/>
            <w:lang w:val="fr-BE" w:eastAsia="fr-BE"/>
          </w:rPr>
          <w:tab/>
        </w:r>
        <w:r>
          <w:rPr>
            <w:rStyle w:val="Lienhypertexte"/>
            <w:noProof/>
            <w:color w:val="auto"/>
          </w:rPr>
          <w:t>Dans l’enseignement maternel</w:t>
        </w:r>
        <w:r>
          <w:rPr>
            <w:noProof/>
            <w:webHidden/>
          </w:rPr>
          <w:tab/>
        </w:r>
        <w:r>
          <w:rPr>
            <w:noProof/>
            <w:webHidden/>
          </w:rPr>
          <w:fldChar w:fldCharType="begin"/>
        </w:r>
        <w:r>
          <w:rPr>
            <w:noProof/>
            <w:webHidden/>
          </w:rPr>
          <w:instrText xml:space="preserve"> PAGEREF _Toc486241865 \h </w:instrText>
        </w:r>
        <w:r>
          <w:rPr>
            <w:noProof/>
            <w:webHidden/>
          </w:rPr>
        </w:r>
        <w:r>
          <w:rPr>
            <w:noProof/>
            <w:webHidden/>
          </w:rPr>
          <w:fldChar w:fldCharType="separate"/>
        </w:r>
        <w:r>
          <w:rPr>
            <w:noProof/>
            <w:webHidden/>
          </w:rPr>
          <w:t>152</w:t>
        </w:r>
        <w:r>
          <w:rPr>
            <w:noProof/>
            <w:webHidden/>
          </w:rPr>
          <w:fldChar w:fldCharType="end"/>
        </w:r>
      </w:hyperlink>
    </w:p>
    <w:p>
      <w:pPr>
        <w:pStyle w:val="TM5"/>
        <w:tabs>
          <w:tab w:val="left" w:pos="1630"/>
        </w:tabs>
        <w:rPr>
          <w:rFonts w:asciiTheme="minorHAnsi" w:eastAsiaTheme="minorEastAsia" w:hAnsiTheme="minorHAnsi" w:cstheme="minorBidi"/>
          <w:noProof/>
          <w:sz w:val="22"/>
          <w:szCs w:val="22"/>
          <w:lang w:val="fr-BE" w:eastAsia="fr-BE"/>
        </w:rPr>
      </w:pPr>
      <w:hyperlink w:anchor="_Toc486241866" w:history="1">
        <w:r>
          <w:rPr>
            <w:rStyle w:val="Lienhypertexte"/>
            <w:noProof/>
            <w:color w:val="auto"/>
          </w:rPr>
          <w:t>6.2.2.2.2.</w:t>
        </w:r>
        <w:r>
          <w:rPr>
            <w:rFonts w:asciiTheme="minorHAnsi" w:eastAsiaTheme="minorEastAsia" w:hAnsiTheme="minorHAnsi" w:cstheme="minorBidi"/>
            <w:noProof/>
            <w:sz w:val="22"/>
            <w:szCs w:val="22"/>
            <w:lang w:val="fr-BE" w:eastAsia="fr-BE"/>
          </w:rPr>
          <w:tab/>
        </w:r>
        <w:r>
          <w:rPr>
            <w:rStyle w:val="Lienhypertexte"/>
            <w:noProof/>
            <w:color w:val="auto"/>
          </w:rPr>
          <w:t>Dans l’enseignement primaire</w:t>
        </w:r>
        <w:r>
          <w:rPr>
            <w:noProof/>
            <w:webHidden/>
          </w:rPr>
          <w:tab/>
        </w:r>
        <w:r>
          <w:rPr>
            <w:noProof/>
            <w:webHidden/>
          </w:rPr>
          <w:fldChar w:fldCharType="begin"/>
        </w:r>
        <w:r>
          <w:rPr>
            <w:noProof/>
            <w:webHidden/>
          </w:rPr>
          <w:instrText xml:space="preserve"> PAGEREF _Toc486241866 \h </w:instrText>
        </w:r>
        <w:r>
          <w:rPr>
            <w:noProof/>
            <w:webHidden/>
          </w:rPr>
        </w:r>
        <w:r>
          <w:rPr>
            <w:noProof/>
            <w:webHidden/>
          </w:rPr>
          <w:fldChar w:fldCharType="separate"/>
        </w:r>
        <w:r>
          <w:rPr>
            <w:noProof/>
            <w:webHidden/>
          </w:rPr>
          <w:t>153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867" w:history="1">
        <w:r>
          <w:rPr>
            <w:rStyle w:val="Lienhypertexte"/>
            <w:noProof/>
            <w:color w:val="auto"/>
          </w:rPr>
          <w:t>6.2.2.2.3. Vérification de la population scolaire et élève intégré</w:t>
        </w:r>
        <w:r>
          <w:rPr>
            <w:noProof/>
            <w:webHidden/>
          </w:rPr>
          <w:tab/>
        </w:r>
        <w:r>
          <w:rPr>
            <w:noProof/>
            <w:webHidden/>
          </w:rPr>
          <w:fldChar w:fldCharType="begin"/>
        </w:r>
        <w:r>
          <w:rPr>
            <w:noProof/>
            <w:webHidden/>
          </w:rPr>
          <w:instrText xml:space="preserve"> PAGEREF _Toc486241867 \h </w:instrText>
        </w:r>
        <w:r>
          <w:rPr>
            <w:noProof/>
            <w:webHidden/>
          </w:rPr>
        </w:r>
        <w:r>
          <w:rPr>
            <w:noProof/>
            <w:webHidden/>
          </w:rPr>
          <w:fldChar w:fldCharType="separate"/>
        </w:r>
        <w:r>
          <w:rPr>
            <w:noProof/>
            <w:webHidden/>
          </w:rPr>
          <w:t>156</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68" w:history="1">
        <w:r>
          <w:rPr>
            <w:rStyle w:val="Lienhypertexte"/>
            <w:noProof/>
            <w:color w:val="auto"/>
          </w:rPr>
          <w:t>6.2.3.</w:t>
        </w:r>
        <w:r>
          <w:rPr>
            <w:rFonts w:asciiTheme="minorHAnsi" w:eastAsiaTheme="minorEastAsia" w:hAnsiTheme="minorHAnsi" w:cstheme="minorBidi"/>
            <w:b w:val="0"/>
            <w:noProof/>
            <w:szCs w:val="22"/>
            <w:lang w:val="fr-BE" w:eastAsia="fr-BE"/>
          </w:rPr>
          <w:t xml:space="preserve"> </w:t>
        </w:r>
        <w:r>
          <w:rPr>
            <w:rStyle w:val="Lienhypertexte"/>
            <w:noProof/>
            <w:color w:val="auto"/>
          </w:rPr>
          <w:t>Documents concernant les élèves bénéficiant des cours d'adaptation à la langue de l'enseignement</w:t>
        </w:r>
        <w:r>
          <w:rPr>
            <w:noProof/>
            <w:webHidden/>
          </w:rPr>
          <w:tab/>
        </w:r>
        <w:r>
          <w:rPr>
            <w:noProof/>
            <w:webHidden/>
          </w:rPr>
          <w:fldChar w:fldCharType="begin"/>
        </w:r>
        <w:r>
          <w:rPr>
            <w:noProof/>
            <w:webHidden/>
          </w:rPr>
          <w:instrText xml:space="preserve"> PAGEREF _Toc486241868 \h </w:instrText>
        </w:r>
        <w:r>
          <w:rPr>
            <w:noProof/>
            <w:webHidden/>
          </w:rPr>
        </w:r>
        <w:r>
          <w:rPr>
            <w:noProof/>
            <w:webHidden/>
          </w:rPr>
          <w:fldChar w:fldCharType="separate"/>
        </w:r>
        <w:r>
          <w:rPr>
            <w:noProof/>
            <w:webHidden/>
          </w:rPr>
          <w:t>156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69" w:history="1">
        <w:r>
          <w:rPr>
            <w:rStyle w:val="Lienhypertexte"/>
            <w:noProof/>
            <w:color w:val="auto"/>
          </w:rPr>
          <w:t>6.2.3.1.</w:t>
        </w:r>
        <w:r>
          <w:rPr>
            <w:rFonts w:asciiTheme="minorHAnsi" w:eastAsiaTheme="minorEastAsia" w:hAnsiTheme="minorHAnsi" w:cstheme="minorBidi"/>
            <w:noProof/>
            <w:sz w:val="22"/>
            <w:szCs w:val="22"/>
            <w:lang w:val="fr-BE" w:eastAsia="fr-BE"/>
          </w:rPr>
          <w:tab/>
        </w:r>
        <w:r>
          <w:rPr>
            <w:rStyle w:val="Lienhypertexte"/>
            <w:noProof/>
            <w:color w:val="auto"/>
          </w:rPr>
          <w:t>Première catégorie: les élèves de nationalité étrangère ou apatrides ou adoptés</w:t>
        </w:r>
        <w:r>
          <w:rPr>
            <w:noProof/>
            <w:webHidden/>
          </w:rPr>
          <w:tab/>
        </w:r>
        <w:r>
          <w:rPr>
            <w:noProof/>
            <w:webHidden/>
          </w:rPr>
          <w:fldChar w:fldCharType="begin"/>
        </w:r>
        <w:r>
          <w:rPr>
            <w:noProof/>
            <w:webHidden/>
          </w:rPr>
          <w:instrText xml:space="preserve"> PAGEREF _Toc486241869 \h </w:instrText>
        </w:r>
        <w:r>
          <w:rPr>
            <w:noProof/>
            <w:webHidden/>
          </w:rPr>
        </w:r>
        <w:r>
          <w:rPr>
            <w:noProof/>
            <w:webHidden/>
          </w:rPr>
          <w:fldChar w:fldCharType="separate"/>
        </w:r>
        <w:r>
          <w:rPr>
            <w:noProof/>
            <w:webHidden/>
          </w:rPr>
          <w:t>156</w:t>
        </w:r>
        <w:r>
          <w:rPr>
            <w:noProof/>
            <w:webHidden/>
          </w:rPr>
          <w:fldChar w:fldCharType="end"/>
        </w:r>
      </w:hyperlink>
    </w:p>
    <w:p>
      <w:pPr>
        <w:pStyle w:val="TM4"/>
        <w:rPr>
          <w:rFonts w:asciiTheme="minorHAnsi" w:eastAsiaTheme="minorEastAsia" w:hAnsiTheme="minorHAnsi" w:cstheme="minorBidi"/>
          <w:noProof/>
          <w:sz w:val="22"/>
          <w:szCs w:val="22"/>
          <w:lang w:val="fr-BE" w:eastAsia="fr-BE"/>
        </w:rPr>
      </w:pPr>
      <w:hyperlink w:anchor="_Toc486241870" w:history="1">
        <w:r>
          <w:rPr>
            <w:rStyle w:val="Lienhypertexte"/>
            <w:noProof/>
            <w:color w:val="auto"/>
          </w:rPr>
          <w:t>6.2.3.2.</w:t>
        </w:r>
        <w:r>
          <w:rPr>
            <w:rFonts w:asciiTheme="minorHAnsi" w:eastAsiaTheme="minorEastAsia" w:hAnsiTheme="minorHAnsi" w:cstheme="minorBidi"/>
            <w:noProof/>
            <w:sz w:val="22"/>
            <w:szCs w:val="22"/>
            <w:lang w:val="fr-BE" w:eastAsia="fr-BE"/>
          </w:rPr>
          <w:tab/>
        </w:r>
        <w:r>
          <w:rPr>
            <w:rStyle w:val="Lienhypertexte"/>
            <w:noProof/>
            <w:color w:val="auto"/>
          </w:rPr>
          <w:t>Deuxième catégorie: les élèves de nationalité belge</w:t>
        </w:r>
        <w:r>
          <w:rPr>
            <w:noProof/>
            <w:webHidden/>
          </w:rPr>
          <w:tab/>
        </w:r>
        <w:r>
          <w:rPr>
            <w:noProof/>
            <w:webHidden/>
          </w:rPr>
          <w:fldChar w:fldCharType="begin"/>
        </w:r>
        <w:r>
          <w:rPr>
            <w:noProof/>
            <w:webHidden/>
          </w:rPr>
          <w:instrText xml:space="preserve"> PAGEREF _Toc486241870 \h </w:instrText>
        </w:r>
        <w:r>
          <w:rPr>
            <w:noProof/>
            <w:webHidden/>
          </w:rPr>
        </w:r>
        <w:r>
          <w:rPr>
            <w:noProof/>
            <w:webHidden/>
          </w:rPr>
          <w:fldChar w:fldCharType="separate"/>
        </w:r>
        <w:r>
          <w:rPr>
            <w:noProof/>
            <w:webHidden/>
          </w:rPr>
          <w:t>157</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71" w:history="1">
        <w:r>
          <w:rPr>
            <w:rStyle w:val="Lienhypertexte"/>
            <w:noProof/>
            <w:color w:val="auto"/>
          </w:rPr>
          <w:t>6.2.4. Documents concernant les élèves primo-arrivants</w:t>
        </w:r>
        <w:r>
          <w:rPr>
            <w:noProof/>
            <w:webHidden/>
          </w:rPr>
          <w:tab/>
        </w:r>
        <w:r>
          <w:rPr>
            <w:noProof/>
            <w:webHidden/>
          </w:rPr>
          <w:fldChar w:fldCharType="begin"/>
        </w:r>
        <w:r>
          <w:rPr>
            <w:noProof/>
            <w:webHidden/>
          </w:rPr>
          <w:instrText xml:space="preserve"> PAGEREF _Toc486241871 \h </w:instrText>
        </w:r>
        <w:r>
          <w:rPr>
            <w:noProof/>
            <w:webHidden/>
          </w:rPr>
        </w:r>
        <w:r>
          <w:rPr>
            <w:noProof/>
            <w:webHidden/>
          </w:rPr>
          <w:fldChar w:fldCharType="separate"/>
        </w:r>
        <w:r>
          <w:rPr>
            <w:noProof/>
            <w:webHidden/>
          </w:rPr>
          <w:t>158</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72" w:history="1">
        <w:r>
          <w:rPr>
            <w:rStyle w:val="Lienhypertexte"/>
            <w:noProof/>
            <w:color w:val="auto"/>
          </w:rPr>
          <w:t>6.2.5.</w:t>
        </w:r>
        <w:r>
          <w:rPr>
            <w:rFonts w:asciiTheme="minorHAnsi" w:eastAsiaTheme="minorEastAsia" w:hAnsiTheme="minorHAnsi" w:cstheme="minorBidi"/>
            <w:b w:val="0"/>
            <w:noProof/>
            <w:szCs w:val="22"/>
            <w:lang w:val="fr-BE" w:eastAsia="fr-BE"/>
          </w:rPr>
          <w:t xml:space="preserve"> </w:t>
        </w:r>
        <w:r>
          <w:rPr>
            <w:rStyle w:val="Lienhypertexte"/>
            <w:noProof/>
            <w:color w:val="auto"/>
          </w:rPr>
          <w:t>Documents concernant les enfants placés par le Juge de la jeunesse ou le Conseiller d'aide à la jeunesse</w:t>
        </w:r>
        <w:r>
          <w:rPr>
            <w:noProof/>
            <w:webHidden/>
          </w:rPr>
          <w:tab/>
        </w:r>
        <w:r>
          <w:rPr>
            <w:noProof/>
            <w:webHidden/>
          </w:rPr>
          <w:fldChar w:fldCharType="begin"/>
        </w:r>
        <w:r>
          <w:rPr>
            <w:noProof/>
            <w:webHidden/>
          </w:rPr>
          <w:instrText xml:space="preserve"> PAGEREF _Toc486241872 \h </w:instrText>
        </w:r>
        <w:r>
          <w:rPr>
            <w:noProof/>
            <w:webHidden/>
          </w:rPr>
        </w:r>
        <w:r>
          <w:rPr>
            <w:noProof/>
            <w:webHidden/>
          </w:rPr>
          <w:fldChar w:fldCharType="separate"/>
        </w:r>
        <w:r>
          <w:rPr>
            <w:noProof/>
            <w:webHidden/>
          </w:rPr>
          <w:t>159</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73" w:history="1">
        <w:r>
          <w:rPr>
            <w:rStyle w:val="Lienhypertexte"/>
            <w:noProof/>
            <w:color w:val="auto"/>
          </w:rPr>
          <w:t>6.2.6.</w:t>
        </w:r>
        <w:r>
          <w:rPr>
            <w:rFonts w:asciiTheme="minorHAnsi" w:eastAsiaTheme="minorEastAsia" w:hAnsiTheme="minorHAnsi" w:cstheme="minorBidi"/>
            <w:b w:val="0"/>
            <w:noProof/>
            <w:szCs w:val="22"/>
            <w:lang w:val="fr-BE" w:eastAsia="fr-BE"/>
          </w:rPr>
          <w:t xml:space="preserve"> </w:t>
        </w:r>
        <w:r>
          <w:rPr>
            <w:rStyle w:val="Lienhypertexte"/>
            <w:noProof/>
            <w:color w:val="auto"/>
          </w:rPr>
          <w:t>Documents concernant les enfants provenant d'un internat pour enfants dont les parents n'ont pas de résidence fixe</w:t>
        </w:r>
        <w:r>
          <w:rPr>
            <w:noProof/>
            <w:webHidden/>
          </w:rPr>
          <w:tab/>
        </w:r>
        <w:r>
          <w:rPr>
            <w:noProof/>
            <w:webHidden/>
          </w:rPr>
          <w:fldChar w:fldCharType="begin"/>
        </w:r>
        <w:r>
          <w:rPr>
            <w:noProof/>
            <w:webHidden/>
          </w:rPr>
          <w:instrText xml:space="preserve"> PAGEREF _Toc486241873 \h </w:instrText>
        </w:r>
        <w:r>
          <w:rPr>
            <w:noProof/>
            <w:webHidden/>
          </w:rPr>
        </w:r>
        <w:r>
          <w:rPr>
            <w:noProof/>
            <w:webHidden/>
          </w:rPr>
          <w:fldChar w:fldCharType="separate"/>
        </w:r>
        <w:r>
          <w:rPr>
            <w:noProof/>
            <w:webHidden/>
          </w:rPr>
          <w:t>160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74" w:history="1">
        <w:r>
          <w:rPr>
            <w:rStyle w:val="Lienhypertexte"/>
            <w:noProof/>
            <w:color w:val="auto"/>
          </w:rPr>
          <w:t>6.2.7.</w:t>
        </w:r>
        <w:r>
          <w:rPr>
            <w:rFonts w:asciiTheme="minorHAnsi" w:eastAsiaTheme="minorEastAsia" w:hAnsiTheme="minorHAnsi" w:cstheme="minorBidi"/>
            <w:b w:val="0"/>
            <w:noProof/>
            <w:szCs w:val="22"/>
            <w:lang w:val="fr-BE" w:eastAsia="fr-BE"/>
          </w:rPr>
          <w:t xml:space="preserve"> </w:t>
        </w:r>
        <w:r>
          <w:rPr>
            <w:rStyle w:val="Lienhypertexte"/>
            <w:noProof/>
            <w:color w:val="auto"/>
          </w:rPr>
          <w:t>Document concernant les enfants provenant d'un centre d'accueil organisé ou reconnu par l'ONE</w:t>
        </w:r>
        <w:r>
          <w:rPr>
            <w:noProof/>
            <w:webHidden/>
          </w:rPr>
          <w:tab/>
        </w:r>
        <w:r>
          <w:rPr>
            <w:noProof/>
            <w:webHidden/>
          </w:rPr>
          <w:fldChar w:fldCharType="begin"/>
        </w:r>
        <w:r>
          <w:rPr>
            <w:noProof/>
            <w:webHidden/>
          </w:rPr>
          <w:instrText xml:space="preserve"> PAGEREF _Toc486241874 \h </w:instrText>
        </w:r>
        <w:r>
          <w:rPr>
            <w:noProof/>
            <w:webHidden/>
          </w:rPr>
        </w:r>
        <w:r>
          <w:rPr>
            <w:noProof/>
            <w:webHidden/>
          </w:rPr>
          <w:fldChar w:fldCharType="separate"/>
        </w:r>
        <w:r>
          <w:rPr>
            <w:noProof/>
            <w:webHidden/>
          </w:rPr>
          <w:t>160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75" w:history="1">
        <w:r>
          <w:rPr>
            <w:rStyle w:val="Lienhypertexte"/>
            <w:noProof/>
            <w:color w:val="auto"/>
          </w:rPr>
          <w:t>6.2.8.</w:t>
        </w:r>
        <w:r>
          <w:rPr>
            <w:rFonts w:asciiTheme="minorHAnsi" w:eastAsiaTheme="minorEastAsia" w:hAnsiTheme="minorHAnsi" w:cstheme="minorBidi"/>
            <w:b w:val="0"/>
            <w:noProof/>
            <w:szCs w:val="22"/>
            <w:lang w:val="fr-BE" w:eastAsia="fr-BE"/>
          </w:rPr>
          <w:t xml:space="preserve"> </w:t>
        </w:r>
        <w:r>
          <w:rPr>
            <w:rStyle w:val="Lienhypertexte"/>
            <w:noProof/>
            <w:color w:val="auto"/>
          </w:rPr>
          <w:t>Documents concernant les élèves avancés en 1ère primaire, maintenus en maternelle, ou maintenus 8 ou 9 années en primaire</w:t>
        </w:r>
        <w:r>
          <w:rPr>
            <w:noProof/>
            <w:webHidden/>
          </w:rPr>
          <w:tab/>
        </w:r>
        <w:r>
          <w:rPr>
            <w:noProof/>
            <w:webHidden/>
          </w:rPr>
          <w:fldChar w:fldCharType="begin"/>
        </w:r>
        <w:r>
          <w:rPr>
            <w:noProof/>
            <w:webHidden/>
          </w:rPr>
          <w:instrText xml:space="preserve"> PAGEREF _Toc486241875 \h </w:instrText>
        </w:r>
        <w:r>
          <w:rPr>
            <w:noProof/>
            <w:webHidden/>
          </w:rPr>
        </w:r>
        <w:r>
          <w:rPr>
            <w:noProof/>
            <w:webHidden/>
          </w:rPr>
          <w:fldChar w:fldCharType="separate"/>
        </w:r>
        <w:r>
          <w:rPr>
            <w:noProof/>
            <w:webHidden/>
          </w:rPr>
          <w:t>160</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76" w:history="1">
        <w:r>
          <w:rPr>
            <w:rStyle w:val="Lienhypertexte"/>
            <w:noProof/>
            <w:color w:val="auto"/>
          </w:rPr>
          <w:t>6.2.9.</w:t>
        </w:r>
        <w:r>
          <w:rPr>
            <w:rFonts w:asciiTheme="minorHAnsi" w:eastAsiaTheme="minorEastAsia" w:hAnsiTheme="minorHAnsi" w:cstheme="minorBidi"/>
            <w:b w:val="0"/>
            <w:noProof/>
            <w:szCs w:val="22"/>
            <w:lang w:val="fr-BE" w:eastAsia="fr-BE"/>
          </w:rPr>
          <w:t xml:space="preserve"> </w:t>
        </w:r>
        <w:r>
          <w:rPr>
            <w:rStyle w:val="Lienhypertexte"/>
            <w:noProof/>
            <w:color w:val="auto"/>
          </w:rPr>
          <w:t>Documents concernant les changements d'école ou d’implantation</w:t>
        </w:r>
        <w:r>
          <w:rPr>
            <w:noProof/>
            <w:webHidden/>
          </w:rPr>
          <w:tab/>
        </w:r>
        <w:r>
          <w:rPr>
            <w:noProof/>
            <w:webHidden/>
          </w:rPr>
          <w:fldChar w:fldCharType="begin"/>
        </w:r>
        <w:r>
          <w:rPr>
            <w:noProof/>
            <w:webHidden/>
          </w:rPr>
          <w:instrText xml:space="preserve"> PAGEREF _Toc486241876 \h </w:instrText>
        </w:r>
        <w:r>
          <w:rPr>
            <w:noProof/>
            <w:webHidden/>
          </w:rPr>
        </w:r>
        <w:r>
          <w:rPr>
            <w:noProof/>
            <w:webHidden/>
          </w:rPr>
          <w:fldChar w:fldCharType="separate"/>
        </w:r>
        <w:r>
          <w:rPr>
            <w:noProof/>
            <w:webHidden/>
          </w:rPr>
          <w:t>161</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77" w:history="1">
        <w:r>
          <w:rPr>
            <w:rStyle w:val="Lienhypertexte"/>
            <w:noProof/>
            <w:color w:val="auto"/>
          </w:rPr>
          <w:t>6.2.10. Documents concernant les enfants en séjour illégal</w:t>
        </w:r>
        <w:r>
          <w:rPr>
            <w:noProof/>
            <w:webHidden/>
          </w:rPr>
          <w:tab/>
        </w:r>
        <w:r>
          <w:rPr>
            <w:noProof/>
            <w:webHidden/>
          </w:rPr>
          <w:fldChar w:fldCharType="begin"/>
        </w:r>
        <w:r>
          <w:rPr>
            <w:noProof/>
            <w:webHidden/>
          </w:rPr>
          <w:instrText xml:space="preserve"> PAGEREF _Toc486241877 \h </w:instrText>
        </w:r>
        <w:r>
          <w:rPr>
            <w:noProof/>
            <w:webHidden/>
          </w:rPr>
        </w:r>
        <w:r>
          <w:rPr>
            <w:noProof/>
            <w:webHidden/>
          </w:rPr>
          <w:fldChar w:fldCharType="separate"/>
        </w:r>
        <w:r>
          <w:rPr>
            <w:noProof/>
            <w:webHidden/>
          </w:rPr>
          <w:t>161</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78" w:history="1">
        <w:r>
          <w:rPr>
            <w:rStyle w:val="Lienhypertexte"/>
            <w:noProof/>
            <w:color w:val="auto"/>
          </w:rPr>
          <w:t>6.2.11. Documents concernant la scolarisation à temps partiel</w:t>
        </w:r>
        <w:r>
          <w:rPr>
            <w:noProof/>
            <w:webHidden/>
          </w:rPr>
          <w:tab/>
        </w:r>
        <w:r>
          <w:rPr>
            <w:noProof/>
            <w:webHidden/>
          </w:rPr>
          <w:fldChar w:fldCharType="begin"/>
        </w:r>
        <w:r>
          <w:rPr>
            <w:noProof/>
            <w:webHidden/>
          </w:rPr>
          <w:instrText xml:space="preserve"> PAGEREF _Toc486241878 \h </w:instrText>
        </w:r>
        <w:r>
          <w:rPr>
            <w:noProof/>
            <w:webHidden/>
          </w:rPr>
        </w:r>
        <w:r>
          <w:rPr>
            <w:noProof/>
            <w:webHidden/>
          </w:rPr>
          <w:fldChar w:fldCharType="separate"/>
        </w:r>
        <w:r>
          <w:rPr>
            <w:noProof/>
            <w:webHidden/>
          </w:rPr>
          <w:t>161</w:t>
        </w:r>
        <w:r>
          <w:rPr>
            <w:noProof/>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79" w:history="1">
        <w:r>
          <w:rPr>
            <w:rStyle w:val="Lienhypertexte"/>
            <w:color w:val="auto"/>
          </w:rPr>
          <w:t xml:space="preserve">Titre 7. </w:t>
        </w:r>
        <w:r>
          <w:rPr>
            <w:rFonts w:asciiTheme="minorHAnsi" w:eastAsiaTheme="minorEastAsia" w:hAnsiTheme="minorHAnsi" w:cstheme="minorBidi"/>
            <w:b w:val="0"/>
            <w:bCs w:val="0"/>
            <w:caps w:val="0"/>
            <w:lang w:val="fr-BE" w:eastAsia="fr-BE"/>
          </w:rPr>
          <w:t xml:space="preserve"> </w:t>
        </w:r>
        <w:r>
          <w:rPr>
            <w:rStyle w:val="Lienhypertexte"/>
            <w:color w:val="auto"/>
          </w:rPr>
          <w:t>Gratuité d’accès à l’enseignement</w:t>
        </w:r>
        <w:r>
          <w:rPr>
            <w:webHidden/>
          </w:rPr>
          <w:tab/>
        </w:r>
        <w:r>
          <w:rPr>
            <w:webHidden/>
          </w:rPr>
          <w:fldChar w:fldCharType="begin"/>
        </w:r>
        <w:r>
          <w:rPr>
            <w:webHidden/>
          </w:rPr>
          <w:instrText xml:space="preserve"> PAGEREF _Toc486241879 \h </w:instrText>
        </w:r>
        <w:r>
          <w:rPr>
            <w:webHidden/>
          </w:rPr>
        </w:r>
        <w:r>
          <w:rPr>
            <w:webHidden/>
          </w:rPr>
          <w:fldChar w:fldCharType="separate"/>
        </w:r>
        <w:r>
          <w:rPr>
            <w:webHidden/>
          </w:rPr>
          <w:t>162</w:t>
        </w:r>
        <w:r>
          <w:rPr>
            <w:webHidden/>
          </w:rPr>
          <w:fldChar w:fldCharType="end"/>
        </w:r>
      </w:hyperlink>
    </w:p>
    <w:p>
      <w:pPr>
        <w:pStyle w:val="TM2"/>
        <w:rPr>
          <w:rFonts w:asciiTheme="minorHAnsi" w:eastAsiaTheme="minorEastAsia" w:hAnsiTheme="minorHAnsi" w:cstheme="minorBidi"/>
          <w:noProof/>
          <w:szCs w:val="22"/>
          <w:lang w:val="fr-BE" w:eastAsia="fr-BE"/>
        </w:rPr>
      </w:pPr>
      <w:hyperlink w:anchor="_Toc486241880" w:history="1">
        <w:r>
          <w:rPr>
            <w:rStyle w:val="Lienhypertexte"/>
            <w:noProof/>
            <w:color w:val="auto"/>
          </w:rPr>
          <w:t>Chapitre 7.1. Règles générales</w:t>
        </w:r>
        <w:r>
          <w:rPr>
            <w:noProof/>
            <w:webHidden/>
          </w:rPr>
          <w:tab/>
        </w:r>
        <w:r>
          <w:rPr>
            <w:noProof/>
            <w:webHidden/>
          </w:rPr>
          <w:fldChar w:fldCharType="begin"/>
        </w:r>
        <w:r>
          <w:rPr>
            <w:noProof/>
            <w:webHidden/>
          </w:rPr>
          <w:instrText xml:space="preserve"> PAGEREF _Toc486241880 \h </w:instrText>
        </w:r>
        <w:r>
          <w:rPr>
            <w:noProof/>
            <w:webHidden/>
          </w:rPr>
        </w:r>
        <w:r>
          <w:rPr>
            <w:noProof/>
            <w:webHidden/>
          </w:rPr>
          <w:fldChar w:fldCharType="separate"/>
        </w:r>
        <w:r>
          <w:rPr>
            <w:noProof/>
            <w:webHidden/>
          </w:rPr>
          <w:t>162</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81" w:history="1">
        <w:r>
          <w:rPr>
            <w:rStyle w:val="Lienhypertexte"/>
            <w:noProof/>
            <w:color w:val="auto"/>
          </w:rPr>
          <w:t>Chapitre 7.2. Frais scolaires</w:t>
        </w:r>
        <w:r>
          <w:rPr>
            <w:noProof/>
            <w:webHidden/>
          </w:rPr>
          <w:tab/>
        </w:r>
        <w:r>
          <w:rPr>
            <w:noProof/>
            <w:webHidden/>
          </w:rPr>
          <w:fldChar w:fldCharType="begin"/>
        </w:r>
        <w:r>
          <w:rPr>
            <w:noProof/>
            <w:webHidden/>
          </w:rPr>
          <w:instrText xml:space="preserve"> PAGEREF _Toc486241881 \h </w:instrText>
        </w:r>
        <w:r>
          <w:rPr>
            <w:noProof/>
            <w:webHidden/>
          </w:rPr>
        </w:r>
        <w:r>
          <w:rPr>
            <w:noProof/>
            <w:webHidden/>
          </w:rPr>
          <w:fldChar w:fldCharType="separate"/>
        </w:r>
        <w:r>
          <w:rPr>
            <w:noProof/>
            <w:webHidden/>
          </w:rPr>
          <w:t>162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82" w:history="1">
        <w:r>
          <w:rPr>
            <w:rStyle w:val="Lienhypertexte"/>
            <w:noProof/>
            <w:color w:val="auto"/>
          </w:rPr>
          <w:t>7.2.1. Frais que l’école ne peut pas réclamer</w:t>
        </w:r>
        <w:r>
          <w:rPr>
            <w:noProof/>
            <w:webHidden/>
          </w:rPr>
          <w:tab/>
        </w:r>
        <w:r>
          <w:rPr>
            <w:noProof/>
            <w:webHidden/>
          </w:rPr>
          <w:fldChar w:fldCharType="begin"/>
        </w:r>
        <w:r>
          <w:rPr>
            <w:noProof/>
            <w:webHidden/>
          </w:rPr>
          <w:instrText xml:space="preserve"> PAGEREF _Toc486241882 \h </w:instrText>
        </w:r>
        <w:r>
          <w:rPr>
            <w:noProof/>
            <w:webHidden/>
          </w:rPr>
        </w:r>
        <w:r>
          <w:rPr>
            <w:noProof/>
            <w:webHidden/>
          </w:rPr>
          <w:fldChar w:fldCharType="separate"/>
        </w:r>
        <w:r>
          <w:rPr>
            <w:noProof/>
            <w:webHidden/>
          </w:rPr>
          <w:t>162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83" w:history="1">
        <w:r>
          <w:rPr>
            <w:rStyle w:val="Lienhypertexte"/>
            <w:noProof/>
            <w:color w:val="auto"/>
          </w:rPr>
          <w:t>7.2.2. Frais que l’école peut réclamer</w:t>
        </w:r>
        <w:r>
          <w:rPr>
            <w:noProof/>
            <w:webHidden/>
          </w:rPr>
          <w:tab/>
        </w:r>
        <w:r>
          <w:rPr>
            <w:noProof/>
            <w:webHidden/>
          </w:rPr>
          <w:fldChar w:fldCharType="begin"/>
        </w:r>
        <w:r>
          <w:rPr>
            <w:noProof/>
            <w:webHidden/>
          </w:rPr>
          <w:instrText xml:space="preserve"> PAGEREF _Toc486241883 \h </w:instrText>
        </w:r>
        <w:r>
          <w:rPr>
            <w:noProof/>
            <w:webHidden/>
          </w:rPr>
        </w:r>
        <w:r>
          <w:rPr>
            <w:noProof/>
            <w:webHidden/>
          </w:rPr>
          <w:fldChar w:fldCharType="separate"/>
        </w:r>
        <w:r>
          <w:rPr>
            <w:noProof/>
            <w:webHidden/>
          </w:rPr>
          <w:t>162</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84" w:history="1">
        <w:r>
          <w:rPr>
            <w:rStyle w:val="Lienhypertexte"/>
            <w:noProof/>
            <w:color w:val="auto"/>
          </w:rPr>
          <w:t>7.2.3. Frais que l’école peut proposer sans les imposer</w:t>
        </w:r>
        <w:r>
          <w:rPr>
            <w:noProof/>
            <w:webHidden/>
          </w:rPr>
          <w:tab/>
        </w:r>
        <w:r>
          <w:rPr>
            <w:noProof/>
            <w:webHidden/>
          </w:rPr>
          <w:fldChar w:fldCharType="begin"/>
        </w:r>
        <w:r>
          <w:rPr>
            <w:noProof/>
            <w:webHidden/>
          </w:rPr>
          <w:instrText xml:space="preserve"> PAGEREF _Toc486241884 \h </w:instrText>
        </w:r>
        <w:r>
          <w:rPr>
            <w:noProof/>
            <w:webHidden/>
          </w:rPr>
        </w:r>
        <w:r>
          <w:rPr>
            <w:noProof/>
            <w:webHidden/>
          </w:rPr>
          <w:fldChar w:fldCharType="separate"/>
        </w:r>
        <w:r>
          <w:rPr>
            <w:noProof/>
            <w:webHidden/>
          </w:rPr>
          <w:t>162</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85" w:history="1">
        <w:r>
          <w:rPr>
            <w:rStyle w:val="Lienhypertexte"/>
            <w:noProof/>
            <w:color w:val="auto"/>
          </w:rPr>
          <w:t>Chapitre 7.3. Le cas particulier du temps de midi</w:t>
        </w:r>
        <w:r>
          <w:rPr>
            <w:noProof/>
            <w:webHidden/>
          </w:rPr>
          <w:tab/>
        </w:r>
        <w:r>
          <w:rPr>
            <w:noProof/>
            <w:webHidden/>
          </w:rPr>
          <w:fldChar w:fldCharType="begin"/>
        </w:r>
        <w:r>
          <w:rPr>
            <w:noProof/>
            <w:webHidden/>
          </w:rPr>
          <w:instrText xml:space="preserve"> PAGEREF _Toc486241885 \h </w:instrText>
        </w:r>
        <w:r>
          <w:rPr>
            <w:noProof/>
            <w:webHidden/>
          </w:rPr>
        </w:r>
        <w:r>
          <w:rPr>
            <w:noProof/>
            <w:webHidden/>
          </w:rPr>
          <w:fldChar w:fldCharType="separate"/>
        </w:r>
        <w:r>
          <w:rPr>
            <w:noProof/>
            <w:webHidden/>
          </w:rPr>
          <w:t>163</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86" w:history="1">
        <w:r>
          <w:rPr>
            <w:rStyle w:val="Lienhypertexte"/>
            <w:noProof/>
            <w:color w:val="auto"/>
          </w:rPr>
          <w:t>Chapitre 7.4. Informations aux parents</w:t>
        </w:r>
        <w:r>
          <w:rPr>
            <w:noProof/>
            <w:webHidden/>
          </w:rPr>
          <w:tab/>
        </w:r>
        <w:r>
          <w:rPr>
            <w:noProof/>
            <w:webHidden/>
          </w:rPr>
          <w:fldChar w:fldCharType="begin"/>
        </w:r>
        <w:r>
          <w:rPr>
            <w:noProof/>
            <w:webHidden/>
          </w:rPr>
          <w:instrText xml:space="preserve"> PAGEREF _Toc486241886 \h </w:instrText>
        </w:r>
        <w:r>
          <w:rPr>
            <w:noProof/>
            <w:webHidden/>
          </w:rPr>
        </w:r>
        <w:r>
          <w:rPr>
            <w:noProof/>
            <w:webHidden/>
          </w:rPr>
          <w:fldChar w:fldCharType="separate"/>
        </w:r>
        <w:r>
          <w:rPr>
            <w:noProof/>
            <w:webHidden/>
          </w:rPr>
          <w:t>163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87" w:history="1">
        <w:r>
          <w:rPr>
            <w:rStyle w:val="Lienhypertexte"/>
            <w:noProof/>
            <w:color w:val="auto"/>
          </w:rPr>
          <w:t>7.4.1. Estimation et ventilation des frais</w:t>
        </w:r>
        <w:r>
          <w:rPr>
            <w:noProof/>
            <w:webHidden/>
          </w:rPr>
          <w:tab/>
        </w:r>
        <w:r>
          <w:rPr>
            <w:noProof/>
            <w:webHidden/>
          </w:rPr>
          <w:fldChar w:fldCharType="begin"/>
        </w:r>
        <w:r>
          <w:rPr>
            <w:noProof/>
            <w:webHidden/>
          </w:rPr>
          <w:instrText xml:space="preserve"> PAGEREF _Toc486241887 \h </w:instrText>
        </w:r>
        <w:r>
          <w:rPr>
            <w:noProof/>
            <w:webHidden/>
          </w:rPr>
        </w:r>
        <w:r>
          <w:rPr>
            <w:noProof/>
            <w:webHidden/>
          </w:rPr>
          <w:fldChar w:fldCharType="separate"/>
        </w:r>
        <w:r>
          <w:rPr>
            <w:noProof/>
            <w:webHidden/>
          </w:rPr>
          <w:t>163</w:t>
        </w:r>
        <w:r>
          <w:rPr>
            <w:noProof/>
            <w:webHidden/>
          </w:rPr>
          <w:fldChar w:fldCharType="end"/>
        </w:r>
      </w:hyperlink>
    </w:p>
    <w:p>
      <w:pPr>
        <w:pStyle w:val="TM3"/>
        <w:spacing w:before="0"/>
        <w:rPr>
          <w:rFonts w:asciiTheme="minorHAnsi" w:eastAsiaTheme="minorEastAsia" w:hAnsiTheme="minorHAnsi" w:cstheme="minorBidi"/>
          <w:b w:val="0"/>
          <w:noProof/>
          <w:szCs w:val="22"/>
          <w:lang w:val="fr-BE" w:eastAsia="fr-BE"/>
        </w:rPr>
      </w:pPr>
      <w:hyperlink w:anchor="_Toc486241888" w:history="1">
        <w:r>
          <w:rPr>
            <w:rStyle w:val="Lienhypertexte"/>
            <w:noProof/>
            <w:color w:val="auto"/>
          </w:rPr>
          <w:t>7.4.2. Décomptes périodiques</w:t>
        </w:r>
        <w:r>
          <w:rPr>
            <w:noProof/>
            <w:webHidden/>
          </w:rPr>
          <w:tab/>
        </w:r>
        <w:r>
          <w:rPr>
            <w:noProof/>
            <w:webHidden/>
          </w:rPr>
          <w:fldChar w:fldCharType="begin"/>
        </w:r>
        <w:r>
          <w:rPr>
            <w:noProof/>
            <w:webHidden/>
          </w:rPr>
          <w:instrText xml:space="preserve"> PAGEREF _Toc486241888 \h </w:instrText>
        </w:r>
        <w:r>
          <w:rPr>
            <w:noProof/>
            <w:webHidden/>
          </w:rPr>
        </w:r>
        <w:r>
          <w:rPr>
            <w:noProof/>
            <w:webHidden/>
          </w:rPr>
          <w:fldChar w:fldCharType="separate"/>
        </w:r>
        <w:r>
          <w:rPr>
            <w:noProof/>
            <w:webHidden/>
          </w:rPr>
          <w:t>163</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89" w:history="1">
        <w:r>
          <w:rPr>
            <w:rStyle w:val="Lienhypertexte"/>
            <w:noProof/>
            <w:color w:val="auto"/>
          </w:rPr>
          <w:t>Chapitre 7.5. En cas de non-paiement : le recouvrement des frais impayés</w:t>
        </w:r>
        <w:r>
          <w:rPr>
            <w:noProof/>
            <w:webHidden/>
          </w:rPr>
          <w:tab/>
        </w:r>
        <w:r>
          <w:rPr>
            <w:noProof/>
            <w:webHidden/>
          </w:rPr>
          <w:fldChar w:fldCharType="begin"/>
        </w:r>
        <w:r>
          <w:rPr>
            <w:noProof/>
            <w:webHidden/>
          </w:rPr>
          <w:instrText xml:space="preserve"> PAGEREF _Toc486241889 \h </w:instrText>
        </w:r>
        <w:r>
          <w:rPr>
            <w:noProof/>
            <w:webHidden/>
          </w:rPr>
        </w:r>
        <w:r>
          <w:rPr>
            <w:noProof/>
            <w:webHidden/>
          </w:rPr>
          <w:fldChar w:fldCharType="separate"/>
        </w:r>
        <w:r>
          <w:rPr>
            <w:noProof/>
            <w:webHidden/>
          </w:rPr>
          <w:t>164</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90" w:history="1">
        <w:r>
          <w:rPr>
            <w:rStyle w:val="Lienhypertexte"/>
            <w:noProof/>
            <w:color w:val="auto"/>
          </w:rPr>
          <w:t>Chapitre 7.6. Contrôle du respect de la réglementation</w:t>
        </w:r>
        <w:r>
          <w:rPr>
            <w:noProof/>
            <w:webHidden/>
          </w:rPr>
          <w:tab/>
        </w:r>
        <w:r>
          <w:rPr>
            <w:noProof/>
            <w:webHidden/>
          </w:rPr>
          <w:fldChar w:fldCharType="begin"/>
        </w:r>
        <w:r>
          <w:rPr>
            <w:noProof/>
            <w:webHidden/>
          </w:rPr>
          <w:instrText xml:space="preserve"> PAGEREF _Toc486241890 \h </w:instrText>
        </w:r>
        <w:r>
          <w:rPr>
            <w:noProof/>
            <w:webHidden/>
          </w:rPr>
        </w:r>
        <w:r>
          <w:rPr>
            <w:noProof/>
            <w:webHidden/>
          </w:rPr>
          <w:fldChar w:fldCharType="separate"/>
        </w:r>
        <w:r>
          <w:rPr>
            <w:noProof/>
            <w:webHidden/>
          </w:rPr>
          <w:t>164</w:t>
        </w:r>
        <w:r>
          <w:rPr>
            <w:noProof/>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91" w:history="1">
        <w:r>
          <w:rPr>
            <w:rStyle w:val="Lienhypertexte"/>
            <w:color w:val="auto"/>
          </w:rPr>
          <w:t>Titre 8. Collaboration avec les parents et les Associations de parents</w:t>
        </w:r>
        <w:r>
          <w:rPr>
            <w:webHidden/>
          </w:rPr>
          <w:tab/>
        </w:r>
        <w:r>
          <w:rPr>
            <w:webHidden/>
          </w:rPr>
          <w:tab/>
        </w:r>
        <w:r>
          <w:rPr>
            <w:webHidden/>
          </w:rPr>
          <w:fldChar w:fldCharType="begin"/>
        </w:r>
        <w:r>
          <w:rPr>
            <w:webHidden/>
          </w:rPr>
          <w:instrText xml:space="preserve"> PAGEREF _Toc486241891 \h </w:instrText>
        </w:r>
        <w:r>
          <w:rPr>
            <w:webHidden/>
          </w:rPr>
        </w:r>
        <w:r>
          <w:rPr>
            <w:webHidden/>
          </w:rPr>
          <w:fldChar w:fldCharType="separate"/>
        </w:r>
        <w:r>
          <w:rPr>
            <w:webHidden/>
          </w:rPr>
          <w:t>165</w:t>
        </w:r>
        <w:r>
          <w:rPr>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92" w:history="1">
        <w:r>
          <w:rPr>
            <w:rStyle w:val="Lienhypertexte"/>
            <w:color w:val="auto"/>
          </w:rPr>
          <w:t xml:space="preserve">Titre 9. </w:t>
        </w:r>
        <w:r>
          <w:rPr>
            <w:rFonts w:asciiTheme="minorHAnsi" w:eastAsiaTheme="minorEastAsia" w:hAnsiTheme="minorHAnsi" w:cstheme="minorBidi"/>
            <w:b w:val="0"/>
            <w:bCs w:val="0"/>
            <w:caps w:val="0"/>
            <w:lang w:val="fr-BE" w:eastAsia="fr-BE"/>
          </w:rPr>
          <w:t xml:space="preserve"> </w:t>
        </w:r>
        <w:r>
          <w:rPr>
            <w:rStyle w:val="Lienhypertexte"/>
            <w:color w:val="auto"/>
          </w:rPr>
          <w:t>Prise en charge spécialisée, logopédique ou de tout autre nature (psychomotricité, psychothérapie, graphothérapie,..) durant le temps scolaire</w:t>
        </w:r>
        <w:r>
          <w:rPr>
            <w:webHidden/>
          </w:rPr>
          <w:tab/>
        </w:r>
        <w:r>
          <w:rPr>
            <w:webHidden/>
          </w:rPr>
          <w:fldChar w:fldCharType="begin"/>
        </w:r>
        <w:r>
          <w:rPr>
            <w:webHidden/>
          </w:rPr>
          <w:instrText xml:space="preserve"> PAGEREF _Toc486241892 \h </w:instrText>
        </w:r>
        <w:r>
          <w:rPr>
            <w:webHidden/>
          </w:rPr>
        </w:r>
        <w:r>
          <w:rPr>
            <w:webHidden/>
          </w:rPr>
          <w:fldChar w:fldCharType="separate"/>
        </w:r>
        <w:r>
          <w:rPr>
            <w:webHidden/>
          </w:rPr>
          <w:t>167</w:t>
        </w:r>
        <w:r>
          <w:rPr>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93" w:history="1">
        <w:r>
          <w:rPr>
            <w:rStyle w:val="Lienhypertexte"/>
            <w:color w:val="auto"/>
          </w:rPr>
          <w:t xml:space="preserve">Titre 10. </w:t>
        </w:r>
        <w:r>
          <w:rPr>
            <w:rFonts w:asciiTheme="minorHAnsi" w:eastAsiaTheme="minorEastAsia" w:hAnsiTheme="minorHAnsi" w:cstheme="minorBidi"/>
            <w:b w:val="0"/>
            <w:bCs w:val="0"/>
            <w:caps w:val="0"/>
            <w:lang w:val="fr-BE" w:eastAsia="fr-BE"/>
          </w:rPr>
          <w:t xml:space="preserve"> </w:t>
        </w:r>
        <w:r>
          <w:rPr>
            <w:rStyle w:val="Lienhypertexte"/>
            <w:color w:val="auto"/>
          </w:rPr>
          <w:t>Les applications informatiques et les formulaires électroniques développés par la DGEO</w:t>
        </w:r>
        <w:r>
          <w:rPr>
            <w:webHidden/>
          </w:rPr>
          <w:tab/>
        </w:r>
        <w:r>
          <w:rPr>
            <w:webHidden/>
          </w:rPr>
          <w:fldChar w:fldCharType="begin"/>
        </w:r>
        <w:r>
          <w:rPr>
            <w:webHidden/>
          </w:rPr>
          <w:instrText xml:space="preserve"> PAGEREF _Toc486241893 \h </w:instrText>
        </w:r>
        <w:r>
          <w:rPr>
            <w:webHidden/>
          </w:rPr>
        </w:r>
        <w:r>
          <w:rPr>
            <w:webHidden/>
          </w:rPr>
          <w:fldChar w:fldCharType="separate"/>
        </w:r>
        <w:r>
          <w:rPr>
            <w:webHidden/>
          </w:rPr>
          <w:t>169</w:t>
        </w:r>
        <w:r>
          <w:rPr>
            <w:webHidden/>
          </w:rPr>
          <w:fldChar w:fldCharType="end"/>
        </w:r>
      </w:hyperlink>
    </w:p>
    <w:p>
      <w:pPr>
        <w:pStyle w:val="TM2"/>
        <w:rPr>
          <w:rFonts w:asciiTheme="minorHAnsi" w:eastAsiaTheme="minorEastAsia" w:hAnsiTheme="minorHAnsi" w:cstheme="minorBidi"/>
          <w:noProof/>
          <w:szCs w:val="22"/>
          <w:lang w:val="fr-BE" w:eastAsia="fr-BE"/>
        </w:rPr>
      </w:pPr>
      <w:hyperlink w:anchor="_Toc486241894" w:history="1">
        <w:r>
          <w:rPr>
            <w:rStyle w:val="Lienhypertexte"/>
            <w:noProof/>
            <w:color w:val="auto"/>
          </w:rPr>
          <w:t>Chapitre 10.1. Les applications métier de la DGEO</w:t>
        </w:r>
        <w:r>
          <w:rPr>
            <w:noProof/>
            <w:webHidden/>
          </w:rPr>
          <w:tab/>
        </w:r>
        <w:r>
          <w:rPr>
            <w:noProof/>
            <w:webHidden/>
          </w:rPr>
          <w:fldChar w:fldCharType="begin"/>
        </w:r>
        <w:r>
          <w:rPr>
            <w:noProof/>
            <w:webHidden/>
          </w:rPr>
          <w:instrText xml:space="preserve"> PAGEREF _Toc486241894 \h </w:instrText>
        </w:r>
        <w:r>
          <w:rPr>
            <w:noProof/>
            <w:webHidden/>
          </w:rPr>
        </w:r>
        <w:r>
          <w:rPr>
            <w:noProof/>
            <w:webHidden/>
          </w:rPr>
          <w:fldChar w:fldCharType="separate"/>
        </w:r>
        <w:r>
          <w:rPr>
            <w:noProof/>
            <w:webHidden/>
          </w:rPr>
          <w:t>170</w:t>
        </w:r>
        <w:r>
          <w:rPr>
            <w:noProof/>
            <w:webHidden/>
          </w:rPr>
          <w:fldChar w:fldCharType="end"/>
        </w:r>
      </w:hyperlink>
    </w:p>
    <w:p>
      <w:pPr>
        <w:pStyle w:val="TM2"/>
        <w:rPr>
          <w:rFonts w:asciiTheme="minorHAnsi" w:eastAsiaTheme="minorEastAsia" w:hAnsiTheme="minorHAnsi" w:cstheme="minorBidi"/>
          <w:noProof/>
          <w:szCs w:val="22"/>
          <w:lang w:val="fr-BE" w:eastAsia="fr-BE"/>
        </w:rPr>
      </w:pPr>
      <w:hyperlink w:anchor="_Toc486241895" w:history="1">
        <w:r>
          <w:rPr>
            <w:rStyle w:val="Lienhypertexte"/>
            <w:noProof/>
            <w:color w:val="auto"/>
          </w:rPr>
          <w:t>Chapitre 10.2. Les formulaires électroniques de la DGEO</w:t>
        </w:r>
        <w:r>
          <w:rPr>
            <w:noProof/>
            <w:webHidden/>
          </w:rPr>
          <w:tab/>
        </w:r>
        <w:r>
          <w:rPr>
            <w:noProof/>
            <w:webHidden/>
          </w:rPr>
          <w:fldChar w:fldCharType="begin"/>
        </w:r>
        <w:r>
          <w:rPr>
            <w:noProof/>
            <w:webHidden/>
          </w:rPr>
          <w:instrText xml:space="preserve"> PAGEREF _Toc486241895 \h </w:instrText>
        </w:r>
        <w:r>
          <w:rPr>
            <w:noProof/>
            <w:webHidden/>
          </w:rPr>
        </w:r>
        <w:r>
          <w:rPr>
            <w:noProof/>
            <w:webHidden/>
          </w:rPr>
          <w:fldChar w:fldCharType="separate"/>
        </w:r>
        <w:r>
          <w:rPr>
            <w:noProof/>
            <w:webHidden/>
          </w:rPr>
          <w:t>171</w:t>
        </w:r>
        <w:r>
          <w:rPr>
            <w:noProof/>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96" w:history="1">
        <w:r>
          <w:rPr>
            <w:rStyle w:val="Lienhypertexte"/>
            <w:color w:val="auto"/>
          </w:rPr>
          <w:t xml:space="preserve">Titre 11. </w:t>
        </w:r>
        <w:r>
          <w:rPr>
            <w:rFonts w:asciiTheme="minorHAnsi" w:eastAsiaTheme="minorEastAsia" w:hAnsiTheme="minorHAnsi" w:cstheme="minorBidi"/>
            <w:b w:val="0"/>
            <w:bCs w:val="0"/>
            <w:caps w:val="0"/>
            <w:lang w:val="fr-BE" w:eastAsia="fr-BE"/>
          </w:rPr>
          <w:t xml:space="preserve"> </w:t>
        </w:r>
        <w:r>
          <w:rPr>
            <w:rStyle w:val="Lienhypertexte"/>
            <w:color w:val="auto"/>
          </w:rPr>
          <w:t>Matières traitées dans d'autres circulaires</w:t>
        </w:r>
        <w:r>
          <w:rPr>
            <w:webHidden/>
          </w:rPr>
          <w:tab/>
        </w:r>
        <w:r>
          <w:rPr>
            <w:webHidden/>
          </w:rPr>
          <w:fldChar w:fldCharType="begin"/>
        </w:r>
        <w:r>
          <w:rPr>
            <w:webHidden/>
          </w:rPr>
          <w:instrText xml:space="preserve"> PAGEREF _Toc486241896 \h </w:instrText>
        </w:r>
        <w:r>
          <w:rPr>
            <w:webHidden/>
          </w:rPr>
        </w:r>
        <w:r>
          <w:rPr>
            <w:webHidden/>
          </w:rPr>
          <w:fldChar w:fldCharType="separate"/>
        </w:r>
        <w:r>
          <w:rPr>
            <w:webHidden/>
          </w:rPr>
          <w:t>172</w:t>
        </w:r>
        <w:r>
          <w:rPr>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97" w:history="1">
        <w:r>
          <w:rPr>
            <w:rStyle w:val="Lienhypertexte"/>
            <w:color w:val="auto"/>
          </w:rPr>
          <w:t>Titre 12. Calendrier des opérations</w:t>
        </w:r>
        <w:r>
          <w:rPr>
            <w:webHidden/>
          </w:rPr>
          <w:tab/>
        </w:r>
        <w:r>
          <w:rPr>
            <w:webHidden/>
          </w:rPr>
          <w:fldChar w:fldCharType="begin"/>
        </w:r>
        <w:r>
          <w:rPr>
            <w:webHidden/>
          </w:rPr>
          <w:instrText xml:space="preserve"> PAGEREF _Toc486241897 \h </w:instrText>
        </w:r>
        <w:r>
          <w:rPr>
            <w:webHidden/>
          </w:rPr>
        </w:r>
        <w:r>
          <w:rPr>
            <w:webHidden/>
          </w:rPr>
          <w:fldChar w:fldCharType="separate"/>
        </w:r>
        <w:r>
          <w:rPr>
            <w:webHidden/>
          </w:rPr>
          <w:t>174</w:t>
        </w:r>
        <w:r>
          <w:rPr>
            <w:webHidden/>
          </w:rPr>
          <w:fldChar w:fldCharType="end"/>
        </w:r>
      </w:hyperlink>
    </w:p>
    <w:p>
      <w:pPr>
        <w:pStyle w:val="TM1"/>
        <w:spacing w:before="0"/>
        <w:rPr>
          <w:rStyle w:val="Lienhypertexte"/>
          <w:color w:val="auto"/>
        </w:rPr>
      </w:pPr>
    </w:p>
    <w:p>
      <w:pPr>
        <w:pStyle w:val="TM1"/>
        <w:spacing w:before="0"/>
        <w:rPr>
          <w:rFonts w:asciiTheme="minorHAnsi" w:eastAsiaTheme="minorEastAsia" w:hAnsiTheme="minorHAnsi" w:cstheme="minorBidi"/>
          <w:b w:val="0"/>
          <w:bCs w:val="0"/>
          <w:caps w:val="0"/>
          <w:lang w:val="fr-BE" w:eastAsia="fr-BE"/>
        </w:rPr>
      </w:pPr>
      <w:hyperlink w:anchor="_Toc486241898" w:history="1">
        <w:r>
          <w:rPr>
            <w:rStyle w:val="Lienhypertexte"/>
            <w:color w:val="auto"/>
          </w:rPr>
          <w:t xml:space="preserve">Titre 13. </w:t>
        </w:r>
        <w:r>
          <w:rPr>
            <w:rFonts w:asciiTheme="minorHAnsi" w:eastAsiaTheme="minorEastAsia" w:hAnsiTheme="minorHAnsi" w:cstheme="minorBidi"/>
            <w:b w:val="0"/>
            <w:bCs w:val="0"/>
            <w:caps w:val="0"/>
            <w:lang w:val="fr-BE" w:eastAsia="fr-BE"/>
          </w:rPr>
          <w:tab/>
        </w:r>
        <w:r>
          <w:rPr>
            <w:rStyle w:val="Lienhypertexte"/>
            <w:color w:val="auto"/>
          </w:rPr>
          <w:t>Annexes (Formulaires)</w:t>
        </w:r>
        <w:r>
          <w:rPr>
            <w:webHidden/>
          </w:rPr>
          <w:tab/>
        </w:r>
        <w:r>
          <w:rPr>
            <w:webHidden/>
          </w:rPr>
          <w:fldChar w:fldCharType="begin"/>
        </w:r>
        <w:r>
          <w:rPr>
            <w:webHidden/>
          </w:rPr>
          <w:instrText xml:space="preserve"> PAGEREF _Toc486241898 \h </w:instrText>
        </w:r>
        <w:r>
          <w:rPr>
            <w:webHidden/>
          </w:rPr>
        </w:r>
        <w:r>
          <w:rPr>
            <w:webHidden/>
          </w:rPr>
          <w:fldChar w:fldCharType="separate"/>
        </w:r>
        <w:r>
          <w:rPr>
            <w:webHidden/>
          </w:rPr>
          <w:t>176</w:t>
        </w:r>
        <w:r>
          <w:rPr>
            <w:webHidden/>
          </w:rPr>
          <w:fldChar w:fldCharType="end"/>
        </w:r>
      </w:hyperlink>
    </w:p>
    <w:p>
      <w:pPr>
        <w:pStyle w:val="TM5"/>
      </w:pPr>
      <w:r>
        <w:t>Annexe 2.1.1. Convention de scolarisation à temps partiel</w:t>
      </w:r>
      <w:r>
        <w:tab/>
      </w:r>
      <w:hyperlink w:anchor="Annexe_211" w:history="1">
        <w:r>
          <w:rPr>
            <w:rStyle w:val="Lienhypertexte"/>
          </w:rPr>
          <w:t>178</w:t>
        </w:r>
      </w:hyperlink>
    </w:p>
    <w:p>
      <w:pPr>
        <w:pStyle w:val="TM5"/>
        <w:rPr>
          <w:rFonts w:asciiTheme="minorHAnsi" w:eastAsiaTheme="minorEastAsia" w:hAnsiTheme="minorHAnsi" w:cstheme="minorBidi"/>
          <w:noProof/>
          <w:sz w:val="22"/>
          <w:szCs w:val="22"/>
          <w:lang w:val="fr-BE" w:eastAsia="fr-BE"/>
        </w:rPr>
      </w:pPr>
      <w:hyperlink w:anchor="_Toc486241899" w:history="1">
        <w:r>
          <w:rPr>
            <w:rStyle w:val="Lienhypertexte"/>
            <w:noProof/>
            <w:color w:val="auto"/>
          </w:rPr>
          <w:t>Annexe 2.2.3. Demande de dérogation pour inscription tardive dans l’enseignement primaire, à partir du 1er octobre, dans un établissement organisé ou subventionné par la Fédération Wallonie-Bruxelles.</w:t>
        </w:r>
        <w:r>
          <w:rPr>
            <w:noProof/>
            <w:webHidden/>
          </w:rPr>
          <w:tab/>
        </w:r>
        <w:r>
          <w:rPr>
            <w:noProof/>
            <w:webHidden/>
          </w:rPr>
          <w:fldChar w:fldCharType="begin"/>
        </w:r>
        <w:r>
          <w:rPr>
            <w:noProof/>
            <w:webHidden/>
          </w:rPr>
          <w:instrText xml:space="preserve"> PAGEREF _Toc486241899 \h </w:instrText>
        </w:r>
        <w:r>
          <w:rPr>
            <w:noProof/>
            <w:webHidden/>
          </w:rPr>
        </w:r>
        <w:r>
          <w:rPr>
            <w:noProof/>
            <w:webHidden/>
          </w:rPr>
          <w:fldChar w:fldCharType="separate"/>
        </w:r>
        <w:r>
          <w:rPr>
            <w:noProof/>
            <w:webHidden/>
          </w:rPr>
          <w:t>180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0" w:history="1">
        <w:r>
          <w:rPr>
            <w:rStyle w:val="Lienhypertexte"/>
            <w:noProof/>
            <w:color w:val="auto"/>
          </w:rPr>
          <w:t>Annexe 2.2.4.A. Attestation de demande d’inscription dans l’enseignement maternel</w:t>
        </w:r>
        <w:r>
          <w:rPr>
            <w:noProof/>
            <w:webHidden/>
          </w:rPr>
          <w:tab/>
        </w:r>
        <w:r>
          <w:rPr>
            <w:noProof/>
            <w:webHidden/>
          </w:rPr>
          <w:fldChar w:fldCharType="begin"/>
        </w:r>
        <w:r>
          <w:rPr>
            <w:noProof/>
            <w:webHidden/>
          </w:rPr>
          <w:instrText xml:space="preserve"> PAGEREF _Toc486241900 \h </w:instrText>
        </w:r>
        <w:r>
          <w:rPr>
            <w:noProof/>
            <w:webHidden/>
          </w:rPr>
        </w:r>
        <w:r>
          <w:rPr>
            <w:noProof/>
            <w:webHidden/>
          </w:rPr>
          <w:fldChar w:fldCharType="separate"/>
        </w:r>
        <w:r>
          <w:rPr>
            <w:noProof/>
            <w:webHidden/>
          </w:rPr>
          <w:t>181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1" w:history="1">
        <w:r>
          <w:rPr>
            <w:rStyle w:val="Lienhypertexte"/>
            <w:noProof/>
            <w:color w:val="auto"/>
          </w:rPr>
          <w:t>Annexe 2.2.4.A. (2)</w:t>
        </w:r>
        <w:r>
          <w:rPr>
            <w:noProof/>
            <w:webHidden/>
          </w:rPr>
          <w:tab/>
        </w:r>
        <w:r>
          <w:rPr>
            <w:noProof/>
            <w:webHidden/>
          </w:rPr>
          <w:fldChar w:fldCharType="begin"/>
        </w:r>
        <w:r>
          <w:rPr>
            <w:noProof/>
            <w:webHidden/>
          </w:rPr>
          <w:instrText xml:space="preserve"> PAGEREF _Toc486241901 \h </w:instrText>
        </w:r>
        <w:r>
          <w:rPr>
            <w:noProof/>
            <w:webHidden/>
          </w:rPr>
        </w:r>
        <w:r>
          <w:rPr>
            <w:noProof/>
            <w:webHidden/>
          </w:rPr>
          <w:fldChar w:fldCharType="separate"/>
        </w:r>
        <w:r>
          <w:rPr>
            <w:noProof/>
            <w:webHidden/>
          </w:rPr>
          <w:t>182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2" w:history="1">
        <w:r>
          <w:rPr>
            <w:rStyle w:val="Lienhypertexte"/>
            <w:noProof/>
            <w:color w:val="auto"/>
          </w:rPr>
          <w:t>Annexe 2.2.4.B. Attestation de demande d’inscription dans l’enseignement primaire ordinaire</w:t>
        </w:r>
        <w:r>
          <w:rPr>
            <w:noProof/>
            <w:webHidden/>
          </w:rPr>
          <w:tab/>
        </w:r>
        <w:r>
          <w:rPr>
            <w:noProof/>
            <w:webHidden/>
          </w:rPr>
          <w:fldChar w:fldCharType="begin"/>
        </w:r>
        <w:r>
          <w:rPr>
            <w:noProof/>
            <w:webHidden/>
          </w:rPr>
          <w:instrText xml:space="preserve"> PAGEREF _Toc486241902 \h </w:instrText>
        </w:r>
        <w:r>
          <w:rPr>
            <w:noProof/>
            <w:webHidden/>
          </w:rPr>
        </w:r>
        <w:r>
          <w:rPr>
            <w:noProof/>
            <w:webHidden/>
          </w:rPr>
          <w:fldChar w:fldCharType="separate"/>
        </w:r>
        <w:r>
          <w:rPr>
            <w:noProof/>
            <w:webHidden/>
          </w:rPr>
          <w:t>183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3" w:history="1">
        <w:r>
          <w:rPr>
            <w:rStyle w:val="Lienhypertexte"/>
            <w:noProof/>
            <w:color w:val="auto"/>
          </w:rPr>
          <w:t>Annexe 2.2.4.B. (2)</w:t>
        </w:r>
        <w:r>
          <w:rPr>
            <w:noProof/>
            <w:webHidden/>
          </w:rPr>
          <w:tab/>
        </w:r>
        <w:r>
          <w:rPr>
            <w:noProof/>
            <w:webHidden/>
          </w:rPr>
          <w:fldChar w:fldCharType="begin"/>
        </w:r>
        <w:r>
          <w:rPr>
            <w:noProof/>
            <w:webHidden/>
          </w:rPr>
          <w:instrText xml:space="preserve"> PAGEREF _Toc486241903 \h </w:instrText>
        </w:r>
        <w:r>
          <w:rPr>
            <w:noProof/>
            <w:webHidden/>
          </w:rPr>
        </w:r>
        <w:r>
          <w:rPr>
            <w:noProof/>
            <w:webHidden/>
          </w:rPr>
          <w:fldChar w:fldCharType="separate"/>
        </w:r>
        <w:r>
          <w:rPr>
            <w:noProof/>
            <w:webHidden/>
          </w:rPr>
          <w:t>184</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4" w:history="1">
        <w:r>
          <w:rPr>
            <w:rStyle w:val="Lienhypertexte"/>
            <w:noProof/>
            <w:color w:val="auto"/>
          </w:rPr>
          <w:t>Annexe 2.2.4.C. Attestation de demande d’inscription dans l’enseignement maternel</w:t>
        </w:r>
        <w:r>
          <w:rPr>
            <w:noProof/>
            <w:webHidden/>
          </w:rPr>
          <w:tab/>
        </w:r>
        <w:r>
          <w:rPr>
            <w:noProof/>
            <w:webHidden/>
          </w:rPr>
          <w:fldChar w:fldCharType="begin"/>
        </w:r>
        <w:r>
          <w:rPr>
            <w:noProof/>
            <w:webHidden/>
          </w:rPr>
          <w:instrText xml:space="preserve"> PAGEREF _Toc486241904 \h </w:instrText>
        </w:r>
        <w:r>
          <w:rPr>
            <w:noProof/>
            <w:webHidden/>
          </w:rPr>
        </w:r>
        <w:r>
          <w:rPr>
            <w:noProof/>
            <w:webHidden/>
          </w:rPr>
          <w:fldChar w:fldCharType="separate"/>
        </w:r>
        <w:r>
          <w:rPr>
            <w:noProof/>
            <w:webHidden/>
          </w:rPr>
          <w:t>185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5" w:history="1">
        <w:r>
          <w:rPr>
            <w:rStyle w:val="Lienhypertexte"/>
            <w:noProof/>
            <w:color w:val="auto"/>
          </w:rPr>
          <w:t>Annexe 2.2.4.C. (2)</w:t>
        </w:r>
        <w:r>
          <w:rPr>
            <w:noProof/>
            <w:webHidden/>
          </w:rPr>
          <w:tab/>
        </w:r>
        <w:r>
          <w:rPr>
            <w:noProof/>
            <w:webHidden/>
          </w:rPr>
          <w:fldChar w:fldCharType="begin"/>
        </w:r>
        <w:r>
          <w:rPr>
            <w:noProof/>
            <w:webHidden/>
          </w:rPr>
          <w:instrText xml:space="preserve"> PAGEREF _Toc486241905 \h </w:instrText>
        </w:r>
        <w:r>
          <w:rPr>
            <w:noProof/>
            <w:webHidden/>
          </w:rPr>
        </w:r>
        <w:r>
          <w:rPr>
            <w:noProof/>
            <w:webHidden/>
          </w:rPr>
          <w:fldChar w:fldCharType="separate"/>
        </w:r>
        <w:r>
          <w:rPr>
            <w:noProof/>
            <w:webHidden/>
          </w:rPr>
          <w:t>186</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6" w:history="1">
        <w:r>
          <w:rPr>
            <w:rStyle w:val="Lienhypertexte"/>
            <w:noProof/>
            <w:color w:val="auto"/>
          </w:rPr>
          <w:t>Annexe 2.2.4.D. Attestation de demande d’inscription dans l’enseignement primaire ordinaire</w:t>
        </w:r>
        <w:r>
          <w:rPr>
            <w:noProof/>
            <w:webHidden/>
          </w:rPr>
          <w:tab/>
        </w:r>
        <w:r>
          <w:rPr>
            <w:noProof/>
            <w:webHidden/>
          </w:rPr>
          <w:fldChar w:fldCharType="begin"/>
        </w:r>
        <w:r>
          <w:rPr>
            <w:noProof/>
            <w:webHidden/>
          </w:rPr>
          <w:instrText xml:space="preserve"> PAGEREF _Toc486241906 \h </w:instrText>
        </w:r>
        <w:r>
          <w:rPr>
            <w:noProof/>
            <w:webHidden/>
          </w:rPr>
        </w:r>
        <w:r>
          <w:rPr>
            <w:noProof/>
            <w:webHidden/>
          </w:rPr>
          <w:fldChar w:fldCharType="separate"/>
        </w:r>
        <w:r>
          <w:rPr>
            <w:noProof/>
            <w:webHidden/>
          </w:rPr>
          <w:t>187</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7" w:history="1">
        <w:r>
          <w:rPr>
            <w:rStyle w:val="Lienhypertexte"/>
            <w:noProof/>
            <w:color w:val="auto"/>
          </w:rPr>
          <w:t>Annexe 2.2.4.D. (2)</w:t>
        </w:r>
        <w:r>
          <w:rPr>
            <w:noProof/>
            <w:webHidden/>
          </w:rPr>
          <w:tab/>
        </w:r>
        <w:r>
          <w:rPr>
            <w:noProof/>
            <w:webHidden/>
          </w:rPr>
          <w:fldChar w:fldCharType="begin"/>
        </w:r>
        <w:r>
          <w:rPr>
            <w:noProof/>
            <w:webHidden/>
          </w:rPr>
          <w:instrText xml:space="preserve"> PAGEREF _Toc486241907 \h </w:instrText>
        </w:r>
        <w:r>
          <w:rPr>
            <w:noProof/>
            <w:webHidden/>
          </w:rPr>
        </w:r>
        <w:r>
          <w:rPr>
            <w:noProof/>
            <w:webHidden/>
          </w:rPr>
          <w:fldChar w:fldCharType="separate"/>
        </w:r>
        <w:r>
          <w:rPr>
            <w:noProof/>
            <w:webHidden/>
          </w:rPr>
          <w:t>188</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8" w:history="1">
        <w:r>
          <w:rPr>
            <w:rStyle w:val="Lienhypertexte"/>
            <w:noProof/>
            <w:color w:val="auto"/>
          </w:rPr>
          <w:t>Annexe 2.2.4.E Attestation de manque de locaux disponibles dans une école</w:t>
        </w:r>
        <w:r>
          <w:rPr>
            <w:noProof/>
            <w:webHidden/>
          </w:rPr>
          <w:tab/>
        </w:r>
        <w:r>
          <w:rPr>
            <w:noProof/>
            <w:webHidden/>
          </w:rPr>
          <w:fldChar w:fldCharType="begin"/>
        </w:r>
        <w:r>
          <w:rPr>
            <w:noProof/>
            <w:webHidden/>
          </w:rPr>
          <w:instrText xml:space="preserve"> PAGEREF _Toc486241908 \h </w:instrText>
        </w:r>
        <w:r>
          <w:rPr>
            <w:noProof/>
            <w:webHidden/>
          </w:rPr>
        </w:r>
        <w:r>
          <w:rPr>
            <w:noProof/>
            <w:webHidden/>
          </w:rPr>
          <w:fldChar w:fldCharType="separate"/>
        </w:r>
        <w:r>
          <w:rPr>
            <w:noProof/>
            <w:webHidden/>
          </w:rPr>
          <w:t>189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09" w:history="1">
        <w:r>
          <w:rPr>
            <w:rStyle w:val="Lienhypertexte"/>
            <w:noProof/>
            <w:color w:val="auto"/>
          </w:rPr>
          <w:t>Annexe 2.3.A. Demande de dérogation d’âge – Attestation d’avis de la direction de l’école</w:t>
        </w:r>
        <w:r>
          <w:rPr>
            <w:noProof/>
            <w:webHidden/>
          </w:rPr>
          <w:tab/>
        </w:r>
        <w:r>
          <w:rPr>
            <w:noProof/>
            <w:webHidden/>
          </w:rPr>
          <w:fldChar w:fldCharType="begin"/>
        </w:r>
        <w:r>
          <w:rPr>
            <w:noProof/>
            <w:webHidden/>
          </w:rPr>
          <w:instrText xml:space="preserve"> PAGEREF _Toc486241909 \h </w:instrText>
        </w:r>
        <w:r>
          <w:rPr>
            <w:noProof/>
            <w:webHidden/>
          </w:rPr>
        </w:r>
        <w:r>
          <w:rPr>
            <w:noProof/>
            <w:webHidden/>
          </w:rPr>
          <w:fldChar w:fldCharType="separate"/>
        </w:r>
        <w:r>
          <w:rPr>
            <w:noProof/>
            <w:webHidden/>
          </w:rPr>
          <w:t>190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0" w:history="1">
        <w:r>
          <w:rPr>
            <w:rStyle w:val="Lienhypertexte"/>
            <w:noProof/>
            <w:color w:val="auto"/>
          </w:rPr>
          <w:t>Annexe 2.3.B. Demande de dérogation d’âge – Avis du CPMS</w:t>
        </w:r>
        <w:r>
          <w:rPr>
            <w:noProof/>
            <w:webHidden/>
          </w:rPr>
          <w:tab/>
        </w:r>
        <w:r>
          <w:rPr>
            <w:noProof/>
            <w:webHidden/>
          </w:rPr>
          <w:fldChar w:fldCharType="begin"/>
        </w:r>
        <w:r>
          <w:rPr>
            <w:noProof/>
            <w:webHidden/>
          </w:rPr>
          <w:instrText xml:space="preserve"> PAGEREF _Toc486241910 \h </w:instrText>
        </w:r>
        <w:r>
          <w:rPr>
            <w:noProof/>
            <w:webHidden/>
          </w:rPr>
        </w:r>
        <w:r>
          <w:rPr>
            <w:noProof/>
            <w:webHidden/>
          </w:rPr>
          <w:fldChar w:fldCharType="separate"/>
        </w:r>
        <w:r>
          <w:rPr>
            <w:noProof/>
            <w:webHidden/>
          </w:rPr>
          <w:t>191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1" w:history="1">
        <w:r>
          <w:rPr>
            <w:rStyle w:val="Lienhypertexte"/>
            <w:noProof/>
            <w:color w:val="auto"/>
          </w:rPr>
          <w:t>Annexe 2.3.C. Demande de dérogation d’âge – Déclaration des parents</w:t>
        </w:r>
        <w:r>
          <w:rPr>
            <w:noProof/>
            <w:webHidden/>
          </w:rPr>
          <w:tab/>
        </w:r>
        <w:r>
          <w:rPr>
            <w:noProof/>
            <w:webHidden/>
          </w:rPr>
          <w:fldChar w:fldCharType="begin"/>
        </w:r>
        <w:r>
          <w:rPr>
            <w:noProof/>
            <w:webHidden/>
          </w:rPr>
          <w:instrText xml:space="preserve"> PAGEREF _Toc486241911 \h </w:instrText>
        </w:r>
        <w:r>
          <w:rPr>
            <w:noProof/>
            <w:webHidden/>
          </w:rPr>
        </w:r>
        <w:r>
          <w:rPr>
            <w:noProof/>
            <w:webHidden/>
          </w:rPr>
          <w:fldChar w:fldCharType="separate"/>
        </w:r>
        <w:r>
          <w:rPr>
            <w:noProof/>
            <w:webHidden/>
          </w:rPr>
          <w:t>192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2" w:history="1">
        <w:r>
          <w:rPr>
            <w:rStyle w:val="Lienhypertexte"/>
            <w:noProof/>
            <w:color w:val="auto"/>
          </w:rPr>
          <w:t xml:space="preserve">Annexe 2.4.A. Demande d’autorisation de changement d’école ou d’implantation à comptage séparé en cours d’année scolaire ou en cours de cycle: FWB </w:t>
        </w:r>
        <w:r>
          <w:rPr>
            <w:rStyle w:val="Lienhypertexte"/>
            <w:noProof/>
            <w:color w:val="auto"/>
          </w:rPr>
          <w:sym w:font="Wingdings" w:char="F0E0"/>
        </w:r>
        <w:r>
          <w:rPr>
            <w:rStyle w:val="Lienhypertexte"/>
            <w:noProof/>
            <w:color w:val="auto"/>
          </w:rPr>
          <w:t xml:space="preserve"> FWB – Formule I</w:t>
        </w:r>
        <w:r>
          <w:rPr>
            <w:noProof/>
            <w:webHidden/>
          </w:rPr>
          <w:tab/>
        </w:r>
        <w:r>
          <w:rPr>
            <w:noProof/>
            <w:webHidden/>
          </w:rPr>
          <w:fldChar w:fldCharType="begin"/>
        </w:r>
        <w:r>
          <w:rPr>
            <w:noProof/>
            <w:webHidden/>
          </w:rPr>
          <w:instrText xml:space="preserve"> PAGEREF _Toc486241912 \h </w:instrText>
        </w:r>
        <w:r>
          <w:rPr>
            <w:noProof/>
            <w:webHidden/>
          </w:rPr>
        </w:r>
        <w:r>
          <w:rPr>
            <w:noProof/>
            <w:webHidden/>
          </w:rPr>
          <w:fldChar w:fldCharType="separate"/>
        </w:r>
        <w:r>
          <w:rPr>
            <w:noProof/>
            <w:webHidden/>
          </w:rPr>
          <w:t>194</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3" w:history="1">
        <w:r>
          <w:rPr>
            <w:rStyle w:val="Lienhypertexte"/>
            <w:noProof/>
            <w:color w:val="auto"/>
          </w:rPr>
          <w:t>Annexe 2.4.A. (2)</w:t>
        </w:r>
        <w:r>
          <w:rPr>
            <w:noProof/>
            <w:webHidden/>
          </w:rPr>
          <w:tab/>
        </w:r>
        <w:r>
          <w:rPr>
            <w:noProof/>
            <w:webHidden/>
          </w:rPr>
          <w:fldChar w:fldCharType="begin"/>
        </w:r>
        <w:r>
          <w:rPr>
            <w:noProof/>
            <w:webHidden/>
          </w:rPr>
          <w:instrText xml:space="preserve"> PAGEREF _Toc486241913 \h </w:instrText>
        </w:r>
        <w:r>
          <w:rPr>
            <w:noProof/>
            <w:webHidden/>
          </w:rPr>
        </w:r>
        <w:r>
          <w:rPr>
            <w:noProof/>
            <w:webHidden/>
          </w:rPr>
          <w:fldChar w:fldCharType="separate"/>
        </w:r>
        <w:r>
          <w:rPr>
            <w:noProof/>
            <w:webHidden/>
          </w:rPr>
          <w:t>195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4" w:history="1">
        <w:r>
          <w:rPr>
            <w:rStyle w:val="Lienhypertexte"/>
            <w:noProof/>
            <w:color w:val="auto"/>
          </w:rPr>
          <w:t xml:space="preserve">Annexe 2.4.B.  Demande d’autorisation de changement d’école ou d’implantation à comptage séparé en cours d’année scolaire ou en cours de cycle: FWB </w:t>
        </w:r>
        <w:r>
          <w:rPr>
            <w:rStyle w:val="Lienhypertexte"/>
            <w:noProof/>
            <w:color w:val="auto"/>
          </w:rPr>
          <w:sym w:font="Wingdings" w:char="F0E0"/>
        </w:r>
        <w:r>
          <w:rPr>
            <w:rStyle w:val="Lienhypertexte"/>
            <w:noProof/>
            <w:color w:val="auto"/>
          </w:rPr>
          <w:t xml:space="preserve"> FWB – Formule II</w:t>
        </w:r>
        <w:r>
          <w:rPr>
            <w:noProof/>
            <w:webHidden/>
          </w:rPr>
          <w:tab/>
        </w:r>
        <w:r>
          <w:rPr>
            <w:noProof/>
            <w:webHidden/>
          </w:rPr>
          <w:fldChar w:fldCharType="begin"/>
        </w:r>
        <w:r>
          <w:rPr>
            <w:noProof/>
            <w:webHidden/>
          </w:rPr>
          <w:instrText xml:space="preserve"> PAGEREF _Toc486241914 \h </w:instrText>
        </w:r>
        <w:r>
          <w:rPr>
            <w:noProof/>
            <w:webHidden/>
          </w:rPr>
        </w:r>
        <w:r>
          <w:rPr>
            <w:noProof/>
            <w:webHidden/>
          </w:rPr>
          <w:fldChar w:fldCharType="separate"/>
        </w:r>
        <w:r>
          <w:rPr>
            <w:noProof/>
            <w:webHidden/>
          </w:rPr>
          <w:t>196</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5" w:history="1">
        <w:r>
          <w:rPr>
            <w:rStyle w:val="Lienhypertexte"/>
            <w:noProof/>
            <w:color w:val="auto"/>
          </w:rPr>
          <w:t xml:space="preserve">Annexe 2.4.C. Demande d’autorisation de changement d’école ou d’implantation à comptage séparé en cours d’année scolaire ou en cours de cycle: FWB </w:t>
        </w:r>
        <w:r>
          <w:rPr>
            <w:rStyle w:val="Lienhypertexte"/>
            <w:noProof/>
            <w:color w:val="auto"/>
          </w:rPr>
          <w:sym w:font="Wingdings" w:char="F0E0"/>
        </w:r>
        <w:r>
          <w:rPr>
            <w:rStyle w:val="Lienhypertexte"/>
            <w:noProof/>
            <w:color w:val="auto"/>
          </w:rPr>
          <w:t xml:space="preserve"> FWB – Formule III</w:t>
        </w:r>
        <w:r>
          <w:rPr>
            <w:noProof/>
            <w:webHidden/>
          </w:rPr>
          <w:tab/>
        </w:r>
        <w:r>
          <w:rPr>
            <w:noProof/>
            <w:webHidden/>
          </w:rPr>
          <w:fldChar w:fldCharType="begin"/>
        </w:r>
        <w:r>
          <w:rPr>
            <w:noProof/>
            <w:webHidden/>
          </w:rPr>
          <w:instrText xml:space="preserve"> PAGEREF _Toc486241915 \h </w:instrText>
        </w:r>
        <w:r>
          <w:rPr>
            <w:noProof/>
            <w:webHidden/>
          </w:rPr>
        </w:r>
        <w:r>
          <w:rPr>
            <w:noProof/>
            <w:webHidden/>
          </w:rPr>
          <w:fldChar w:fldCharType="separate"/>
        </w:r>
        <w:r>
          <w:rPr>
            <w:noProof/>
            <w:webHidden/>
          </w:rPr>
          <w:t>197</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6" w:history="1">
        <w:r>
          <w:rPr>
            <w:rStyle w:val="Lienhypertexte"/>
            <w:noProof/>
            <w:color w:val="auto"/>
          </w:rPr>
          <w:t>Annexe 2.4.D. Demande d’autorisation de changement d’école ou d’implantation à comptage séparé en cours d’année scolaire ou en cours de cycle – Procès verbal d’audition – enseignement fondamental ordinaire</w:t>
        </w:r>
        <w:r>
          <w:rPr>
            <w:noProof/>
            <w:webHidden/>
          </w:rPr>
          <w:tab/>
        </w:r>
        <w:r>
          <w:rPr>
            <w:noProof/>
            <w:webHidden/>
          </w:rPr>
          <w:fldChar w:fldCharType="begin"/>
        </w:r>
        <w:r>
          <w:rPr>
            <w:noProof/>
            <w:webHidden/>
          </w:rPr>
          <w:instrText xml:space="preserve"> PAGEREF _Toc486241916 \h </w:instrText>
        </w:r>
        <w:r>
          <w:rPr>
            <w:noProof/>
            <w:webHidden/>
          </w:rPr>
        </w:r>
        <w:r>
          <w:rPr>
            <w:noProof/>
            <w:webHidden/>
          </w:rPr>
          <w:fldChar w:fldCharType="separate"/>
        </w:r>
        <w:r>
          <w:rPr>
            <w:noProof/>
            <w:webHidden/>
          </w:rPr>
          <w:t>198</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7" w:history="1">
        <w:r>
          <w:rPr>
            <w:rStyle w:val="Lienhypertexte"/>
            <w:noProof/>
            <w:color w:val="auto"/>
          </w:rPr>
          <w:t>Annexe 2.5.A. Coordonnées des Conseillers de l’Aide à la jeunesse</w:t>
        </w:r>
        <w:r>
          <w:rPr>
            <w:noProof/>
            <w:webHidden/>
          </w:rPr>
          <w:tab/>
        </w:r>
        <w:r>
          <w:rPr>
            <w:noProof/>
            <w:webHidden/>
          </w:rPr>
          <w:fldChar w:fldCharType="begin"/>
        </w:r>
        <w:r>
          <w:rPr>
            <w:noProof/>
            <w:webHidden/>
          </w:rPr>
          <w:instrText xml:space="preserve"> PAGEREF _Toc486241917 \h </w:instrText>
        </w:r>
        <w:r>
          <w:rPr>
            <w:noProof/>
            <w:webHidden/>
          </w:rPr>
        </w:r>
        <w:r>
          <w:rPr>
            <w:noProof/>
            <w:webHidden/>
          </w:rPr>
          <w:fldChar w:fldCharType="separate"/>
        </w:r>
        <w:r>
          <w:rPr>
            <w:noProof/>
            <w:webHidden/>
          </w:rPr>
          <w:t>199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8" w:history="1">
        <w:r>
          <w:rPr>
            <w:rStyle w:val="Lienhypertexte"/>
            <w:noProof/>
            <w:color w:val="auto"/>
          </w:rPr>
          <w:t>Annexe 2.5.B. Coordonnées des Services d'Accrochage scolaire</w:t>
        </w:r>
        <w:r>
          <w:rPr>
            <w:noProof/>
            <w:webHidden/>
          </w:rPr>
          <w:tab/>
        </w:r>
        <w:r>
          <w:rPr>
            <w:noProof/>
            <w:webHidden/>
          </w:rPr>
          <w:fldChar w:fldCharType="begin"/>
        </w:r>
        <w:r>
          <w:rPr>
            <w:noProof/>
            <w:webHidden/>
          </w:rPr>
          <w:instrText xml:space="preserve"> PAGEREF _Toc486241918 \h </w:instrText>
        </w:r>
        <w:r>
          <w:rPr>
            <w:noProof/>
            <w:webHidden/>
          </w:rPr>
        </w:r>
        <w:r>
          <w:rPr>
            <w:noProof/>
            <w:webHidden/>
          </w:rPr>
          <w:fldChar w:fldCharType="separate"/>
        </w:r>
        <w:r>
          <w:rPr>
            <w:noProof/>
            <w:webHidden/>
          </w:rPr>
          <w:t>200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19" w:history="1">
        <w:r>
          <w:rPr>
            <w:rStyle w:val="Lienhypertexte"/>
            <w:noProof/>
            <w:color w:val="auto"/>
          </w:rPr>
          <w:t>Annexe 2.5.C. Inscription d’un élève à l’issue d’une prise en charge en application des articles 31, 32 ou 33 du Décret sectoriel du 21/11/2013</w:t>
        </w:r>
        <w:r>
          <w:rPr>
            <w:noProof/>
            <w:webHidden/>
          </w:rPr>
          <w:tab/>
        </w:r>
        <w:r>
          <w:rPr>
            <w:noProof/>
            <w:webHidden/>
          </w:rPr>
          <w:fldChar w:fldCharType="begin"/>
        </w:r>
        <w:r>
          <w:rPr>
            <w:noProof/>
            <w:webHidden/>
          </w:rPr>
          <w:instrText xml:space="preserve"> PAGEREF _Toc486241919 \h </w:instrText>
        </w:r>
        <w:r>
          <w:rPr>
            <w:noProof/>
            <w:webHidden/>
          </w:rPr>
        </w:r>
        <w:r>
          <w:rPr>
            <w:noProof/>
            <w:webHidden/>
          </w:rPr>
          <w:fldChar w:fldCharType="separate"/>
        </w:r>
        <w:r>
          <w:rPr>
            <w:noProof/>
            <w:webHidden/>
          </w:rPr>
          <w:t>201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0" w:history="1">
        <w:r>
          <w:rPr>
            <w:rStyle w:val="Lienhypertexte"/>
            <w:noProof/>
            <w:color w:val="auto"/>
          </w:rPr>
          <w:t>Annexe 2.7. Modèle de base de protocole de collaboration avec les services de police</w:t>
        </w:r>
        <w:r>
          <w:rPr>
            <w:noProof/>
            <w:webHidden/>
          </w:rPr>
          <w:tab/>
        </w:r>
        <w:r>
          <w:rPr>
            <w:noProof/>
            <w:webHidden/>
          </w:rPr>
          <w:fldChar w:fldCharType="begin"/>
        </w:r>
        <w:r>
          <w:rPr>
            <w:noProof/>
            <w:webHidden/>
          </w:rPr>
          <w:instrText xml:space="preserve"> PAGEREF _Toc486241920 \h </w:instrText>
        </w:r>
        <w:r>
          <w:rPr>
            <w:noProof/>
            <w:webHidden/>
          </w:rPr>
        </w:r>
        <w:r>
          <w:rPr>
            <w:noProof/>
            <w:webHidden/>
          </w:rPr>
          <w:fldChar w:fldCharType="separate"/>
        </w:r>
        <w:r>
          <w:rPr>
            <w:noProof/>
            <w:webHidden/>
          </w:rPr>
          <w:t>202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1" w:history="1">
        <w:r>
          <w:rPr>
            <w:rStyle w:val="Lienhypertexte"/>
            <w:noProof/>
            <w:color w:val="auto"/>
          </w:rPr>
          <w:t>Annexe 2.9 Commission consultative de l’enseignement spécialisé</w:t>
        </w:r>
        <w:r>
          <w:rPr>
            <w:noProof/>
            <w:webHidden/>
          </w:rPr>
          <w:tab/>
        </w:r>
        <w:r>
          <w:rPr>
            <w:noProof/>
            <w:webHidden/>
          </w:rPr>
          <w:fldChar w:fldCharType="begin"/>
        </w:r>
        <w:r>
          <w:rPr>
            <w:noProof/>
            <w:webHidden/>
          </w:rPr>
          <w:instrText xml:space="preserve"> PAGEREF _Toc486241921 \h </w:instrText>
        </w:r>
        <w:r>
          <w:rPr>
            <w:noProof/>
            <w:webHidden/>
          </w:rPr>
        </w:r>
        <w:r>
          <w:rPr>
            <w:noProof/>
            <w:webHidden/>
          </w:rPr>
          <w:fldChar w:fldCharType="separate"/>
        </w:r>
        <w:r>
          <w:rPr>
            <w:noProof/>
            <w:webHidden/>
          </w:rPr>
          <w:t>203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2" w:history="1">
        <w:r>
          <w:rPr>
            <w:rStyle w:val="Lienhypertexte"/>
            <w:noProof/>
            <w:color w:val="auto"/>
          </w:rPr>
          <w:t>Annexe 3.1.A. Demande de reconnaissance de Bâtiment annexe: Enseignement  subventionné.</w:t>
        </w:r>
        <w:r>
          <w:rPr>
            <w:noProof/>
            <w:webHidden/>
          </w:rPr>
          <w:tab/>
        </w:r>
        <w:r>
          <w:rPr>
            <w:noProof/>
            <w:webHidden/>
          </w:rPr>
          <w:fldChar w:fldCharType="begin"/>
        </w:r>
        <w:r>
          <w:rPr>
            <w:noProof/>
            <w:webHidden/>
          </w:rPr>
          <w:instrText xml:space="preserve"> PAGEREF _Toc486241922 \h </w:instrText>
        </w:r>
        <w:r>
          <w:rPr>
            <w:noProof/>
            <w:webHidden/>
          </w:rPr>
        </w:r>
        <w:r>
          <w:rPr>
            <w:noProof/>
            <w:webHidden/>
          </w:rPr>
          <w:fldChar w:fldCharType="separate"/>
        </w:r>
        <w:r>
          <w:rPr>
            <w:noProof/>
            <w:webHidden/>
          </w:rPr>
          <w:t>204</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3" w:history="1">
        <w:r>
          <w:rPr>
            <w:rStyle w:val="Lienhypertexte"/>
            <w:noProof/>
            <w:color w:val="auto"/>
          </w:rPr>
          <w:t>Annexe 3.1.B. Demande de reconnaissance de Bâtiment annexe: Enseignement organisé par la FWB</w:t>
        </w:r>
        <w:r>
          <w:rPr>
            <w:noProof/>
            <w:webHidden/>
          </w:rPr>
          <w:tab/>
        </w:r>
        <w:r>
          <w:rPr>
            <w:noProof/>
            <w:webHidden/>
          </w:rPr>
          <w:fldChar w:fldCharType="begin"/>
        </w:r>
        <w:r>
          <w:rPr>
            <w:noProof/>
            <w:webHidden/>
          </w:rPr>
          <w:instrText xml:space="preserve"> PAGEREF _Toc486241923 \h </w:instrText>
        </w:r>
        <w:r>
          <w:rPr>
            <w:noProof/>
            <w:webHidden/>
          </w:rPr>
        </w:r>
        <w:r>
          <w:rPr>
            <w:noProof/>
            <w:webHidden/>
          </w:rPr>
          <w:fldChar w:fldCharType="separate"/>
        </w:r>
        <w:r>
          <w:rPr>
            <w:noProof/>
            <w:webHidden/>
          </w:rPr>
          <w:t>205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4" w:history="1">
        <w:r>
          <w:rPr>
            <w:rStyle w:val="Lienhypertexte"/>
            <w:noProof/>
            <w:color w:val="auto"/>
          </w:rPr>
          <w:t>Annexe 3.3.1. Récapitulatif annuel des dépassements – Taille des classes</w:t>
        </w:r>
        <w:r>
          <w:rPr>
            <w:noProof/>
            <w:webHidden/>
          </w:rPr>
          <w:tab/>
        </w:r>
        <w:r>
          <w:rPr>
            <w:noProof/>
            <w:webHidden/>
          </w:rPr>
          <w:fldChar w:fldCharType="begin"/>
        </w:r>
        <w:r>
          <w:rPr>
            <w:noProof/>
            <w:webHidden/>
          </w:rPr>
          <w:instrText xml:space="preserve"> PAGEREF _Toc486241924 \h </w:instrText>
        </w:r>
        <w:r>
          <w:rPr>
            <w:noProof/>
            <w:webHidden/>
          </w:rPr>
        </w:r>
        <w:r>
          <w:rPr>
            <w:noProof/>
            <w:webHidden/>
          </w:rPr>
          <w:fldChar w:fldCharType="separate"/>
        </w:r>
        <w:r>
          <w:rPr>
            <w:noProof/>
            <w:webHidden/>
          </w:rPr>
          <w:t>206</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5" w:history="1">
        <w:r>
          <w:rPr>
            <w:rStyle w:val="Lienhypertexte"/>
            <w:noProof/>
            <w:color w:val="auto"/>
          </w:rPr>
          <w:t>Annexe 3.3.2. Demande de dérogation relative à la taille des classes en raison d’une organisation pédagogique particulière</w:t>
        </w:r>
        <w:r>
          <w:rPr>
            <w:noProof/>
            <w:webHidden/>
          </w:rPr>
          <w:tab/>
        </w:r>
        <w:r>
          <w:rPr>
            <w:noProof/>
            <w:webHidden/>
          </w:rPr>
          <w:fldChar w:fldCharType="begin"/>
        </w:r>
        <w:r>
          <w:rPr>
            <w:noProof/>
            <w:webHidden/>
          </w:rPr>
          <w:instrText xml:space="preserve"> PAGEREF _Toc486241925 \h </w:instrText>
        </w:r>
        <w:r>
          <w:rPr>
            <w:noProof/>
            <w:webHidden/>
          </w:rPr>
        </w:r>
        <w:r>
          <w:rPr>
            <w:noProof/>
            <w:webHidden/>
          </w:rPr>
          <w:fldChar w:fldCharType="separate"/>
        </w:r>
        <w:r>
          <w:rPr>
            <w:noProof/>
            <w:webHidden/>
          </w:rPr>
          <w:t>208</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6" w:history="1">
        <w:r>
          <w:rPr>
            <w:rStyle w:val="Lienhypertexte"/>
            <w:noProof/>
            <w:color w:val="auto"/>
          </w:rPr>
          <w:t>Annexe 3.3.3. Demande d’obtention de périodes complémentaires</w:t>
        </w:r>
        <w:r>
          <w:rPr>
            <w:noProof/>
            <w:webHidden/>
          </w:rPr>
          <w:tab/>
        </w:r>
        <w:r>
          <w:rPr>
            <w:noProof/>
            <w:webHidden/>
          </w:rPr>
          <w:fldChar w:fldCharType="begin"/>
        </w:r>
        <w:r>
          <w:rPr>
            <w:noProof/>
            <w:webHidden/>
          </w:rPr>
          <w:instrText xml:space="preserve"> PAGEREF _Toc486241926 \h </w:instrText>
        </w:r>
        <w:r>
          <w:rPr>
            <w:noProof/>
            <w:webHidden/>
          </w:rPr>
        </w:r>
        <w:r>
          <w:rPr>
            <w:noProof/>
            <w:webHidden/>
          </w:rPr>
          <w:fldChar w:fldCharType="separate"/>
        </w:r>
        <w:r>
          <w:rPr>
            <w:noProof/>
            <w:webHidden/>
          </w:rPr>
          <w:t>210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7" w:history="1">
        <w:r>
          <w:rPr>
            <w:rStyle w:val="Lienhypertexte"/>
            <w:noProof/>
            <w:color w:val="auto"/>
          </w:rPr>
          <w:t>Annexe 3.4.2 Formule d’encadrement 2ter</w:t>
        </w:r>
        <w:r>
          <w:rPr>
            <w:noProof/>
            <w:webHidden/>
          </w:rPr>
          <w:tab/>
        </w:r>
        <w:r>
          <w:rPr>
            <w:noProof/>
            <w:webHidden/>
          </w:rPr>
          <w:fldChar w:fldCharType="begin"/>
        </w:r>
        <w:r>
          <w:rPr>
            <w:noProof/>
            <w:webHidden/>
          </w:rPr>
          <w:instrText xml:space="preserve"> PAGEREF _Toc486241927 \h </w:instrText>
        </w:r>
        <w:r>
          <w:rPr>
            <w:noProof/>
            <w:webHidden/>
          </w:rPr>
        </w:r>
        <w:r>
          <w:rPr>
            <w:noProof/>
            <w:webHidden/>
          </w:rPr>
          <w:fldChar w:fldCharType="separate"/>
        </w:r>
        <w:r>
          <w:rPr>
            <w:noProof/>
            <w:webHidden/>
          </w:rPr>
          <w:t>211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8" w:history="1">
        <w:r>
          <w:rPr>
            <w:rStyle w:val="Lienhypertexte"/>
            <w:noProof/>
            <w:color w:val="auto"/>
          </w:rPr>
          <w:t>Annexe 3.4.2 (2)</w:t>
        </w:r>
        <w:r>
          <w:rPr>
            <w:noProof/>
            <w:webHidden/>
          </w:rPr>
          <w:tab/>
        </w:r>
        <w:r>
          <w:rPr>
            <w:noProof/>
            <w:webHidden/>
          </w:rPr>
          <w:fldChar w:fldCharType="begin"/>
        </w:r>
        <w:r>
          <w:rPr>
            <w:noProof/>
            <w:webHidden/>
          </w:rPr>
          <w:instrText xml:space="preserve"> PAGEREF _Toc486241928 \h </w:instrText>
        </w:r>
        <w:r>
          <w:rPr>
            <w:noProof/>
            <w:webHidden/>
          </w:rPr>
        </w:r>
        <w:r>
          <w:rPr>
            <w:noProof/>
            <w:webHidden/>
          </w:rPr>
          <w:fldChar w:fldCharType="separate"/>
        </w:r>
        <w:r>
          <w:rPr>
            <w:noProof/>
            <w:webHidden/>
          </w:rPr>
          <w:t>212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29" w:history="1">
        <w:r>
          <w:rPr>
            <w:rStyle w:val="Lienhypertexte"/>
            <w:noProof/>
            <w:color w:val="auto"/>
          </w:rPr>
          <w:t>Annexe 3.4.3. Enseignement maternel - Demande d’augmentation de cadre au cours du mois de septembre dans les zones à tension démographique</w:t>
        </w:r>
        <w:r>
          <w:rPr>
            <w:noProof/>
            <w:webHidden/>
          </w:rPr>
          <w:tab/>
        </w:r>
        <w:r>
          <w:rPr>
            <w:noProof/>
            <w:webHidden/>
          </w:rPr>
          <w:fldChar w:fldCharType="begin"/>
        </w:r>
        <w:r>
          <w:rPr>
            <w:noProof/>
            <w:webHidden/>
          </w:rPr>
          <w:instrText xml:space="preserve"> PAGEREF _Toc486241929 \h </w:instrText>
        </w:r>
        <w:r>
          <w:rPr>
            <w:noProof/>
            <w:webHidden/>
          </w:rPr>
        </w:r>
        <w:r>
          <w:rPr>
            <w:noProof/>
            <w:webHidden/>
          </w:rPr>
          <w:fldChar w:fldCharType="separate"/>
        </w:r>
        <w:r>
          <w:rPr>
            <w:noProof/>
            <w:webHidden/>
          </w:rPr>
          <w:t>213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0" w:history="1">
        <w:r>
          <w:rPr>
            <w:rStyle w:val="Lienhypertexte"/>
            <w:noProof/>
            <w:color w:val="auto"/>
          </w:rPr>
          <w:t>Annexe 3.4.4. Enseignement primaire – Demande d’encadrement complémentaire au 1</w:t>
        </w:r>
        <w:r>
          <w:rPr>
            <w:rStyle w:val="Lienhypertexte"/>
            <w:noProof/>
            <w:color w:val="auto"/>
            <w:vertAlign w:val="superscript"/>
          </w:rPr>
          <w:t>er</w:t>
        </w:r>
        <w:r>
          <w:rPr>
            <w:rStyle w:val="Lienhypertexte"/>
            <w:noProof/>
            <w:color w:val="auto"/>
          </w:rPr>
          <w:t xml:space="preserve"> septembre 2017 (26 périodes par classe primaire supplémentaire)</w:t>
        </w:r>
        <w:r>
          <w:rPr>
            <w:noProof/>
            <w:webHidden/>
          </w:rPr>
          <w:tab/>
        </w:r>
        <w:r>
          <w:rPr>
            <w:noProof/>
            <w:webHidden/>
          </w:rPr>
          <w:fldChar w:fldCharType="begin"/>
        </w:r>
        <w:r>
          <w:rPr>
            <w:noProof/>
            <w:webHidden/>
          </w:rPr>
          <w:instrText xml:space="preserve"> PAGEREF _Toc486241930 \h </w:instrText>
        </w:r>
        <w:r>
          <w:rPr>
            <w:noProof/>
            <w:webHidden/>
          </w:rPr>
        </w:r>
        <w:r>
          <w:rPr>
            <w:noProof/>
            <w:webHidden/>
          </w:rPr>
          <w:fldChar w:fldCharType="separate"/>
        </w:r>
        <w:r>
          <w:rPr>
            <w:noProof/>
            <w:webHidden/>
          </w:rPr>
          <w:t>214</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1" w:history="1">
        <w:r>
          <w:rPr>
            <w:rStyle w:val="Lienhypertexte"/>
            <w:noProof/>
            <w:color w:val="auto"/>
          </w:rPr>
          <w:t>Annexe 3.4.5. -</w:t>
        </w:r>
        <w:r>
          <w:rPr>
            <w:rStyle w:val="Lienhypertexte"/>
            <w:rFonts w:ascii="Georgia" w:hAnsi="Georgia"/>
            <w:noProof/>
            <w:color w:val="auto"/>
          </w:rPr>
          <w:t xml:space="preserve"> </w:t>
        </w:r>
        <w:r>
          <w:rPr>
            <w:rStyle w:val="Lienhypertexte"/>
            <w:noProof/>
            <w:color w:val="auto"/>
          </w:rPr>
          <w:t>Liste des communes à tension démographique</w:t>
        </w:r>
        <w:r>
          <w:rPr>
            <w:noProof/>
            <w:webHidden/>
          </w:rPr>
          <w:tab/>
        </w:r>
        <w:r>
          <w:rPr>
            <w:noProof/>
            <w:webHidden/>
          </w:rPr>
          <w:fldChar w:fldCharType="begin"/>
        </w:r>
        <w:r>
          <w:rPr>
            <w:noProof/>
            <w:webHidden/>
          </w:rPr>
          <w:instrText xml:space="preserve"> PAGEREF _Toc486241931 \h </w:instrText>
        </w:r>
        <w:r>
          <w:rPr>
            <w:noProof/>
            <w:webHidden/>
          </w:rPr>
        </w:r>
        <w:r>
          <w:rPr>
            <w:noProof/>
            <w:webHidden/>
          </w:rPr>
          <w:fldChar w:fldCharType="separate"/>
        </w:r>
        <w:r>
          <w:rPr>
            <w:noProof/>
            <w:webHidden/>
          </w:rPr>
          <w:t>215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2" w:history="1">
        <w:r>
          <w:rPr>
            <w:rStyle w:val="Lienhypertexte"/>
            <w:noProof/>
            <w:color w:val="auto"/>
          </w:rPr>
          <w:t>Annexe 3.4.6. Demande de périodes supplémentaires nécessaires au maintien de l’emploi d’un maître de psychomotricité nommé à titre définitif au 01/10/2017</w:t>
        </w:r>
        <w:r>
          <w:rPr>
            <w:noProof/>
            <w:webHidden/>
          </w:rPr>
          <w:tab/>
        </w:r>
        <w:r>
          <w:rPr>
            <w:noProof/>
            <w:webHidden/>
          </w:rPr>
          <w:fldChar w:fldCharType="begin"/>
        </w:r>
        <w:r>
          <w:rPr>
            <w:noProof/>
            <w:webHidden/>
          </w:rPr>
          <w:instrText xml:space="preserve"> PAGEREF _Toc486241932 \h </w:instrText>
        </w:r>
        <w:r>
          <w:rPr>
            <w:noProof/>
            <w:webHidden/>
          </w:rPr>
        </w:r>
        <w:r>
          <w:rPr>
            <w:noProof/>
            <w:webHidden/>
          </w:rPr>
          <w:fldChar w:fldCharType="separate"/>
        </w:r>
        <w:r>
          <w:rPr>
            <w:noProof/>
            <w:webHidden/>
          </w:rPr>
          <w:t>216</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3" w:history="1">
        <w:r>
          <w:rPr>
            <w:rStyle w:val="Lienhypertexte"/>
            <w:noProof/>
            <w:color w:val="auto"/>
          </w:rPr>
          <w:t>Annexe 4.4.A. Immersion - Enseignement organisé par la Fédération Wallonie-Bruxelles</w:t>
        </w:r>
        <w:r>
          <w:rPr>
            <w:noProof/>
            <w:webHidden/>
          </w:rPr>
          <w:tab/>
        </w:r>
        <w:r>
          <w:rPr>
            <w:noProof/>
            <w:webHidden/>
          </w:rPr>
          <w:fldChar w:fldCharType="begin"/>
        </w:r>
        <w:r>
          <w:rPr>
            <w:noProof/>
            <w:webHidden/>
          </w:rPr>
          <w:instrText xml:space="preserve"> PAGEREF _Toc486241933 \h </w:instrText>
        </w:r>
        <w:r>
          <w:rPr>
            <w:noProof/>
            <w:webHidden/>
          </w:rPr>
        </w:r>
        <w:r>
          <w:rPr>
            <w:noProof/>
            <w:webHidden/>
          </w:rPr>
          <w:fldChar w:fldCharType="separate"/>
        </w:r>
        <w:r>
          <w:rPr>
            <w:noProof/>
            <w:webHidden/>
          </w:rPr>
          <w:t>218</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4" w:history="1">
        <w:r>
          <w:rPr>
            <w:rStyle w:val="Lienhypertexte"/>
            <w:noProof/>
            <w:color w:val="auto"/>
          </w:rPr>
          <w:t>Annexe 4.4.B.</w:t>
        </w:r>
        <w:r>
          <w:rPr>
            <w:rStyle w:val="Lienhypertexte"/>
            <w:iCs/>
            <w:noProof/>
            <w:color w:val="auto"/>
          </w:rPr>
          <w:t xml:space="preserve">  Immersion - </w:t>
        </w:r>
        <w:r>
          <w:rPr>
            <w:rStyle w:val="Lienhypertexte"/>
            <w:noProof/>
            <w:color w:val="auto"/>
          </w:rPr>
          <w:t>Enseignement subventionné par la Fédération Wallonie-Bruxelles</w:t>
        </w:r>
        <w:r>
          <w:rPr>
            <w:noProof/>
            <w:webHidden/>
          </w:rPr>
          <w:tab/>
        </w:r>
        <w:r>
          <w:rPr>
            <w:noProof/>
            <w:webHidden/>
          </w:rPr>
          <w:fldChar w:fldCharType="begin"/>
        </w:r>
        <w:r>
          <w:rPr>
            <w:noProof/>
            <w:webHidden/>
          </w:rPr>
          <w:instrText xml:space="preserve"> PAGEREF _Toc486241934 \h </w:instrText>
        </w:r>
        <w:r>
          <w:rPr>
            <w:noProof/>
            <w:webHidden/>
          </w:rPr>
        </w:r>
        <w:r>
          <w:rPr>
            <w:noProof/>
            <w:webHidden/>
          </w:rPr>
          <w:fldChar w:fldCharType="separate"/>
        </w:r>
        <w:r>
          <w:rPr>
            <w:noProof/>
            <w:webHidden/>
          </w:rPr>
          <w:t>219</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5" w:history="1">
        <w:r>
          <w:rPr>
            <w:rStyle w:val="Lienhypertexte"/>
            <w:noProof/>
            <w:color w:val="auto"/>
          </w:rPr>
          <w:t>Annexe 4.4.C. Attestation médicale – Classes bilingues Français - Langue des signes</w:t>
        </w:r>
        <w:r>
          <w:rPr>
            <w:noProof/>
            <w:webHidden/>
          </w:rPr>
          <w:tab/>
        </w:r>
        <w:r>
          <w:rPr>
            <w:noProof/>
            <w:webHidden/>
          </w:rPr>
          <w:fldChar w:fldCharType="begin"/>
        </w:r>
        <w:r>
          <w:rPr>
            <w:noProof/>
            <w:webHidden/>
          </w:rPr>
          <w:instrText xml:space="preserve"> PAGEREF _Toc486241935 \h </w:instrText>
        </w:r>
        <w:r>
          <w:rPr>
            <w:noProof/>
            <w:webHidden/>
          </w:rPr>
        </w:r>
        <w:r>
          <w:rPr>
            <w:noProof/>
            <w:webHidden/>
          </w:rPr>
          <w:fldChar w:fldCharType="separate"/>
        </w:r>
        <w:r>
          <w:rPr>
            <w:noProof/>
            <w:webHidden/>
          </w:rPr>
          <w:t>220</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6" w:history="1">
        <w:r>
          <w:rPr>
            <w:rStyle w:val="Lienhypertexte"/>
            <w:noProof/>
            <w:color w:val="auto"/>
          </w:rPr>
          <w:t>Annexe 4.4.D. Attestation d’inscription - Classes bilingues Français - Langue des signes</w:t>
        </w:r>
        <w:r>
          <w:rPr>
            <w:noProof/>
            <w:webHidden/>
          </w:rPr>
          <w:tab/>
        </w:r>
        <w:r>
          <w:rPr>
            <w:noProof/>
            <w:webHidden/>
          </w:rPr>
          <w:fldChar w:fldCharType="begin"/>
        </w:r>
        <w:r>
          <w:rPr>
            <w:noProof/>
            <w:webHidden/>
          </w:rPr>
          <w:instrText xml:space="preserve"> PAGEREF _Toc486241936 \h </w:instrText>
        </w:r>
        <w:r>
          <w:rPr>
            <w:noProof/>
            <w:webHidden/>
          </w:rPr>
        </w:r>
        <w:r>
          <w:rPr>
            <w:noProof/>
            <w:webHidden/>
          </w:rPr>
          <w:fldChar w:fldCharType="separate"/>
        </w:r>
        <w:r>
          <w:rPr>
            <w:noProof/>
            <w:webHidden/>
          </w:rPr>
          <w:t>221</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7" w:history="1">
        <w:r>
          <w:rPr>
            <w:rStyle w:val="Lienhypertexte"/>
            <w:noProof/>
            <w:color w:val="auto"/>
          </w:rPr>
          <w:t>Annexe 6.2.A. Attestation de placement</w:t>
        </w:r>
        <w:r>
          <w:rPr>
            <w:noProof/>
            <w:webHidden/>
          </w:rPr>
          <w:tab/>
        </w:r>
        <w:r>
          <w:rPr>
            <w:noProof/>
            <w:webHidden/>
          </w:rPr>
          <w:fldChar w:fldCharType="begin"/>
        </w:r>
        <w:r>
          <w:rPr>
            <w:noProof/>
            <w:webHidden/>
          </w:rPr>
          <w:instrText xml:space="preserve"> PAGEREF _Toc486241937 \h </w:instrText>
        </w:r>
        <w:r>
          <w:rPr>
            <w:noProof/>
            <w:webHidden/>
          </w:rPr>
        </w:r>
        <w:r>
          <w:rPr>
            <w:noProof/>
            <w:webHidden/>
          </w:rPr>
          <w:fldChar w:fldCharType="separate"/>
        </w:r>
        <w:r>
          <w:rPr>
            <w:noProof/>
            <w:webHidden/>
          </w:rPr>
          <w:t>222</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8" w:history="1">
        <w:r>
          <w:rPr>
            <w:rStyle w:val="Lienhypertexte"/>
            <w:noProof/>
            <w:color w:val="auto"/>
          </w:rPr>
          <w:t>Annexe 6.2.B. Attestation délivrée par le conseiller ou le directeur de l’Aide à la Jeunesse</w:t>
        </w:r>
        <w:r>
          <w:rPr>
            <w:noProof/>
            <w:webHidden/>
          </w:rPr>
          <w:tab/>
        </w:r>
        <w:r>
          <w:rPr>
            <w:noProof/>
            <w:webHidden/>
          </w:rPr>
          <w:fldChar w:fldCharType="begin"/>
        </w:r>
        <w:r>
          <w:rPr>
            <w:noProof/>
            <w:webHidden/>
          </w:rPr>
          <w:instrText xml:space="preserve"> PAGEREF _Toc486241938 \h </w:instrText>
        </w:r>
        <w:r>
          <w:rPr>
            <w:noProof/>
            <w:webHidden/>
          </w:rPr>
        </w:r>
        <w:r>
          <w:rPr>
            <w:noProof/>
            <w:webHidden/>
          </w:rPr>
          <w:fldChar w:fldCharType="separate"/>
        </w:r>
        <w:r>
          <w:rPr>
            <w:noProof/>
            <w:webHidden/>
          </w:rPr>
          <w:t>223</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39" w:history="1">
        <w:r>
          <w:rPr>
            <w:rStyle w:val="Lienhypertexte"/>
            <w:noProof/>
            <w:color w:val="auto"/>
          </w:rPr>
          <w:t>Annexe 6.2.C. Attestation du directeur d’un internat pour enfants dont les parents n’ont pas de résidence fixe</w:t>
        </w:r>
        <w:r>
          <w:rPr>
            <w:noProof/>
            <w:webHidden/>
          </w:rPr>
          <w:tab/>
        </w:r>
        <w:r>
          <w:rPr>
            <w:noProof/>
            <w:webHidden/>
          </w:rPr>
          <w:fldChar w:fldCharType="begin"/>
        </w:r>
        <w:r>
          <w:rPr>
            <w:noProof/>
            <w:webHidden/>
          </w:rPr>
          <w:instrText xml:space="preserve"> PAGEREF _Toc486241939 \h </w:instrText>
        </w:r>
        <w:r>
          <w:rPr>
            <w:noProof/>
            <w:webHidden/>
          </w:rPr>
        </w:r>
        <w:r>
          <w:rPr>
            <w:noProof/>
            <w:webHidden/>
          </w:rPr>
          <w:fldChar w:fldCharType="separate"/>
        </w:r>
        <w:r>
          <w:rPr>
            <w:noProof/>
            <w:webHidden/>
          </w:rPr>
          <w:t>224</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40" w:history="1">
        <w:r>
          <w:rPr>
            <w:rStyle w:val="Lienhypertexte"/>
            <w:noProof/>
            <w:color w:val="auto"/>
          </w:rPr>
          <w:t>Annexe 6.2.D. Attestation du directeur d’un service d’accueil spécialisé</w:t>
        </w:r>
        <w:r>
          <w:rPr>
            <w:noProof/>
            <w:webHidden/>
          </w:rPr>
          <w:tab/>
        </w:r>
        <w:r>
          <w:rPr>
            <w:noProof/>
            <w:webHidden/>
          </w:rPr>
          <w:fldChar w:fldCharType="begin"/>
        </w:r>
        <w:r>
          <w:rPr>
            <w:noProof/>
            <w:webHidden/>
          </w:rPr>
          <w:instrText xml:space="preserve"> PAGEREF _Toc486241940 \h </w:instrText>
        </w:r>
        <w:r>
          <w:rPr>
            <w:noProof/>
            <w:webHidden/>
          </w:rPr>
        </w:r>
        <w:r>
          <w:rPr>
            <w:noProof/>
            <w:webHidden/>
          </w:rPr>
          <w:fldChar w:fldCharType="separate"/>
        </w:r>
        <w:r>
          <w:rPr>
            <w:noProof/>
            <w:webHidden/>
          </w:rPr>
          <w:t>225</w:t>
        </w:r>
        <w:r>
          <w:rPr>
            <w:noProof/>
            <w:webHidden/>
          </w:rPr>
          <w:fldChar w:fldCharType="end"/>
        </w:r>
      </w:hyperlink>
    </w:p>
    <w:p>
      <w:pPr>
        <w:pStyle w:val="TM5"/>
        <w:rPr>
          <w:rFonts w:asciiTheme="minorHAnsi" w:eastAsiaTheme="minorEastAsia" w:hAnsiTheme="minorHAnsi" w:cstheme="minorBidi"/>
          <w:noProof/>
          <w:sz w:val="22"/>
          <w:szCs w:val="22"/>
          <w:lang w:val="fr-BE" w:eastAsia="fr-BE"/>
        </w:rPr>
      </w:pPr>
      <w:hyperlink w:anchor="_Toc486241941" w:history="1">
        <w:r>
          <w:rPr>
            <w:rStyle w:val="Lienhypertexte"/>
            <w:noProof/>
            <w:color w:val="auto"/>
          </w:rPr>
          <w:t>Annexe 9. Convention de prise en charge spécialisée durant le temps scolaire, hors de l’établissement scolaire</w:t>
        </w:r>
        <w:r>
          <w:rPr>
            <w:noProof/>
            <w:webHidden/>
          </w:rPr>
          <w:tab/>
        </w:r>
        <w:r>
          <w:rPr>
            <w:noProof/>
            <w:webHidden/>
          </w:rPr>
          <w:fldChar w:fldCharType="begin"/>
        </w:r>
        <w:r>
          <w:rPr>
            <w:noProof/>
            <w:webHidden/>
          </w:rPr>
          <w:instrText xml:space="preserve"> PAGEREF _Toc486241941 \h </w:instrText>
        </w:r>
        <w:r>
          <w:rPr>
            <w:noProof/>
            <w:webHidden/>
          </w:rPr>
        </w:r>
        <w:r>
          <w:rPr>
            <w:noProof/>
            <w:webHidden/>
          </w:rPr>
          <w:fldChar w:fldCharType="separate"/>
        </w:r>
        <w:r>
          <w:rPr>
            <w:noProof/>
            <w:webHidden/>
          </w:rPr>
          <w:t>226</w:t>
        </w:r>
        <w:r>
          <w:rPr>
            <w:noProof/>
            <w:webHidden/>
          </w:rPr>
          <w:fldChar w:fldCharType="end"/>
        </w:r>
      </w:hyperlink>
    </w:p>
    <w:p>
      <w:pPr>
        <w:jc w:val="center"/>
        <w:rPr>
          <w:rFonts w:cs="Arial"/>
          <w:b/>
          <w:sz w:val="28"/>
          <w:u w:val="single"/>
        </w:rPr>
      </w:pPr>
      <w:r>
        <w:rPr>
          <w:rFonts w:cs="Arial"/>
          <w:b/>
          <w:sz w:val="28"/>
          <w:u w:val="single"/>
        </w:rPr>
        <w:fldChar w:fldCharType="end"/>
      </w:r>
    </w:p>
    <w:p>
      <w:pPr>
        <w:jc w:val="center"/>
        <w:rPr>
          <w:b/>
          <w:sz w:val="4"/>
          <w:u w:val="single"/>
        </w:rPr>
      </w:pPr>
    </w:p>
    <w:p>
      <w:pPr>
        <w:pStyle w:val="Titre2"/>
      </w:pPr>
      <w:bookmarkStart w:id="11" w:name="_Contacts_utiles_"/>
      <w:bookmarkStart w:id="12" w:name="_Toc295913855"/>
      <w:bookmarkStart w:id="13" w:name="_Toc295992212"/>
      <w:bookmarkEnd w:id="11"/>
      <w:r>
        <w:br w:type="page"/>
      </w:r>
      <w:bookmarkStart w:id="14" w:name="contacts_utiles"/>
      <w:bookmarkStart w:id="15" w:name="_Toc423419935"/>
      <w:bookmarkStart w:id="16" w:name="_Toc450645142"/>
      <w:bookmarkStart w:id="17" w:name="_Toc453942378"/>
      <w:bookmarkStart w:id="18" w:name="_Toc454887995"/>
      <w:bookmarkStart w:id="19" w:name="_Toc486241659"/>
      <w:bookmarkStart w:id="20" w:name="_Toc295931927"/>
      <w:bookmarkStart w:id="21" w:name="_Toc91294806"/>
      <w:bookmarkEnd w:id="0"/>
      <w:bookmarkEnd w:id="1"/>
      <w:bookmarkEnd w:id="12"/>
      <w:bookmarkEnd w:id="13"/>
      <w:r>
        <w:t>Contacts utiles</w:t>
      </w:r>
      <w:bookmarkEnd w:id="14"/>
      <w:bookmarkEnd w:id="15"/>
      <w:bookmarkEnd w:id="16"/>
      <w:bookmarkEnd w:id="17"/>
      <w:bookmarkEnd w:id="18"/>
      <w:bookmarkEnd w:id="19"/>
    </w:p>
    <w:p>
      <w:pPr>
        <w:spacing w:after="80"/>
        <w:rPr>
          <w:sz w:val="24"/>
        </w:rPr>
      </w:pPr>
      <w:bookmarkStart w:id="22" w:name="_Définitions_préalables"/>
      <w:bookmarkEnd w:id="22"/>
    </w:p>
    <w:p>
      <w:pPr>
        <w:spacing w:after="80"/>
        <w:rPr>
          <w:b/>
          <w:sz w:val="24"/>
          <w:u w:val="single"/>
        </w:rPr>
      </w:pPr>
      <w:r>
        <w:rPr>
          <w:b/>
          <w:sz w:val="24"/>
          <w:u w:val="single"/>
        </w:rPr>
        <w:t>Secrétariat de Madame Lise-Anne HANSE, Directrice générale</w:t>
      </w:r>
    </w:p>
    <w:p>
      <w:pPr>
        <w:rPr>
          <w:sz w:val="24"/>
        </w:rPr>
      </w:pPr>
      <w:r>
        <w:rPr>
          <w:sz w:val="24"/>
        </w:rPr>
        <w:tab/>
      </w:r>
      <w:r>
        <w:rPr>
          <w:sz w:val="24"/>
        </w:rPr>
        <w:tab/>
        <w:t>02/690.83.00</w:t>
      </w:r>
      <w:r>
        <w:rPr>
          <w:sz w:val="24"/>
        </w:rPr>
        <w:tab/>
      </w:r>
      <w:r>
        <w:rPr>
          <w:sz w:val="24"/>
        </w:rPr>
        <w:tab/>
        <w:t>Fax : 02/690.85.83</w:t>
      </w:r>
    </w:p>
    <w:p>
      <w:pPr>
        <w:rPr>
          <w:sz w:val="24"/>
        </w:rPr>
      </w:pPr>
    </w:p>
    <w:p>
      <w:pPr>
        <w:rPr>
          <w:sz w:val="24"/>
        </w:rPr>
      </w:pPr>
    </w:p>
    <w:p>
      <w:pPr>
        <w:spacing w:after="80"/>
        <w:rPr>
          <w:b/>
          <w:sz w:val="24"/>
          <w:u w:val="single"/>
        </w:rPr>
      </w:pPr>
      <w:r>
        <w:rPr>
          <w:b/>
          <w:sz w:val="24"/>
          <w:u w:val="single"/>
        </w:rPr>
        <w:t>Secrétariat de Monsieur ERCOLINI, Directeur général adjoint</w:t>
      </w:r>
    </w:p>
    <w:p>
      <w:pPr>
        <w:rPr>
          <w:sz w:val="24"/>
        </w:rPr>
      </w:pPr>
      <w:r>
        <w:rPr>
          <w:sz w:val="24"/>
        </w:rPr>
        <w:tab/>
      </w:r>
      <w:r>
        <w:rPr>
          <w:sz w:val="24"/>
        </w:rPr>
        <w:tab/>
        <w:t>02/690.83.93</w:t>
      </w:r>
      <w:r>
        <w:rPr>
          <w:sz w:val="24"/>
        </w:rPr>
        <w:tab/>
      </w:r>
      <w:r>
        <w:rPr>
          <w:sz w:val="24"/>
        </w:rPr>
        <w:tab/>
        <w:t>Fax : 02/690.85.77</w:t>
      </w:r>
    </w:p>
    <w:p>
      <w:pPr>
        <w:rPr>
          <w:sz w:val="24"/>
        </w:rPr>
      </w:pPr>
    </w:p>
    <w:p>
      <w:pPr>
        <w:rPr>
          <w:sz w:val="24"/>
        </w:rPr>
      </w:pPr>
    </w:p>
    <w:p>
      <w:pPr>
        <w:spacing w:after="80"/>
        <w:rPr>
          <w:b/>
          <w:sz w:val="24"/>
          <w:u w:val="single"/>
        </w:rPr>
      </w:pPr>
      <w:r>
        <w:rPr>
          <w:b/>
          <w:sz w:val="24"/>
          <w:u w:val="single"/>
        </w:rPr>
        <w:t xml:space="preserve">Secrétariat de </w:t>
      </w:r>
      <w:smartTag w:uri="urn:schemas-microsoft-com:office:smarttags" w:element="PersonName">
        <w:smartTagPr>
          <w:attr w:name="ProductID" w:val="la Direction"/>
        </w:smartTagPr>
        <w:r>
          <w:rPr>
            <w:b/>
            <w:sz w:val="24"/>
            <w:u w:val="single"/>
          </w:rPr>
          <w:t>la Direction</w:t>
        </w:r>
      </w:smartTag>
      <w:r>
        <w:rPr>
          <w:b/>
          <w:sz w:val="24"/>
          <w:u w:val="single"/>
        </w:rPr>
        <w:t xml:space="preserve"> de l'organisation des établissements d'Enseignement fondamental ordinaire</w:t>
      </w:r>
    </w:p>
    <w:p>
      <w:pPr>
        <w:ind w:right="-288"/>
        <w:rPr>
          <w:sz w:val="24"/>
        </w:rPr>
      </w:pPr>
      <w:r>
        <w:rPr>
          <w:sz w:val="24"/>
          <w:u w:val="single"/>
        </w:rPr>
        <w:t>Adresse</w:t>
      </w:r>
      <w:r>
        <w:rPr>
          <w:sz w:val="24"/>
        </w:rPr>
        <w:t>: Rue Adolphe Lavallée 1  à  1080 BRUXELLES,  2</w:t>
      </w:r>
      <w:r>
        <w:rPr>
          <w:sz w:val="24"/>
          <w:vertAlign w:val="superscript"/>
        </w:rPr>
        <w:t>ème</w:t>
      </w:r>
      <w:r>
        <w:rPr>
          <w:sz w:val="24"/>
        </w:rPr>
        <w:t xml:space="preserve"> étage - Bureau </w:t>
      </w:r>
      <w:smartTag w:uri="urn:schemas-microsoft-com:office:smarttags" w:element="metricconverter">
        <w:smartTagPr>
          <w:attr w:name="ProductID" w:val="2.F"/>
        </w:smartTagPr>
        <w:r>
          <w:rPr>
            <w:sz w:val="24"/>
          </w:rPr>
          <w:t>2.F</w:t>
        </w:r>
      </w:smartTag>
      <w:r>
        <w:rPr>
          <w:sz w:val="24"/>
        </w:rPr>
        <w:t xml:space="preserve">.211  </w:t>
      </w:r>
    </w:p>
    <w:p>
      <w:pPr>
        <w:pStyle w:val="Textedebulles"/>
        <w:rPr>
          <w:rFonts w:ascii="Arial" w:hAnsi="Arial"/>
          <w:sz w:val="12"/>
          <w:szCs w:val="12"/>
        </w:rPr>
      </w:pPr>
    </w:p>
    <w:p>
      <w:pPr>
        <w:rPr>
          <w:strike/>
          <w:sz w:val="24"/>
        </w:rPr>
      </w:pPr>
      <w:r>
        <w:rPr>
          <w:sz w:val="24"/>
        </w:rPr>
        <w:tab/>
      </w:r>
      <w:r>
        <w:rPr>
          <w:sz w:val="24"/>
        </w:rPr>
        <w:tab/>
        <w:t>02/690.83.01</w:t>
      </w:r>
      <w:r>
        <w:rPr>
          <w:sz w:val="24"/>
        </w:rPr>
        <w:tab/>
      </w:r>
      <w:r>
        <w:rPr>
          <w:sz w:val="24"/>
        </w:rPr>
        <w:tab/>
      </w:r>
      <w:r>
        <w:rPr>
          <w:sz w:val="24"/>
        </w:rPr>
        <w:tab/>
      </w:r>
    </w:p>
    <w:p>
      <w:pPr>
        <w:rPr>
          <w:sz w:val="24"/>
        </w:rPr>
      </w:pPr>
      <w:r>
        <w:rPr>
          <w:sz w:val="24"/>
        </w:rPr>
        <w:tab/>
      </w:r>
      <w:r>
        <w:rPr>
          <w:sz w:val="24"/>
        </w:rPr>
        <w:tab/>
        <w:t>secretariat.fondamental@cfwb.be</w:t>
      </w:r>
    </w:p>
    <w:p>
      <w:pPr>
        <w:rPr>
          <w:sz w:val="16"/>
          <w:szCs w:val="16"/>
        </w:rPr>
      </w:pPr>
    </w:p>
    <w:p>
      <w:pPr>
        <w:rPr>
          <w:sz w:val="16"/>
          <w:szCs w:val="16"/>
        </w:rPr>
      </w:pPr>
    </w:p>
    <w:p>
      <w:pPr>
        <w:spacing w:after="80"/>
        <w:rPr>
          <w:sz w:val="24"/>
          <w:lang w:val="fr-BE"/>
        </w:rPr>
      </w:pPr>
      <w:r>
        <w:rPr>
          <w:b/>
          <w:sz w:val="24"/>
          <w:u w:val="single"/>
        </w:rPr>
        <w:t xml:space="preserve">Service du Médiateur de </w:t>
      </w:r>
      <w:smartTag w:uri="urn:schemas-microsoft-com:office:smarttags" w:element="PersonName">
        <w:smartTagPr>
          <w:attr w:name="ProductID" w:val="la Wallonie"/>
        </w:smartTagPr>
        <w:r>
          <w:rPr>
            <w:b/>
            <w:sz w:val="24"/>
            <w:u w:val="single"/>
          </w:rPr>
          <w:t>la Wallonie</w:t>
        </w:r>
      </w:smartTag>
      <w:r>
        <w:rPr>
          <w:b/>
          <w:sz w:val="24"/>
          <w:u w:val="single"/>
        </w:rPr>
        <w:t xml:space="preserve"> et de </w:t>
      </w:r>
      <w:smartTag w:uri="urn:schemas-microsoft-com:office:smarttags" w:element="PersonName">
        <w:smartTagPr>
          <w:attr w:name="ProductID" w:val="la F￩d￩ration Wallonie-Bruxelles"/>
        </w:smartTagPr>
        <w:r>
          <w:rPr>
            <w:b/>
            <w:sz w:val="24"/>
            <w:u w:val="single"/>
          </w:rPr>
          <w:t>la Fédération Wallonie-Bruxelles</w:t>
        </w:r>
      </w:smartTag>
      <w:r>
        <w:rPr>
          <w:sz w:val="24"/>
          <w:lang w:val="fr-BE"/>
        </w:rPr>
        <w:t xml:space="preserve"> </w:t>
      </w:r>
    </w:p>
    <w:p>
      <w:pPr>
        <w:rPr>
          <w:sz w:val="24"/>
          <w:lang w:val="fr-BE"/>
        </w:rPr>
      </w:pPr>
      <w:r>
        <w:rPr>
          <w:sz w:val="24"/>
          <w:lang w:val="fr-BE"/>
        </w:rPr>
        <w:t>Rue Lucien Namèche, 54</w:t>
      </w:r>
    </w:p>
    <w:p>
      <w:pPr>
        <w:rPr>
          <w:sz w:val="24"/>
          <w:lang w:val="fr-BE"/>
        </w:rPr>
      </w:pPr>
      <w:r>
        <w:rPr>
          <w:sz w:val="24"/>
          <w:lang w:val="fr-BE"/>
        </w:rPr>
        <w:t>5000 NAMUR</w:t>
      </w:r>
    </w:p>
    <w:p>
      <w:pPr>
        <w:rPr>
          <w:sz w:val="24"/>
          <w:lang w:val="fr-BE"/>
        </w:rPr>
      </w:pPr>
      <w:r>
        <w:rPr>
          <w:sz w:val="24"/>
          <w:lang w:val="fr-BE"/>
        </w:rPr>
        <w:t>Tél. : 0800/19.199 – 081/32.19.11</w:t>
      </w:r>
    </w:p>
    <w:p>
      <w:pPr>
        <w:rPr>
          <w:sz w:val="24"/>
          <w:lang w:val="fr-BE"/>
        </w:rPr>
      </w:pPr>
      <w:r>
        <w:rPr>
          <w:sz w:val="24"/>
          <w:lang w:val="fr-BE"/>
        </w:rPr>
        <w:t>Fax : 081/32.19.00</w:t>
      </w:r>
    </w:p>
    <w:p>
      <w:pPr>
        <w:rPr>
          <w:sz w:val="24"/>
          <w:lang w:val="fr-BE"/>
        </w:rPr>
      </w:pPr>
      <w:r>
        <w:rPr>
          <w:sz w:val="24"/>
          <w:lang w:val="fr-BE"/>
        </w:rPr>
        <w:t xml:space="preserve">E-mail : </w:t>
      </w:r>
      <w:hyperlink r:id="rId17" w:history="1">
        <w:r>
          <w:rPr>
            <w:rStyle w:val="Lienhypertexte"/>
            <w:color w:val="auto"/>
            <w:sz w:val="24"/>
          </w:rPr>
          <w:t>courrier@médiateurcf.be</w:t>
        </w:r>
      </w:hyperlink>
      <w:r>
        <w:rPr>
          <w:sz w:val="24"/>
          <w:lang w:val="fr-BE"/>
        </w:rPr>
        <w:t xml:space="preserve"> </w:t>
      </w:r>
    </w:p>
    <w:p>
      <w:pPr>
        <w:rPr>
          <w:sz w:val="24"/>
          <w:lang w:val="fr-BE"/>
        </w:rPr>
      </w:pPr>
    </w:p>
    <w:p>
      <w:pPr>
        <w:rPr>
          <w:sz w:val="20"/>
          <w:szCs w:val="20"/>
          <w:lang w:val="fr-BE"/>
        </w:rPr>
      </w:pPr>
    </w:p>
    <w:p>
      <w:pPr>
        <w:rPr>
          <w:b/>
          <w:sz w:val="28"/>
          <w:u w:val="single"/>
        </w:rPr>
      </w:pPr>
      <w:r>
        <w:rPr>
          <w:b/>
          <w:sz w:val="28"/>
          <w:u w:val="single"/>
        </w:rPr>
        <w:t>Contacts communs pour l'ensemble des réseaux</w:t>
      </w:r>
    </w:p>
    <w:p>
      <w:pPr>
        <w:rPr>
          <w:sz w:val="18"/>
          <w:szCs w:val="18"/>
        </w:rPr>
      </w:pPr>
    </w:p>
    <w:p>
      <w:pPr>
        <w:jc w:val="both"/>
        <w:rPr>
          <w:szCs w:val="22"/>
        </w:rPr>
      </w:pPr>
      <w:r>
        <w:rPr>
          <w:szCs w:val="22"/>
        </w:rPr>
        <w:t xml:space="preserve">Toutes les personnes reprises ci-dessous peuvent être contactées via leur adresse mail, composée de la manière suivante : </w:t>
      </w:r>
      <w:hyperlink r:id="rId18" w:history="1">
        <w:r>
          <w:rPr>
            <w:rStyle w:val="Lienhypertexte"/>
            <w:color w:val="auto"/>
            <w:szCs w:val="22"/>
          </w:rPr>
          <w:t>prenom.nom@cfwb.be</w:t>
        </w:r>
      </w:hyperlink>
      <w:r>
        <w:rPr>
          <w:szCs w:val="22"/>
        </w:rPr>
        <w:t xml:space="preserve"> (en minuscule et sans accent). </w:t>
      </w:r>
    </w:p>
    <w:p>
      <w:pPr>
        <w:rPr>
          <w:sz w:val="8"/>
          <w:szCs w:val="8"/>
        </w:rPr>
      </w:pPr>
    </w:p>
    <w:p>
      <w:pPr>
        <w:rPr>
          <w:sz w:val="8"/>
          <w:szCs w:val="8"/>
        </w:rPr>
      </w:pPr>
    </w:p>
    <w:tbl>
      <w:tblPr>
        <w:tblW w:w="10440" w:type="dxa"/>
        <w:tblInd w:w="-11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780"/>
        <w:gridCol w:w="3600"/>
        <w:gridCol w:w="1620"/>
        <w:gridCol w:w="1440"/>
      </w:tblGrid>
      <w:tr>
        <w:trPr>
          <w:trHeight w:val="571"/>
        </w:trPr>
        <w:tc>
          <w:tcPr>
            <w:tcW w:w="3780" w:type="dxa"/>
            <w:tcBorders>
              <w:top w:val="single" w:sz="12" w:space="0" w:color="auto"/>
              <w:bottom w:val="single" w:sz="12" w:space="0" w:color="auto"/>
              <w:right w:val="single" w:sz="12" w:space="0" w:color="auto"/>
            </w:tcBorders>
            <w:vAlign w:val="center"/>
          </w:tcPr>
          <w:p>
            <w:pPr>
              <w:pStyle w:val="Corpsdetexte2"/>
              <w:jc w:val="left"/>
              <w:rPr>
                <w:b/>
              </w:rPr>
            </w:pPr>
            <w:r>
              <w:rPr>
                <w:b/>
              </w:rPr>
              <w:t>Matière</w:t>
            </w:r>
          </w:p>
        </w:tc>
        <w:tc>
          <w:tcPr>
            <w:tcW w:w="3600" w:type="dxa"/>
            <w:tcBorders>
              <w:top w:val="single" w:sz="12" w:space="0" w:color="auto"/>
              <w:left w:val="single" w:sz="12" w:space="0" w:color="auto"/>
              <w:bottom w:val="single" w:sz="12" w:space="0" w:color="auto"/>
            </w:tcBorders>
            <w:vAlign w:val="center"/>
          </w:tcPr>
          <w:p>
            <w:pPr>
              <w:pStyle w:val="Corpsdetexte2"/>
              <w:rPr>
                <w:b/>
              </w:rPr>
            </w:pPr>
            <w:r>
              <w:rPr>
                <w:b/>
              </w:rPr>
              <w:t>Personne de contact</w:t>
            </w:r>
          </w:p>
        </w:tc>
        <w:tc>
          <w:tcPr>
            <w:tcW w:w="1620" w:type="dxa"/>
            <w:tcBorders>
              <w:top w:val="single" w:sz="12" w:space="0" w:color="auto"/>
              <w:bottom w:val="single" w:sz="12" w:space="0" w:color="auto"/>
            </w:tcBorders>
            <w:vAlign w:val="center"/>
          </w:tcPr>
          <w:p>
            <w:pPr>
              <w:pStyle w:val="Corpsdetexte2"/>
              <w:ind w:left="-70" w:right="-70"/>
              <w:jc w:val="center"/>
              <w:rPr>
                <w:b/>
              </w:rPr>
            </w:pPr>
            <w:r>
              <w:rPr>
                <w:b/>
              </w:rPr>
              <w:t>Téléphone</w:t>
            </w:r>
          </w:p>
          <w:p>
            <w:pPr>
              <w:pStyle w:val="Corpsdetexte2"/>
              <w:ind w:left="-70" w:right="-70"/>
              <w:jc w:val="center"/>
            </w:pPr>
            <w:r>
              <w:t>02/</w:t>
            </w:r>
          </w:p>
        </w:tc>
        <w:tc>
          <w:tcPr>
            <w:tcW w:w="1440" w:type="dxa"/>
            <w:tcBorders>
              <w:top w:val="single" w:sz="12" w:space="0" w:color="auto"/>
              <w:bottom w:val="single" w:sz="12" w:space="0" w:color="auto"/>
            </w:tcBorders>
            <w:vAlign w:val="center"/>
          </w:tcPr>
          <w:p>
            <w:pPr>
              <w:pStyle w:val="Corpsdetexte2"/>
              <w:ind w:left="-33" w:right="-107"/>
              <w:jc w:val="center"/>
              <w:rPr>
                <w:b/>
              </w:rPr>
            </w:pPr>
            <w:r>
              <w:rPr>
                <w:b/>
              </w:rPr>
              <w:t>Fax</w:t>
            </w:r>
          </w:p>
          <w:p>
            <w:pPr>
              <w:pStyle w:val="Corpsdetexte2"/>
              <w:ind w:left="-33" w:right="-107"/>
              <w:jc w:val="center"/>
            </w:pPr>
            <w:r>
              <w:t>02/</w:t>
            </w:r>
          </w:p>
        </w:tc>
      </w:tr>
      <w:tr>
        <w:trPr>
          <w:trHeight w:hRule="exact" w:val="2671"/>
        </w:trPr>
        <w:tc>
          <w:tcPr>
            <w:tcW w:w="3780" w:type="dxa"/>
            <w:tcBorders>
              <w:right w:val="single" w:sz="12" w:space="0" w:color="auto"/>
            </w:tcBorders>
            <w:vAlign w:val="center"/>
          </w:tcPr>
          <w:p>
            <w:pPr>
              <w:pStyle w:val="Corpsdetexte2"/>
              <w:jc w:val="left"/>
              <w:rPr>
                <w:szCs w:val="22"/>
              </w:rPr>
            </w:pPr>
            <w:r>
              <w:rPr>
                <w:szCs w:val="22"/>
              </w:rPr>
              <w:t>Assistance aux établissements:</w:t>
            </w:r>
          </w:p>
          <w:p>
            <w:pPr>
              <w:pStyle w:val="Corpsdetexte2"/>
              <w:jc w:val="left"/>
              <w:rPr>
                <w:szCs w:val="22"/>
              </w:rPr>
            </w:pPr>
          </w:p>
          <w:p>
            <w:pPr>
              <w:pStyle w:val="Corpsdetexte2"/>
              <w:numPr>
                <w:ilvl w:val="0"/>
                <w:numId w:val="109"/>
              </w:numPr>
              <w:jc w:val="left"/>
              <w:rPr>
                <w:szCs w:val="22"/>
              </w:rPr>
            </w:pPr>
            <w:r>
              <w:rPr>
                <w:szCs w:val="22"/>
              </w:rPr>
              <w:t>« Assistance Ecoles »</w:t>
            </w:r>
          </w:p>
          <w:p>
            <w:pPr>
              <w:pStyle w:val="Corpsdetexte2"/>
              <w:ind w:left="360"/>
              <w:jc w:val="left"/>
              <w:rPr>
                <w:szCs w:val="22"/>
              </w:rPr>
            </w:pPr>
          </w:p>
          <w:p>
            <w:pPr>
              <w:pStyle w:val="Corpsdetexte2"/>
              <w:numPr>
                <w:ilvl w:val="0"/>
                <w:numId w:val="109"/>
              </w:numPr>
              <w:jc w:val="left"/>
              <w:rPr>
                <w:szCs w:val="22"/>
              </w:rPr>
            </w:pPr>
            <w:r>
              <w:rPr>
                <w:szCs w:val="22"/>
              </w:rPr>
              <w:t>Equipes Mobiles</w:t>
            </w:r>
          </w:p>
          <w:p>
            <w:pPr>
              <w:pStyle w:val="Paragraphedeliste"/>
              <w:rPr>
                <w:szCs w:val="22"/>
              </w:rPr>
            </w:pPr>
          </w:p>
          <w:p>
            <w:pPr>
              <w:pStyle w:val="Paragraphedeliste"/>
              <w:rPr>
                <w:szCs w:val="22"/>
              </w:rPr>
            </w:pPr>
          </w:p>
          <w:p>
            <w:pPr>
              <w:pStyle w:val="Paragraphedeliste"/>
              <w:rPr>
                <w:szCs w:val="22"/>
              </w:rPr>
            </w:pPr>
          </w:p>
          <w:p>
            <w:pPr>
              <w:pStyle w:val="Corpsdetexte2"/>
              <w:numPr>
                <w:ilvl w:val="0"/>
                <w:numId w:val="109"/>
              </w:numPr>
              <w:jc w:val="left"/>
              <w:rPr>
                <w:szCs w:val="22"/>
              </w:rPr>
            </w:pPr>
            <w:r>
              <w:rPr>
                <w:szCs w:val="22"/>
              </w:rPr>
              <w:t>Services d’accrochage scolaire (S.A.S.)</w:t>
            </w:r>
          </w:p>
          <w:p>
            <w:pPr>
              <w:pStyle w:val="Corpsdetexte2"/>
              <w:jc w:val="left"/>
            </w:pPr>
          </w:p>
        </w:tc>
        <w:tc>
          <w:tcPr>
            <w:tcW w:w="3600" w:type="dxa"/>
            <w:tcBorders>
              <w:left w:val="single" w:sz="12" w:space="0" w:color="auto"/>
            </w:tcBorders>
          </w:tcPr>
          <w:p>
            <w:pPr>
              <w:pStyle w:val="Corpsdetexte2"/>
              <w:rPr>
                <w:szCs w:val="22"/>
                <w:lang w:val="nl-NL"/>
              </w:rPr>
            </w:pPr>
          </w:p>
          <w:p>
            <w:pPr>
              <w:pStyle w:val="Corpsdetexte2"/>
              <w:rPr>
                <w:szCs w:val="22"/>
                <w:lang w:val="nl-NL"/>
              </w:rPr>
            </w:pPr>
          </w:p>
          <w:p>
            <w:pPr>
              <w:pStyle w:val="Corpsdetexte2"/>
              <w:rPr>
                <w:szCs w:val="22"/>
                <w:lang w:val="nl-NL"/>
              </w:rPr>
            </w:pPr>
            <w:r>
              <w:rPr>
                <w:szCs w:val="22"/>
                <w:lang w:val="nl-NL"/>
              </w:rPr>
              <w:t>Numéro vert</w:t>
            </w:r>
          </w:p>
          <w:p>
            <w:pPr>
              <w:pStyle w:val="Corpsdetexte2"/>
              <w:rPr>
                <w:szCs w:val="22"/>
                <w:lang w:val="nl-NL"/>
              </w:rPr>
            </w:pPr>
          </w:p>
          <w:p>
            <w:pPr>
              <w:pStyle w:val="Corpsdetexte2"/>
              <w:rPr>
                <w:szCs w:val="22"/>
                <w:lang w:val="nl-NL"/>
              </w:rPr>
            </w:pPr>
            <w:r>
              <w:rPr>
                <w:szCs w:val="22"/>
                <w:lang w:val="nl-NL"/>
              </w:rPr>
              <w:t>Emeline THEATRE</w:t>
            </w:r>
          </w:p>
          <w:p>
            <w:pPr>
              <w:pStyle w:val="Corpsdetexte2"/>
              <w:rPr>
                <w:szCs w:val="22"/>
                <w:lang w:val="nl-NL"/>
              </w:rPr>
            </w:pPr>
            <w:r>
              <w:rPr>
                <w:szCs w:val="22"/>
                <w:lang w:val="nl-NL"/>
              </w:rPr>
              <w:t>Bruno SEDRAN (coordonnateur)</w:t>
            </w:r>
          </w:p>
          <w:p>
            <w:pPr>
              <w:pStyle w:val="Corpsdetexte2"/>
              <w:rPr>
                <w:szCs w:val="22"/>
                <w:lang w:val="nl-NL"/>
              </w:rPr>
            </w:pPr>
            <w:hyperlink r:id="rId19" w:history="1">
              <w:r>
                <w:rPr>
                  <w:rStyle w:val="Lienhypertexte"/>
                  <w:color w:val="auto"/>
                  <w:szCs w:val="22"/>
                  <w:lang w:val="nl-NL"/>
                </w:rPr>
                <w:t>equipemobile@cfwb.be</w:t>
              </w:r>
            </w:hyperlink>
            <w:r>
              <w:rPr>
                <w:szCs w:val="22"/>
                <w:lang w:val="nl-NL"/>
              </w:rPr>
              <w:t xml:space="preserve"> </w:t>
            </w:r>
          </w:p>
          <w:p>
            <w:pPr>
              <w:pStyle w:val="Corpsdetexte2"/>
              <w:rPr>
                <w:szCs w:val="22"/>
                <w:lang w:val="nl-NL"/>
              </w:rPr>
            </w:pPr>
          </w:p>
          <w:p>
            <w:pPr>
              <w:pStyle w:val="Corpsdetexte2"/>
              <w:rPr>
                <w:szCs w:val="22"/>
                <w:lang w:val="nl-NL"/>
              </w:rPr>
            </w:pPr>
            <w:r>
              <w:rPr>
                <w:szCs w:val="22"/>
                <w:lang w:val="nl-NL"/>
              </w:rPr>
              <w:t>Céline PLUMEREL</w:t>
            </w:r>
          </w:p>
          <w:p>
            <w:pPr>
              <w:pStyle w:val="Corpsdetexte2"/>
              <w:rPr>
                <w:szCs w:val="22"/>
              </w:rPr>
            </w:pPr>
            <w:r>
              <w:rPr>
                <w:szCs w:val="22"/>
              </w:rPr>
              <w:t xml:space="preserve">Patricia BUYL </w:t>
            </w:r>
          </w:p>
        </w:tc>
        <w:tc>
          <w:tcPr>
            <w:tcW w:w="1620" w:type="dxa"/>
          </w:tcPr>
          <w:p>
            <w:pPr>
              <w:pStyle w:val="Corpsdetexte2"/>
              <w:ind w:right="-70"/>
              <w:rPr>
                <w:szCs w:val="22"/>
              </w:rPr>
            </w:pPr>
          </w:p>
          <w:p>
            <w:pPr>
              <w:pStyle w:val="Corpsdetexte2"/>
              <w:ind w:right="-70"/>
              <w:rPr>
                <w:szCs w:val="22"/>
              </w:rPr>
            </w:pPr>
          </w:p>
          <w:p>
            <w:pPr>
              <w:pStyle w:val="Corpsdetexte2"/>
              <w:ind w:right="-70"/>
              <w:jc w:val="center"/>
              <w:rPr>
                <w:szCs w:val="22"/>
              </w:rPr>
            </w:pPr>
            <w:r>
              <w:rPr>
                <w:szCs w:val="22"/>
              </w:rPr>
              <w:t>0800/20 410</w:t>
            </w:r>
          </w:p>
          <w:p>
            <w:pPr>
              <w:pStyle w:val="Corpsdetexte2"/>
              <w:ind w:right="-70"/>
              <w:rPr>
                <w:szCs w:val="22"/>
              </w:rPr>
            </w:pPr>
          </w:p>
          <w:p>
            <w:pPr>
              <w:pStyle w:val="Corpsdetexte2"/>
              <w:ind w:left="-70" w:right="-70"/>
              <w:jc w:val="center"/>
              <w:rPr>
                <w:szCs w:val="22"/>
              </w:rPr>
            </w:pPr>
            <w:r>
              <w:rPr>
                <w:szCs w:val="22"/>
              </w:rPr>
              <w:t>690.83.13</w:t>
            </w:r>
          </w:p>
          <w:p>
            <w:pPr>
              <w:pStyle w:val="Corpsdetexte2"/>
              <w:ind w:left="-70" w:right="-70"/>
              <w:jc w:val="center"/>
              <w:rPr>
                <w:szCs w:val="22"/>
              </w:rPr>
            </w:pPr>
            <w:r>
              <w:rPr>
                <w:szCs w:val="22"/>
              </w:rPr>
              <w:t>690.83.81</w:t>
            </w:r>
          </w:p>
          <w:p>
            <w:pPr>
              <w:pStyle w:val="Corpsdetexte2"/>
              <w:ind w:left="-70" w:right="-70"/>
              <w:jc w:val="center"/>
              <w:rPr>
                <w:szCs w:val="22"/>
              </w:rPr>
            </w:pPr>
          </w:p>
          <w:p>
            <w:pPr>
              <w:pStyle w:val="Corpsdetexte2"/>
              <w:ind w:left="-70" w:right="-70"/>
              <w:jc w:val="center"/>
              <w:rPr>
                <w:szCs w:val="22"/>
              </w:rPr>
            </w:pPr>
          </w:p>
          <w:p>
            <w:pPr>
              <w:pStyle w:val="Corpsdetexte2"/>
              <w:ind w:right="-70"/>
              <w:jc w:val="center"/>
              <w:rPr>
                <w:szCs w:val="22"/>
              </w:rPr>
            </w:pPr>
            <w:r>
              <w:rPr>
                <w:szCs w:val="22"/>
              </w:rPr>
              <w:t>690.84.65</w:t>
            </w:r>
          </w:p>
          <w:p>
            <w:pPr>
              <w:pStyle w:val="Corpsdetexte2"/>
              <w:ind w:left="-70" w:right="-70"/>
              <w:jc w:val="center"/>
              <w:rPr>
                <w:szCs w:val="22"/>
              </w:rPr>
            </w:pPr>
            <w:r>
              <w:rPr>
                <w:szCs w:val="22"/>
              </w:rPr>
              <w:t>690.83.56</w:t>
            </w:r>
          </w:p>
        </w:tc>
        <w:tc>
          <w:tcPr>
            <w:tcW w:w="1440" w:type="dxa"/>
          </w:tcPr>
          <w:p>
            <w:pPr>
              <w:pStyle w:val="Corpsdetexte2"/>
              <w:ind w:left="-33" w:right="-107"/>
              <w:jc w:val="center"/>
              <w:rPr>
                <w:szCs w:val="22"/>
              </w:rPr>
            </w:pPr>
          </w:p>
          <w:p>
            <w:pPr>
              <w:pStyle w:val="Corpsdetexte2"/>
              <w:ind w:left="-33" w:right="-107"/>
              <w:jc w:val="center"/>
              <w:rPr>
                <w:szCs w:val="22"/>
              </w:rPr>
            </w:pPr>
          </w:p>
          <w:p>
            <w:pPr>
              <w:pStyle w:val="Corpsdetexte2"/>
              <w:ind w:left="-33" w:right="-107"/>
              <w:jc w:val="center"/>
              <w:rPr>
                <w:szCs w:val="22"/>
              </w:rPr>
            </w:pPr>
          </w:p>
          <w:p>
            <w:pPr>
              <w:pStyle w:val="Corpsdetexte2"/>
              <w:ind w:right="-107"/>
              <w:jc w:val="center"/>
              <w:rPr>
                <w:szCs w:val="22"/>
              </w:rPr>
            </w:pPr>
          </w:p>
          <w:p>
            <w:pPr>
              <w:pStyle w:val="Corpsdetexte2"/>
              <w:ind w:right="-107"/>
              <w:jc w:val="center"/>
              <w:rPr>
                <w:szCs w:val="22"/>
              </w:rPr>
            </w:pPr>
          </w:p>
          <w:p>
            <w:pPr>
              <w:pStyle w:val="Corpsdetexte2"/>
              <w:ind w:right="-107"/>
              <w:jc w:val="center"/>
              <w:rPr>
                <w:szCs w:val="22"/>
              </w:rPr>
            </w:pPr>
            <w:r>
              <w:rPr>
                <w:szCs w:val="22"/>
              </w:rPr>
              <w:t>600.09.75</w:t>
            </w:r>
          </w:p>
          <w:p>
            <w:pPr>
              <w:pStyle w:val="Corpsdetexte2"/>
              <w:ind w:right="-107"/>
              <w:jc w:val="center"/>
              <w:rPr>
                <w:szCs w:val="22"/>
              </w:rPr>
            </w:pPr>
          </w:p>
          <w:p>
            <w:pPr>
              <w:pStyle w:val="Corpsdetexte2"/>
              <w:ind w:right="-107"/>
              <w:jc w:val="center"/>
              <w:rPr>
                <w:szCs w:val="22"/>
              </w:rPr>
            </w:pPr>
          </w:p>
          <w:p>
            <w:pPr>
              <w:pStyle w:val="Corpsdetexte2"/>
              <w:ind w:right="-107"/>
              <w:jc w:val="center"/>
              <w:rPr>
                <w:szCs w:val="22"/>
              </w:rPr>
            </w:pPr>
            <w:r>
              <w:rPr>
                <w:szCs w:val="22"/>
              </w:rPr>
              <w:t>690.84.30</w:t>
            </w:r>
          </w:p>
        </w:tc>
      </w:tr>
      <w:tr>
        <w:trPr>
          <w:trHeight w:hRule="exact" w:val="527"/>
        </w:trPr>
        <w:tc>
          <w:tcPr>
            <w:tcW w:w="3780" w:type="dxa"/>
            <w:tcBorders>
              <w:right w:val="single" w:sz="12" w:space="0" w:color="auto"/>
            </w:tcBorders>
            <w:vAlign w:val="center"/>
          </w:tcPr>
          <w:p>
            <w:pPr>
              <w:pStyle w:val="Corpsdetexte2"/>
              <w:jc w:val="left"/>
            </w:pPr>
            <w:r>
              <w:t>Associations des parents</w:t>
            </w:r>
          </w:p>
        </w:tc>
        <w:tc>
          <w:tcPr>
            <w:tcW w:w="3600" w:type="dxa"/>
            <w:tcBorders>
              <w:left w:val="single" w:sz="12" w:space="0" w:color="auto"/>
            </w:tcBorders>
            <w:vAlign w:val="center"/>
          </w:tcPr>
          <w:p>
            <w:pPr>
              <w:pStyle w:val="Corpsdetexte2"/>
              <w:jc w:val="left"/>
            </w:pPr>
            <w:r>
              <w:rPr>
                <w:szCs w:val="22"/>
              </w:rPr>
              <w:t>Alain-Yves LAMBERTS</w:t>
            </w:r>
          </w:p>
        </w:tc>
        <w:tc>
          <w:tcPr>
            <w:tcW w:w="1620" w:type="dxa"/>
            <w:vAlign w:val="center"/>
          </w:tcPr>
          <w:p>
            <w:pPr>
              <w:pStyle w:val="Corpsdetexte2"/>
              <w:ind w:left="-70" w:right="-70"/>
              <w:jc w:val="center"/>
              <w:rPr>
                <w:lang w:val="fr-BE"/>
              </w:rPr>
            </w:pPr>
            <w:r>
              <w:rPr>
                <w:lang w:val="fr-BE"/>
              </w:rPr>
              <w:t>690.84.74</w:t>
            </w:r>
          </w:p>
        </w:tc>
        <w:tc>
          <w:tcPr>
            <w:tcW w:w="1440" w:type="dxa"/>
            <w:vAlign w:val="center"/>
          </w:tcPr>
          <w:p>
            <w:pPr>
              <w:pStyle w:val="Corpsdetexte2"/>
              <w:jc w:val="center"/>
            </w:pPr>
            <w:r>
              <w:t>690.85.85</w:t>
            </w:r>
          </w:p>
        </w:tc>
      </w:tr>
      <w:tr>
        <w:trPr>
          <w:trHeight w:hRule="exact" w:val="535"/>
        </w:trPr>
        <w:tc>
          <w:tcPr>
            <w:tcW w:w="3780" w:type="dxa"/>
            <w:tcBorders>
              <w:right w:val="single" w:sz="12" w:space="0" w:color="auto"/>
            </w:tcBorders>
            <w:vAlign w:val="center"/>
          </w:tcPr>
          <w:p>
            <w:pPr>
              <w:pStyle w:val="Corpsdetexte2"/>
              <w:jc w:val="left"/>
            </w:pPr>
            <w:r>
              <w:t xml:space="preserve">Autorité parentale </w:t>
            </w:r>
          </w:p>
        </w:tc>
        <w:tc>
          <w:tcPr>
            <w:tcW w:w="3600" w:type="dxa"/>
            <w:tcBorders>
              <w:left w:val="single" w:sz="12" w:space="0" w:color="auto"/>
            </w:tcBorders>
            <w:vAlign w:val="center"/>
          </w:tcPr>
          <w:p>
            <w:pPr>
              <w:pStyle w:val="Corpsdetexte2"/>
            </w:pPr>
            <w:r>
              <w:t>Claudia LEFRERE</w:t>
            </w:r>
          </w:p>
        </w:tc>
        <w:tc>
          <w:tcPr>
            <w:tcW w:w="1620" w:type="dxa"/>
            <w:vAlign w:val="center"/>
          </w:tcPr>
          <w:p>
            <w:pPr>
              <w:pStyle w:val="Corpsdetexte2"/>
              <w:ind w:left="-70" w:right="-70"/>
              <w:jc w:val="center"/>
            </w:pPr>
            <w:r>
              <w:t>690.84.00</w:t>
            </w:r>
          </w:p>
          <w:p>
            <w:pPr>
              <w:pStyle w:val="Corpsdetexte2"/>
              <w:ind w:left="-70" w:right="-70"/>
              <w:jc w:val="center"/>
              <w:rPr>
                <w:szCs w:val="22"/>
              </w:rPr>
            </w:pPr>
            <w:r>
              <w:rPr>
                <w:szCs w:val="22"/>
              </w:rPr>
              <w:t>0473/84.43.38</w:t>
            </w:r>
          </w:p>
        </w:tc>
        <w:tc>
          <w:tcPr>
            <w:tcW w:w="1440" w:type="dxa"/>
            <w:vAlign w:val="center"/>
          </w:tcPr>
          <w:p>
            <w:pPr>
              <w:pStyle w:val="Corpsdetexte2"/>
              <w:ind w:left="-33" w:right="-107"/>
              <w:jc w:val="center"/>
            </w:pPr>
            <w:r>
              <w:t>690.85.99</w:t>
            </w:r>
          </w:p>
        </w:tc>
      </w:tr>
      <w:tr>
        <w:trPr>
          <w:trHeight w:hRule="exact" w:val="535"/>
        </w:trPr>
        <w:tc>
          <w:tcPr>
            <w:tcW w:w="3780" w:type="dxa"/>
            <w:tcBorders>
              <w:right w:val="single" w:sz="12" w:space="0" w:color="auto"/>
            </w:tcBorders>
            <w:vAlign w:val="center"/>
          </w:tcPr>
          <w:p>
            <w:pPr>
              <w:pStyle w:val="Corpsdetexte2"/>
              <w:jc w:val="left"/>
            </w:pPr>
            <w:r>
              <w:t>Certificat d’études de Base (CEB)</w:t>
            </w:r>
          </w:p>
        </w:tc>
        <w:tc>
          <w:tcPr>
            <w:tcW w:w="3600" w:type="dxa"/>
            <w:tcBorders>
              <w:left w:val="single" w:sz="12" w:space="0" w:color="auto"/>
            </w:tcBorders>
            <w:vAlign w:val="center"/>
          </w:tcPr>
          <w:p>
            <w:pPr>
              <w:pStyle w:val="Corpsdetexte2"/>
            </w:pPr>
            <w:r>
              <w:t>Iris VIENNE</w:t>
            </w:r>
          </w:p>
          <w:p>
            <w:pPr>
              <w:pStyle w:val="Corpsdetexte2"/>
            </w:pPr>
            <w:r>
              <w:t>Caroline DE PAEPE</w:t>
            </w:r>
          </w:p>
        </w:tc>
        <w:tc>
          <w:tcPr>
            <w:tcW w:w="1620" w:type="dxa"/>
            <w:vAlign w:val="center"/>
          </w:tcPr>
          <w:p>
            <w:pPr>
              <w:pStyle w:val="Corpsdetexte2"/>
              <w:ind w:left="-70" w:right="-70"/>
              <w:jc w:val="center"/>
            </w:pPr>
            <w:r>
              <w:t>690.81.91</w:t>
            </w:r>
          </w:p>
          <w:p>
            <w:pPr>
              <w:pStyle w:val="Corpsdetexte2"/>
              <w:ind w:left="-70" w:right="-70"/>
              <w:jc w:val="center"/>
            </w:pPr>
            <w:r>
              <w:t>690.81.75</w:t>
            </w:r>
          </w:p>
        </w:tc>
        <w:tc>
          <w:tcPr>
            <w:tcW w:w="1440" w:type="dxa"/>
            <w:vAlign w:val="center"/>
          </w:tcPr>
          <w:p>
            <w:pPr>
              <w:pStyle w:val="Corpsdetexte2"/>
              <w:ind w:left="-33" w:right="-107"/>
              <w:jc w:val="center"/>
            </w:pPr>
            <w:r>
              <w:t>690.82.39</w:t>
            </w:r>
          </w:p>
        </w:tc>
      </w:tr>
      <w:tr>
        <w:trPr>
          <w:trHeight w:hRule="exact" w:val="589"/>
        </w:trPr>
        <w:tc>
          <w:tcPr>
            <w:tcW w:w="3780" w:type="dxa"/>
            <w:tcBorders>
              <w:bottom w:val="single" w:sz="8" w:space="0" w:color="auto"/>
              <w:right w:val="single" w:sz="12" w:space="0" w:color="auto"/>
            </w:tcBorders>
            <w:vAlign w:val="center"/>
          </w:tcPr>
          <w:p>
            <w:pPr>
              <w:pStyle w:val="Corpsdetexte2"/>
              <w:jc w:val="left"/>
            </w:pPr>
            <w:r>
              <w:t xml:space="preserve">Changements d'école </w:t>
            </w:r>
          </w:p>
        </w:tc>
        <w:tc>
          <w:tcPr>
            <w:tcW w:w="3600" w:type="dxa"/>
            <w:tcBorders>
              <w:left w:val="single" w:sz="12" w:space="0" w:color="auto"/>
              <w:bottom w:val="single" w:sz="8" w:space="0" w:color="auto"/>
            </w:tcBorders>
            <w:vAlign w:val="center"/>
          </w:tcPr>
          <w:p>
            <w:pPr>
              <w:pStyle w:val="Corpsdetexte2"/>
            </w:pPr>
            <w:r>
              <w:t>Claudia LEFRERE</w:t>
            </w:r>
          </w:p>
        </w:tc>
        <w:tc>
          <w:tcPr>
            <w:tcW w:w="1620" w:type="dxa"/>
            <w:tcBorders>
              <w:bottom w:val="single" w:sz="8" w:space="0" w:color="auto"/>
            </w:tcBorders>
            <w:vAlign w:val="center"/>
          </w:tcPr>
          <w:p>
            <w:pPr>
              <w:pStyle w:val="Corpsdetexte2"/>
              <w:ind w:left="-70" w:right="-70"/>
              <w:jc w:val="center"/>
            </w:pPr>
            <w:r>
              <w:t>690.84.00</w:t>
            </w:r>
          </w:p>
          <w:p>
            <w:pPr>
              <w:pStyle w:val="Corpsdetexte2"/>
              <w:ind w:left="-70" w:right="-70"/>
              <w:jc w:val="center"/>
              <w:rPr>
                <w:szCs w:val="22"/>
              </w:rPr>
            </w:pPr>
            <w:r>
              <w:rPr>
                <w:szCs w:val="22"/>
              </w:rPr>
              <w:t>0473/84.43.38</w:t>
            </w:r>
          </w:p>
        </w:tc>
        <w:tc>
          <w:tcPr>
            <w:tcW w:w="1440" w:type="dxa"/>
            <w:tcBorders>
              <w:bottom w:val="single" w:sz="8" w:space="0" w:color="auto"/>
            </w:tcBorders>
            <w:vAlign w:val="center"/>
          </w:tcPr>
          <w:p>
            <w:pPr>
              <w:pStyle w:val="Corpsdetexte2"/>
              <w:ind w:left="-33" w:right="-107"/>
              <w:jc w:val="center"/>
            </w:pPr>
            <w:r>
              <w:t>690.85.99</w:t>
            </w:r>
          </w:p>
        </w:tc>
      </w:tr>
    </w:tbl>
    <w:p/>
    <w:tbl>
      <w:tblPr>
        <w:tblW w:w="10440" w:type="dxa"/>
        <w:tblInd w:w="-11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780"/>
        <w:gridCol w:w="3600"/>
        <w:gridCol w:w="1620"/>
        <w:gridCol w:w="1440"/>
      </w:tblGrid>
      <w:tr>
        <w:trPr>
          <w:trHeight w:hRule="exact" w:val="1184"/>
        </w:trPr>
        <w:tc>
          <w:tcPr>
            <w:tcW w:w="3780" w:type="dxa"/>
            <w:tcBorders>
              <w:top w:val="single" w:sz="12" w:space="0" w:color="auto"/>
              <w:bottom w:val="single" w:sz="12" w:space="0" w:color="auto"/>
              <w:right w:val="single" w:sz="12" w:space="0" w:color="auto"/>
            </w:tcBorders>
            <w:vAlign w:val="center"/>
          </w:tcPr>
          <w:p>
            <w:pPr>
              <w:pStyle w:val="Corpsdetexte2"/>
              <w:jc w:val="left"/>
              <w:rPr>
                <w:b/>
              </w:rPr>
            </w:pPr>
            <w:r>
              <w:rPr>
                <w:b/>
              </w:rPr>
              <w:t>Matière</w:t>
            </w:r>
          </w:p>
        </w:tc>
        <w:tc>
          <w:tcPr>
            <w:tcW w:w="3600" w:type="dxa"/>
            <w:tcBorders>
              <w:top w:val="single" w:sz="12" w:space="0" w:color="auto"/>
              <w:left w:val="single" w:sz="12" w:space="0" w:color="auto"/>
              <w:bottom w:val="single" w:sz="12" w:space="0" w:color="auto"/>
            </w:tcBorders>
            <w:vAlign w:val="center"/>
          </w:tcPr>
          <w:p>
            <w:pPr>
              <w:pStyle w:val="Corpsdetexte2"/>
              <w:rPr>
                <w:b/>
              </w:rPr>
            </w:pPr>
            <w:r>
              <w:rPr>
                <w:b/>
              </w:rPr>
              <w:t>Personne de contact</w:t>
            </w:r>
          </w:p>
        </w:tc>
        <w:tc>
          <w:tcPr>
            <w:tcW w:w="1620" w:type="dxa"/>
            <w:tcBorders>
              <w:top w:val="single" w:sz="12" w:space="0" w:color="auto"/>
              <w:bottom w:val="single" w:sz="12" w:space="0" w:color="auto"/>
            </w:tcBorders>
            <w:vAlign w:val="center"/>
          </w:tcPr>
          <w:p>
            <w:pPr>
              <w:pStyle w:val="Corpsdetexte2"/>
              <w:ind w:left="-70" w:right="-70"/>
              <w:jc w:val="center"/>
              <w:rPr>
                <w:b/>
              </w:rPr>
            </w:pPr>
            <w:r>
              <w:rPr>
                <w:b/>
              </w:rPr>
              <w:t>Téléphone</w:t>
            </w:r>
          </w:p>
          <w:p>
            <w:pPr>
              <w:pStyle w:val="Corpsdetexte2"/>
              <w:ind w:left="-70" w:right="-70"/>
              <w:jc w:val="center"/>
              <w:rPr>
                <w:b/>
              </w:rPr>
            </w:pPr>
            <w:r>
              <w:rPr>
                <w:b/>
              </w:rPr>
              <w:t>02/</w:t>
            </w:r>
          </w:p>
        </w:tc>
        <w:tc>
          <w:tcPr>
            <w:tcW w:w="1440" w:type="dxa"/>
            <w:tcBorders>
              <w:top w:val="single" w:sz="12" w:space="0" w:color="auto"/>
              <w:bottom w:val="single" w:sz="12" w:space="0" w:color="auto"/>
            </w:tcBorders>
            <w:vAlign w:val="center"/>
          </w:tcPr>
          <w:p>
            <w:pPr>
              <w:pStyle w:val="Corpsdetexte2"/>
              <w:ind w:left="-33" w:right="-107"/>
              <w:jc w:val="center"/>
              <w:rPr>
                <w:b/>
              </w:rPr>
            </w:pPr>
            <w:r>
              <w:rPr>
                <w:b/>
              </w:rPr>
              <w:t>Fax</w:t>
            </w:r>
          </w:p>
          <w:p>
            <w:pPr>
              <w:pStyle w:val="Corpsdetexte2"/>
              <w:ind w:left="-33" w:right="-107"/>
              <w:jc w:val="center"/>
              <w:rPr>
                <w:b/>
              </w:rPr>
            </w:pPr>
            <w:r>
              <w:rPr>
                <w:b/>
              </w:rPr>
              <w:t>02/</w:t>
            </w:r>
          </w:p>
        </w:tc>
      </w:tr>
      <w:tr>
        <w:trPr>
          <w:trHeight w:hRule="exact" w:val="1144"/>
        </w:trPr>
        <w:tc>
          <w:tcPr>
            <w:tcW w:w="3780" w:type="dxa"/>
            <w:tcBorders>
              <w:top w:val="single" w:sz="12" w:space="0" w:color="auto"/>
              <w:bottom w:val="single" w:sz="8" w:space="0" w:color="auto"/>
              <w:right w:val="single" w:sz="12" w:space="0" w:color="auto"/>
            </w:tcBorders>
            <w:vAlign w:val="center"/>
          </w:tcPr>
          <w:p>
            <w:pPr>
              <w:pStyle w:val="Corpsdetexte2"/>
              <w:jc w:val="left"/>
              <w:rPr>
                <w:spacing w:val="-6"/>
                <w:szCs w:val="22"/>
                <w:lang w:val="fr-BE"/>
              </w:rPr>
            </w:pPr>
            <w:r>
              <w:rPr>
                <w:spacing w:val="-2"/>
              </w:rPr>
              <w:t>Classes de dépaysement et découverte et activités extérieures</w:t>
            </w:r>
          </w:p>
        </w:tc>
        <w:tc>
          <w:tcPr>
            <w:tcW w:w="3600" w:type="dxa"/>
            <w:tcBorders>
              <w:top w:val="single" w:sz="12" w:space="0" w:color="auto"/>
              <w:left w:val="single" w:sz="12" w:space="0" w:color="auto"/>
              <w:bottom w:val="single" w:sz="8" w:space="0" w:color="auto"/>
            </w:tcBorders>
            <w:vAlign w:val="center"/>
          </w:tcPr>
          <w:p>
            <w:pPr>
              <w:pStyle w:val="Corpsdetexte2"/>
              <w:rPr>
                <w:lang w:val="fr-BE"/>
              </w:rPr>
            </w:pPr>
            <w:r>
              <w:rPr>
                <w:lang w:val="fr-BE"/>
              </w:rPr>
              <w:t>depaysement@cfwb.be</w:t>
            </w:r>
          </w:p>
        </w:tc>
        <w:tc>
          <w:tcPr>
            <w:tcW w:w="1620" w:type="dxa"/>
            <w:tcBorders>
              <w:top w:val="single" w:sz="12" w:space="0" w:color="auto"/>
              <w:bottom w:val="single" w:sz="8" w:space="0" w:color="auto"/>
            </w:tcBorders>
            <w:vAlign w:val="center"/>
          </w:tcPr>
          <w:p>
            <w:pPr>
              <w:pStyle w:val="Corpsdetexte2"/>
              <w:ind w:left="-70" w:right="-70"/>
              <w:jc w:val="center"/>
            </w:pPr>
            <w:r>
              <w:rPr>
                <w:lang w:val="fr-BE"/>
              </w:rPr>
              <w:t>690.87.42</w:t>
            </w:r>
          </w:p>
        </w:tc>
        <w:tc>
          <w:tcPr>
            <w:tcW w:w="1440" w:type="dxa"/>
            <w:tcBorders>
              <w:top w:val="single" w:sz="12" w:space="0" w:color="auto"/>
              <w:bottom w:val="single" w:sz="8" w:space="0" w:color="auto"/>
            </w:tcBorders>
            <w:vAlign w:val="center"/>
          </w:tcPr>
          <w:p>
            <w:pPr>
              <w:pStyle w:val="Corpsdetexte2"/>
              <w:ind w:left="-33" w:right="-107"/>
              <w:jc w:val="center"/>
            </w:pPr>
            <w:r>
              <w:rPr>
                <w:lang w:val="fr-BE"/>
              </w:rPr>
              <w:t>690.85.85</w:t>
            </w:r>
          </w:p>
        </w:tc>
      </w:tr>
      <w:tr>
        <w:trPr>
          <w:trHeight w:hRule="exact" w:val="1144"/>
        </w:trPr>
        <w:tc>
          <w:tcPr>
            <w:tcW w:w="3780" w:type="dxa"/>
            <w:tcBorders>
              <w:top w:val="single" w:sz="12" w:space="0" w:color="auto"/>
              <w:bottom w:val="single" w:sz="8" w:space="0" w:color="auto"/>
              <w:right w:val="single" w:sz="12" w:space="0" w:color="auto"/>
            </w:tcBorders>
            <w:vAlign w:val="center"/>
          </w:tcPr>
          <w:p>
            <w:pPr>
              <w:pStyle w:val="Corpsdetexte2"/>
              <w:jc w:val="left"/>
              <w:rPr>
                <w:spacing w:val="-6"/>
                <w:szCs w:val="22"/>
                <w:lang w:val="fr-BE"/>
              </w:rPr>
            </w:pPr>
            <w:r>
              <w:rPr>
                <w:spacing w:val="-6"/>
                <w:szCs w:val="22"/>
                <w:lang w:val="fr-BE"/>
              </w:rPr>
              <w:t>Commissions consultatives de l’enseignement spécialisé</w:t>
            </w:r>
          </w:p>
        </w:tc>
        <w:tc>
          <w:tcPr>
            <w:tcW w:w="3600" w:type="dxa"/>
            <w:tcBorders>
              <w:top w:val="single" w:sz="12" w:space="0" w:color="auto"/>
              <w:left w:val="single" w:sz="12" w:space="0" w:color="auto"/>
              <w:bottom w:val="single" w:sz="8" w:space="0" w:color="auto"/>
            </w:tcBorders>
            <w:vAlign w:val="center"/>
          </w:tcPr>
          <w:p>
            <w:pPr>
              <w:pStyle w:val="Corpsdetexte2"/>
              <w:rPr>
                <w:lang w:val="fr-BE"/>
              </w:rPr>
            </w:pPr>
            <w:r>
              <w:rPr>
                <w:lang w:val="fr-BE"/>
              </w:rPr>
              <w:t>Nathalie DUJARDIN</w:t>
            </w:r>
          </w:p>
        </w:tc>
        <w:tc>
          <w:tcPr>
            <w:tcW w:w="1620" w:type="dxa"/>
            <w:tcBorders>
              <w:top w:val="single" w:sz="12" w:space="0" w:color="auto"/>
              <w:bottom w:val="single" w:sz="8" w:space="0" w:color="auto"/>
            </w:tcBorders>
            <w:vAlign w:val="center"/>
          </w:tcPr>
          <w:p>
            <w:pPr>
              <w:pStyle w:val="Corpsdetexte2"/>
              <w:ind w:left="-70" w:right="-70"/>
              <w:jc w:val="center"/>
            </w:pPr>
            <w:r>
              <w:t>690.88.59</w:t>
            </w:r>
          </w:p>
        </w:tc>
        <w:tc>
          <w:tcPr>
            <w:tcW w:w="1440" w:type="dxa"/>
            <w:tcBorders>
              <w:top w:val="single" w:sz="12" w:space="0" w:color="auto"/>
              <w:bottom w:val="single" w:sz="8" w:space="0" w:color="auto"/>
            </w:tcBorders>
            <w:vAlign w:val="center"/>
          </w:tcPr>
          <w:p>
            <w:pPr>
              <w:pStyle w:val="Corpsdetexte2"/>
              <w:ind w:left="-33" w:right="-107"/>
              <w:jc w:val="center"/>
            </w:pPr>
            <w:r>
              <w:t>690.85.90</w:t>
            </w:r>
          </w:p>
        </w:tc>
      </w:tr>
      <w:tr>
        <w:trPr>
          <w:trHeight w:hRule="exact" w:val="2256"/>
        </w:trPr>
        <w:tc>
          <w:tcPr>
            <w:tcW w:w="3780" w:type="dxa"/>
            <w:tcBorders>
              <w:top w:val="single" w:sz="8" w:space="0" w:color="auto"/>
              <w:left w:val="single" w:sz="12" w:space="0" w:color="auto"/>
              <w:bottom w:val="single" w:sz="8" w:space="0" w:color="auto"/>
              <w:right w:val="single" w:sz="12" w:space="0" w:color="auto"/>
            </w:tcBorders>
          </w:tcPr>
          <w:p>
            <w:pPr>
              <w:tabs>
                <w:tab w:val="left" w:pos="252"/>
              </w:tabs>
              <w:snapToGrid w:val="0"/>
            </w:pPr>
          </w:p>
          <w:p>
            <w:pPr>
              <w:tabs>
                <w:tab w:val="left" w:pos="252"/>
              </w:tabs>
              <w:snapToGrid w:val="0"/>
            </w:pPr>
            <w:r>
              <w:t>Contrôle de l’obligation scolaire</w:t>
            </w:r>
          </w:p>
          <w:p>
            <w:pPr>
              <w:tabs>
                <w:tab w:val="left" w:pos="252"/>
              </w:tabs>
              <w:snapToGrid w:val="0"/>
              <w:rPr>
                <w:rFonts w:cs="Arial"/>
                <w:i/>
                <w:szCs w:val="22"/>
              </w:rPr>
            </w:pPr>
          </w:p>
          <w:p>
            <w:pPr>
              <w:tabs>
                <w:tab w:val="left" w:pos="252"/>
              </w:tabs>
              <w:snapToGrid w:val="0"/>
              <w:jc w:val="right"/>
              <w:rPr>
                <w:rFonts w:cs="Arial"/>
                <w:i/>
                <w:szCs w:val="22"/>
              </w:rPr>
            </w:pPr>
            <w:r>
              <w:rPr>
                <w:rFonts w:cs="Arial"/>
                <w:i/>
                <w:szCs w:val="22"/>
              </w:rPr>
              <w:tab/>
              <w:t>Coordination du  service</w:t>
            </w:r>
          </w:p>
          <w:p>
            <w:pPr>
              <w:tabs>
                <w:tab w:val="left" w:pos="1134"/>
              </w:tabs>
              <w:snapToGrid w:val="0"/>
              <w:jc w:val="both"/>
              <w:rPr>
                <w:rFonts w:cs="Arial"/>
                <w:i/>
                <w:szCs w:val="22"/>
              </w:rPr>
            </w:pPr>
          </w:p>
          <w:p>
            <w:pPr>
              <w:tabs>
                <w:tab w:val="left" w:pos="252"/>
              </w:tabs>
              <w:snapToGrid w:val="0"/>
              <w:jc w:val="right"/>
              <w:rPr>
                <w:rFonts w:cs="Arial"/>
                <w:i/>
                <w:sz w:val="8"/>
                <w:szCs w:val="8"/>
              </w:rPr>
            </w:pPr>
          </w:p>
          <w:p>
            <w:pPr>
              <w:tabs>
                <w:tab w:val="left" w:pos="252"/>
              </w:tabs>
              <w:snapToGrid w:val="0"/>
              <w:jc w:val="right"/>
              <w:rPr>
                <w:rFonts w:cs="Arial"/>
                <w:i/>
                <w:szCs w:val="22"/>
              </w:rPr>
            </w:pPr>
            <w:r>
              <w:rPr>
                <w:rFonts w:cs="Arial"/>
                <w:i/>
                <w:szCs w:val="22"/>
              </w:rPr>
              <w:t>Assistance administrative</w:t>
            </w:r>
          </w:p>
          <w:p>
            <w:pPr>
              <w:tabs>
                <w:tab w:val="left" w:pos="252"/>
              </w:tabs>
              <w:snapToGrid w:val="0"/>
              <w:rPr>
                <w:rFonts w:cs="Arial"/>
                <w:i/>
                <w:sz w:val="8"/>
                <w:szCs w:val="8"/>
              </w:rPr>
            </w:pPr>
          </w:p>
          <w:p>
            <w:pPr>
              <w:tabs>
                <w:tab w:val="left" w:pos="252"/>
              </w:tabs>
              <w:snapToGrid w:val="0"/>
              <w:jc w:val="right"/>
              <w:rPr>
                <w:rFonts w:cs="Arial"/>
                <w:i/>
                <w:szCs w:val="22"/>
              </w:rPr>
            </w:pPr>
            <w:r>
              <w:rPr>
                <w:rFonts w:cs="Arial"/>
                <w:i/>
                <w:szCs w:val="22"/>
              </w:rPr>
              <w:tab/>
              <w:t>Assistance technique</w:t>
            </w:r>
          </w:p>
          <w:p>
            <w:pPr>
              <w:tabs>
                <w:tab w:val="left" w:pos="252"/>
              </w:tabs>
              <w:snapToGrid w:val="0"/>
              <w:jc w:val="both"/>
              <w:rPr>
                <w:rFonts w:cs="Arial"/>
                <w:i/>
                <w:sz w:val="8"/>
                <w:szCs w:val="8"/>
              </w:rPr>
            </w:pPr>
          </w:p>
        </w:tc>
        <w:tc>
          <w:tcPr>
            <w:tcW w:w="3600" w:type="dxa"/>
            <w:tcBorders>
              <w:top w:val="single" w:sz="8" w:space="0" w:color="auto"/>
              <w:left w:val="single" w:sz="12" w:space="0" w:color="auto"/>
              <w:bottom w:val="single" w:sz="8" w:space="0" w:color="auto"/>
            </w:tcBorders>
          </w:tcPr>
          <w:p>
            <w:pPr>
              <w:tabs>
                <w:tab w:val="left" w:pos="1134"/>
              </w:tabs>
              <w:snapToGrid w:val="0"/>
              <w:jc w:val="both"/>
            </w:pPr>
          </w:p>
          <w:p>
            <w:pPr>
              <w:tabs>
                <w:tab w:val="left" w:pos="1134"/>
              </w:tabs>
              <w:snapToGrid w:val="0"/>
              <w:jc w:val="both"/>
              <w:rPr>
                <w:rFonts w:cs="Arial"/>
                <w:szCs w:val="22"/>
              </w:rPr>
            </w:pPr>
            <w:r>
              <w:t>obsi@cfwb.be</w:t>
            </w:r>
          </w:p>
          <w:p>
            <w:pPr>
              <w:tabs>
                <w:tab w:val="left" w:pos="1134"/>
              </w:tabs>
              <w:snapToGrid w:val="0"/>
              <w:jc w:val="both"/>
              <w:rPr>
                <w:rFonts w:cs="Arial"/>
                <w:szCs w:val="22"/>
              </w:rPr>
            </w:pPr>
          </w:p>
          <w:p>
            <w:pPr>
              <w:tabs>
                <w:tab w:val="left" w:pos="1134"/>
              </w:tabs>
              <w:snapToGrid w:val="0"/>
              <w:jc w:val="both"/>
              <w:rPr>
                <w:rFonts w:cs="Arial"/>
                <w:szCs w:val="22"/>
              </w:rPr>
            </w:pPr>
            <w:r>
              <w:rPr>
                <w:rFonts w:cs="Arial"/>
                <w:szCs w:val="22"/>
              </w:rPr>
              <w:t>Jean-Louis LABOUREUR</w:t>
            </w:r>
          </w:p>
          <w:p>
            <w:pPr>
              <w:tabs>
                <w:tab w:val="left" w:pos="1134"/>
              </w:tabs>
              <w:snapToGrid w:val="0"/>
              <w:jc w:val="both"/>
              <w:rPr>
                <w:rFonts w:cs="Arial"/>
                <w:szCs w:val="22"/>
              </w:rPr>
            </w:pPr>
            <w:r>
              <w:rPr>
                <w:rFonts w:cs="Arial"/>
                <w:szCs w:val="22"/>
              </w:rPr>
              <w:t>Amandine HUNTZINGER</w:t>
            </w:r>
          </w:p>
          <w:p>
            <w:pPr>
              <w:tabs>
                <w:tab w:val="left" w:pos="1134"/>
              </w:tabs>
              <w:snapToGrid w:val="0"/>
              <w:jc w:val="both"/>
              <w:rPr>
                <w:rFonts w:cs="Arial"/>
                <w:sz w:val="8"/>
                <w:szCs w:val="8"/>
              </w:rPr>
            </w:pPr>
          </w:p>
          <w:p>
            <w:pPr>
              <w:tabs>
                <w:tab w:val="left" w:pos="1134"/>
              </w:tabs>
              <w:autoSpaceDE w:val="0"/>
              <w:autoSpaceDN w:val="0"/>
              <w:adjustRightInd w:val="0"/>
              <w:snapToGrid w:val="0"/>
              <w:jc w:val="both"/>
              <w:rPr>
                <w:rFonts w:cs="Arial"/>
                <w:szCs w:val="22"/>
              </w:rPr>
            </w:pPr>
            <w:r>
              <w:rPr>
                <w:rFonts w:cs="Arial"/>
                <w:szCs w:val="22"/>
              </w:rPr>
              <w:t>Sarah MAHJOUBI</w:t>
            </w:r>
          </w:p>
          <w:p>
            <w:pPr>
              <w:tabs>
                <w:tab w:val="left" w:pos="1134"/>
              </w:tabs>
              <w:snapToGrid w:val="0"/>
              <w:jc w:val="both"/>
              <w:rPr>
                <w:rFonts w:cs="Arial"/>
                <w:sz w:val="8"/>
                <w:szCs w:val="8"/>
              </w:rPr>
            </w:pPr>
          </w:p>
          <w:p>
            <w:pPr>
              <w:tabs>
                <w:tab w:val="left" w:pos="1134"/>
              </w:tabs>
              <w:snapToGrid w:val="0"/>
              <w:jc w:val="both"/>
              <w:rPr>
                <w:rFonts w:cs="Arial"/>
                <w:szCs w:val="22"/>
              </w:rPr>
            </w:pPr>
            <w:r>
              <w:rPr>
                <w:rFonts w:cs="Arial"/>
                <w:szCs w:val="22"/>
              </w:rPr>
              <w:t>Touria SOURY</w:t>
            </w:r>
          </w:p>
        </w:tc>
        <w:tc>
          <w:tcPr>
            <w:tcW w:w="1620" w:type="dxa"/>
            <w:tcBorders>
              <w:top w:val="single" w:sz="8" w:space="0" w:color="auto"/>
              <w:bottom w:val="single" w:sz="8" w:space="0" w:color="auto"/>
            </w:tcBorders>
          </w:tcPr>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r>
              <w:rPr>
                <w:rFonts w:cs="Arial"/>
                <w:szCs w:val="22"/>
              </w:rPr>
              <w:t>690.86.24</w:t>
            </w:r>
          </w:p>
          <w:p>
            <w:pPr>
              <w:tabs>
                <w:tab w:val="left" w:pos="1134"/>
              </w:tabs>
              <w:snapToGrid w:val="0"/>
              <w:jc w:val="center"/>
              <w:rPr>
                <w:rFonts w:cs="Arial"/>
                <w:szCs w:val="22"/>
              </w:rPr>
            </w:pPr>
            <w:r>
              <w:rPr>
                <w:rFonts w:cs="Arial"/>
                <w:szCs w:val="22"/>
              </w:rPr>
              <w:t>690.89.22</w:t>
            </w:r>
          </w:p>
          <w:p>
            <w:pPr>
              <w:tabs>
                <w:tab w:val="left" w:pos="1134"/>
              </w:tabs>
              <w:snapToGrid w:val="0"/>
              <w:jc w:val="center"/>
              <w:rPr>
                <w:rFonts w:cs="Arial"/>
                <w:sz w:val="8"/>
                <w:szCs w:val="8"/>
              </w:rPr>
            </w:pPr>
          </w:p>
          <w:p>
            <w:pPr>
              <w:tabs>
                <w:tab w:val="left" w:pos="1134"/>
              </w:tabs>
              <w:snapToGrid w:val="0"/>
              <w:jc w:val="center"/>
              <w:rPr>
                <w:rFonts w:cs="Arial"/>
                <w:szCs w:val="22"/>
              </w:rPr>
            </w:pPr>
            <w:r>
              <w:rPr>
                <w:rFonts w:cs="Arial"/>
                <w:szCs w:val="22"/>
              </w:rPr>
              <w:t>690.84.38</w:t>
            </w:r>
          </w:p>
          <w:p>
            <w:pPr>
              <w:tabs>
                <w:tab w:val="left" w:pos="1134"/>
              </w:tabs>
              <w:snapToGrid w:val="0"/>
              <w:jc w:val="center"/>
              <w:rPr>
                <w:rFonts w:cs="Arial"/>
                <w:sz w:val="8"/>
                <w:szCs w:val="8"/>
              </w:rPr>
            </w:pPr>
          </w:p>
          <w:p>
            <w:pPr>
              <w:tabs>
                <w:tab w:val="left" w:pos="1134"/>
              </w:tabs>
              <w:snapToGrid w:val="0"/>
              <w:jc w:val="center"/>
              <w:rPr>
                <w:rFonts w:cs="Arial"/>
                <w:szCs w:val="22"/>
              </w:rPr>
            </w:pPr>
            <w:r>
              <w:rPr>
                <w:rFonts w:cs="Arial"/>
                <w:szCs w:val="22"/>
              </w:rPr>
              <w:t>690.86.19</w:t>
            </w:r>
          </w:p>
        </w:tc>
        <w:tc>
          <w:tcPr>
            <w:tcW w:w="1440" w:type="dxa"/>
            <w:tcBorders>
              <w:top w:val="single" w:sz="8" w:space="0" w:color="auto"/>
              <w:bottom w:val="single" w:sz="8" w:space="0" w:color="auto"/>
            </w:tcBorders>
          </w:tcPr>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rPr>
                <w:rFonts w:cs="Arial"/>
                <w:szCs w:val="22"/>
              </w:rPr>
            </w:pPr>
          </w:p>
          <w:p>
            <w:pPr>
              <w:tabs>
                <w:tab w:val="left" w:pos="1134"/>
              </w:tabs>
              <w:snapToGrid w:val="0"/>
              <w:jc w:val="center"/>
              <w:rPr>
                <w:rFonts w:cs="Arial"/>
                <w:szCs w:val="22"/>
              </w:rPr>
            </w:pPr>
            <w:r>
              <w:rPr>
                <w:rFonts w:cs="Arial"/>
                <w:szCs w:val="22"/>
              </w:rPr>
              <w:t>690.85.93</w:t>
            </w:r>
          </w:p>
        </w:tc>
      </w:tr>
      <w:tr>
        <w:trPr>
          <w:trHeight w:hRule="exact" w:val="992"/>
        </w:trPr>
        <w:tc>
          <w:tcPr>
            <w:tcW w:w="3780" w:type="dxa"/>
            <w:tcBorders>
              <w:top w:val="single" w:sz="8" w:space="0" w:color="auto"/>
              <w:left w:val="single" w:sz="12" w:space="0" w:color="auto"/>
              <w:bottom w:val="single" w:sz="8" w:space="0" w:color="auto"/>
              <w:right w:val="single" w:sz="12" w:space="0" w:color="auto"/>
            </w:tcBorders>
          </w:tcPr>
          <w:p>
            <w:pPr>
              <w:tabs>
                <w:tab w:val="left" w:pos="252"/>
              </w:tabs>
              <w:snapToGrid w:val="0"/>
              <w:ind w:left="252" w:hanging="252"/>
              <w:rPr>
                <w:rFonts w:cs="Arial"/>
                <w:szCs w:val="22"/>
              </w:rPr>
            </w:pPr>
          </w:p>
          <w:p>
            <w:pPr>
              <w:tabs>
                <w:tab w:val="left" w:pos="252"/>
              </w:tabs>
              <w:snapToGrid w:val="0"/>
              <w:ind w:left="252" w:hanging="252"/>
              <w:rPr>
                <w:rFonts w:cs="Arial"/>
                <w:i/>
                <w:szCs w:val="22"/>
              </w:rPr>
            </w:pPr>
            <w:r>
              <w:rPr>
                <w:rFonts w:cs="Arial"/>
                <w:szCs w:val="22"/>
              </w:rPr>
              <w:t>Contrôle de l’inscription scolaire</w:t>
            </w:r>
          </w:p>
        </w:tc>
        <w:tc>
          <w:tcPr>
            <w:tcW w:w="3600" w:type="dxa"/>
            <w:tcBorders>
              <w:top w:val="single" w:sz="8" w:space="0" w:color="auto"/>
              <w:left w:val="single" w:sz="12" w:space="0" w:color="auto"/>
              <w:bottom w:val="single" w:sz="8" w:space="0" w:color="auto"/>
            </w:tcBorders>
            <w:vAlign w:val="center"/>
          </w:tcPr>
          <w:p>
            <w:pPr>
              <w:tabs>
                <w:tab w:val="left" w:pos="1134"/>
              </w:tabs>
              <w:snapToGrid w:val="0"/>
              <w:jc w:val="both"/>
              <w:rPr>
                <w:rFonts w:cs="Arial"/>
                <w:szCs w:val="22"/>
              </w:rPr>
            </w:pPr>
            <w:r>
              <w:rPr>
                <w:rFonts w:cs="Arial"/>
                <w:szCs w:val="22"/>
              </w:rPr>
              <w:t>obsi_inscription@cfwb.be</w:t>
            </w:r>
          </w:p>
        </w:tc>
        <w:tc>
          <w:tcPr>
            <w:tcW w:w="1620" w:type="dxa"/>
            <w:tcBorders>
              <w:top w:val="single" w:sz="8" w:space="0" w:color="auto"/>
              <w:bottom w:val="single" w:sz="8" w:space="0" w:color="auto"/>
            </w:tcBorders>
            <w:vAlign w:val="center"/>
          </w:tcPr>
          <w:p>
            <w:pPr>
              <w:tabs>
                <w:tab w:val="left" w:pos="1134"/>
              </w:tabs>
              <w:snapToGrid w:val="0"/>
              <w:jc w:val="center"/>
              <w:rPr>
                <w:rFonts w:cs="Arial"/>
                <w:szCs w:val="22"/>
              </w:rPr>
            </w:pPr>
            <w:r>
              <w:rPr>
                <w:rFonts w:cs="Arial"/>
                <w:szCs w:val="22"/>
              </w:rPr>
              <w:t>690.88.32</w:t>
            </w:r>
          </w:p>
        </w:tc>
        <w:tc>
          <w:tcPr>
            <w:tcW w:w="1440" w:type="dxa"/>
            <w:tcBorders>
              <w:top w:val="single" w:sz="8" w:space="0" w:color="auto"/>
              <w:bottom w:val="single" w:sz="8" w:space="0" w:color="auto"/>
            </w:tcBorders>
            <w:vAlign w:val="center"/>
          </w:tcPr>
          <w:p>
            <w:pPr>
              <w:tabs>
                <w:tab w:val="left" w:pos="1134"/>
              </w:tabs>
              <w:snapToGrid w:val="0"/>
              <w:jc w:val="center"/>
              <w:rPr>
                <w:rFonts w:cs="Arial"/>
                <w:szCs w:val="22"/>
              </w:rPr>
            </w:pPr>
            <w:r>
              <w:rPr>
                <w:rFonts w:cs="Arial"/>
                <w:szCs w:val="22"/>
              </w:rPr>
              <w:t>690.85.93</w:t>
            </w:r>
          </w:p>
        </w:tc>
      </w:tr>
      <w:tr>
        <w:trPr>
          <w:trHeight w:hRule="exact" w:val="715"/>
        </w:trPr>
        <w:tc>
          <w:tcPr>
            <w:tcW w:w="3780" w:type="dxa"/>
            <w:tcBorders>
              <w:top w:val="single" w:sz="8" w:space="0" w:color="auto"/>
              <w:left w:val="single" w:sz="12" w:space="0" w:color="auto"/>
              <w:bottom w:val="nil"/>
              <w:right w:val="single" w:sz="12" w:space="0" w:color="auto"/>
            </w:tcBorders>
          </w:tcPr>
          <w:p>
            <w:pPr>
              <w:tabs>
                <w:tab w:val="left" w:pos="252"/>
              </w:tabs>
              <w:snapToGrid w:val="0"/>
              <w:ind w:left="252" w:hanging="252"/>
              <w:rPr>
                <w:rFonts w:cs="Arial"/>
                <w:szCs w:val="22"/>
              </w:rPr>
            </w:pPr>
          </w:p>
          <w:p>
            <w:pPr>
              <w:tabs>
                <w:tab w:val="left" w:pos="252"/>
              </w:tabs>
              <w:snapToGrid w:val="0"/>
              <w:rPr>
                <w:rFonts w:cs="Arial"/>
                <w:szCs w:val="22"/>
              </w:rPr>
            </w:pPr>
            <w:r>
              <w:rPr>
                <w:rFonts w:cs="Arial"/>
                <w:szCs w:val="22"/>
              </w:rPr>
              <w:t>Contrôle de la fréquentation scolaire</w:t>
            </w:r>
          </w:p>
        </w:tc>
        <w:tc>
          <w:tcPr>
            <w:tcW w:w="3600" w:type="dxa"/>
            <w:tcBorders>
              <w:top w:val="single" w:sz="8" w:space="0" w:color="auto"/>
              <w:left w:val="single" w:sz="12" w:space="0" w:color="auto"/>
              <w:bottom w:val="single" w:sz="8" w:space="0" w:color="auto"/>
            </w:tcBorders>
            <w:vAlign w:val="center"/>
          </w:tcPr>
          <w:p>
            <w:pPr>
              <w:tabs>
                <w:tab w:val="left" w:pos="1134"/>
              </w:tabs>
              <w:snapToGrid w:val="0"/>
              <w:jc w:val="both"/>
            </w:pPr>
          </w:p>
          <w:p>
            <w:pPr>
              <w:tabs>
                <w:tab w:val="left" w:pos="1134"/>
              </w:tabs>
              <w:snapToGrid w:val="0"/>
              <w:jc w:val="both"/>
              <w:rPr>
                <w:rFonts w:cs="Arial"/>
                <w:szCs w:val="22"/>
              </w:rPr>
            </w:pPr>
            <w:r>
              <w:t>obsi@cfwb.be</w:t>
            </w:r>
          </w:p>
          <w:p>
            <w:pPr>
              <w:tabs>
                <w:tab w:val="left" w:pos="1134"/>
              </w:tabs>
              <w:snapToGrid w:val="0"/>
              <w:jc w:val="both"/>
              <w:rPr>
                <w:rFonts w:cs="Arial"/>
                <w:szCs w:val="22"/>
              </w:rPr>
            </w:pPr>
          </w:p>
        </w:tc>
        <w:tc>
          <w:tcPr>
            <w:tcW w:w="1620" w:type="dxa"/>
            <w:tcBorders>
              <w:top w:val="single" w:sz="8" w:space="0" w:color="auto"/>
              <w:bottom w:val="single" w:sz="8" w:space="0" w:color="auto"/>
            </w:tcBorders>
            <w:vAlign w:val="center"/>
          </w:tcPr>
          <w:p>
            <w:pPr>
              <w:tabs>
                <w:tab w:val="left" w:pos="1134"/>
              </w:tabs>
              <w:snapToGrid w:val="0"/>
              <w:jc w:val="center"/>
              <w:rPr>
                <w:rFonts w:cs="Arial"/>
                <w:szCs w:val="22"/>
              </w:rPr>
            </w:pPr>
          </w:p>
        </w:tc>
        <w:tc>
          <w:tcPr>
            <w:tcW w:w="1440" w:type="dxa"/>
            <w:tcBorders>
              <w:top w:val="single" w:sz="8" w:space="0" w:color="auto"/>
              <w:bottom w:val="single" w:sz="8" w:space="0" w:color="auto"/>
            </w:tcBorders>
            <w:vAlign w:val="center"/>
          </w:tcPr>
          <w:p>
            <w:pPr>
              <w:tabs>
                <w:tab w:val="left" w:pos="1134"/>
              </w:tabs>
              <w:snapToGrid w:val="0"/>
              <w:jc w:val="center"/>
              <w:rPr>
                <w:rFonts w:cs="Arial"/>
                <w:szCs w:val="22"/>
              </w:rPr>
            </w:pPr>
            <w:r>
              <w:rPr>
                <w:rFonts w:cs="Arial"/>
                <w:szCs w:val="22"/>
              </w:rPr>
              <w:t>690.85.93</w:t>
            </w:r>
          </w:p>
        </w:tc>
      </w:tr>
      <w:tr>
        <w:trPr>
          <w:trHeight w:hRule="exact" w:val="4673"/>
        </w:trPr>
        <w:tc>
          <w:tcPr>
            <w:tcW w:w="3780" w:type="dxa"/>
            <w:tcBorders>
              <w:top w:val="nil"/>
              <w:left w:val="single" w:sz="12" w:space="0" w:color="auto"/>
              <w:bottom w:val="single" w:sz="8" w:space="0" w:color="auto"/>
              <w:right w:val="single" w:sz="12" w:space="0" w:color="auto"/>
            </w:tcBorders>
          </w:tcPr>
          <w:p>
            <w:pPr>
              <w:tabs>
                <w:tab w:val="left" w:pos="1134"/>
              </w:tabs>
              <w:suppressAutoHyphens/>
              <w:snapToGrid w:val="0"/>
              <w:rPr>
                <w:rFonts w:cs="Arial"/>
                <w:i/>
                <w:szCs w:val="22"/>
              </w:rPr>
            </w:pPr>
            <w:r>
              <w:rPr>
                <w:rFonts w:cs="Arial"/>
                <w:i/>
                <w:szCs w:val="22"/>
              </w:rPr>
              <w:t>Brabant wallon</w:t>
            </w:r>
          </w:p>
          <w:p>
            <w:pPr>
              <w:tabs>
                <w:tab w:val="left" w:pos="1134"/>
              </w:tabs>
              <w:suppressAutoHyphens/>
              <w:snapToGrid w:val="0"/>
              <w:rPr>
                <w:rFonts w:cs="Arial"/>
                <w:i/>
                <w:szCs w:val="22"/>
              </w:rPr>
            </w:pPr>
          </w:p>
          <w:p>
            <w:pPr>
              <w:tabs>
                <w:tab w:val="left" w:pos="1134"/>
              </w:tabs>
              <w:suppressAutoHyphens/>
              <w:snapToGrid w:val="0"/>
              <w:rPr>
                <w:rFonts w:cs="Arial"/>
                <w:i/>
                <w:szCs w:val="22"/>
              </w:rPr>
            </w:pPr>
            <w:r>
              <w:rPr>
                <w:rFonts w:cs="Arial"/>
                <w:i/>
                <w:szCs w:val="22"/>
              </w:rPr>
              <w:t>Bruxelles</w:t>
            </w:r>
          </w:p>
          <w:p>
            <w:pPr>
              <w:tabs>
                <w:tab w:val="left" w:pos="1134"/>
              </w:tabs>
              <w:suppressAutoHyphens/>
              <w:snapToGrid w:val="0"/>
              <w:rPr>
                <w:rFonts w:cs="Arial"/>
                <w:i/>
                <w:szCs w:val="22"/>
              </w:rPr>
            </w:pPr>
          </w:p>
          <w:p>
            <w:pPr>
              <w:tabs>
                <w:tab w:val="left" w:pos="1134"/>
              </w:tabs>
              <w:snapToGrid w:val="0"/>
              <w:jc w:val="both"/>
              <w:rPr>
                <w:rFonts w:cs="Arial"/>
                <w:szCs w:val="22"/>
              </w:rPr>
            </w:pPr>
          </w:p>
          <w:p>
            <w:pPr>
              <w:tabs>
                <w:tab w:val="left" w:pos="1134"/>
              </w:tabs>
              <w:suppressAutoHyphens/>
              <w:snapToGrid w:val="0"/>
              <w:rPr>
                <w:rFonts w:cs="Arial"/>
                <w:i/>
                <w:szCs w:val="22"/>
              </w:rPr>
            </w:pPr>
            <w:r>
              <w:rPr>
                <w:rFonts w:cs="Arial"/>
                <w:i/>
                <w:szCs w:val="22"/>
              </w:rPr>
              <w:t>Hainaut</w:t>
            </w:r>
          </w:p>
          <w:p>
            <w:pPr>
              <w:tabs>
                <w:tab w:val="left" w:pos="1134"/>
              </w:tabs>
              <w:suppressAutoHyphens/>
              <w:snapToGrid w:val="0"/>
              <w:rPr>
                <w:rFonts w:cs="Arial"/>
                <w:i/>
                <w:szCs w:val="22"/>
              </w:rPr>
            </w:pPr>
          </w:p>
          <w:p>
            <w:pPr>
              <w:tabs>
                <w:tab w:val="left" w:pos="1134"/>
              </w:tabs>
              <w:suppressAutoHyphens/>
              <w:snapToGrid w:val="0"/>
              <w:rPr>
                <w:rFonts w:cs="Arial"/>
                <w:i/>
                <w:szCs w:val="22"/>
              </w:rPr>
            </w:pPr>
          </w:p>
          <w:p>
            <w:pPr>
              <w:tabs>
                <w:tab w:val="left" w:pos="1134"/>
              </w:tabs>
              <w:suppressAutoHyphens/>
              <w:snapToGrid w:val="0"/>
              <w:rPr>
                <w:rFonts w:cs="Arial"/>
                <w:i/>
                <w:szCs w:val="22"/>
              </w:rPr>
            </w:pPr>
          </w:p>
          <w:p>
            <w:pPr>
              <w:tabs>
                <w:tab w:val="left" w:pos="1134"/>
              </w:tabs>
              <w:suppressAutoHyphens/>
              <w:snapToGrid w:val="0"/>
              <w:rPr>
                <w:rFonts w:cs="Arial"/>
                <w:i/>
                <w:szCs w:val="22"/>
              </w:rPr>
            </w:pPr>
          </w:p>
          <w:p>
            <w:pPr>
              <w:tabs>
                <w:tab w:val="left" w:pos="1134"/>
              </w:tabs>
              <w:suppressAutoHyphens/>
              <w:snapToGrid w:val="0"/>
              <w:rPr>
                <w:rFonts w:cs="Arial"/>
                <w:i/>
                <w:szCs w:val="22"/>
              </w:rPr>
            </w:pPr>
            <w:r>
              <w:rPr>
                <w:rFonts w:cs="Arial"/>
                <w:i/>
                <w:szCs w:val="22"/>
              </w:rPr>
              <w:t>Liège</w:t>
            </w:r>
          </w:p>
          <w:p>
            <w:pPr>
              <w:tabs>
                <w:tab w:val="left" w:pos="1134"/>
              </w:tabs>
              <w:snapToGrid w:val="0"/>
              <w:jc w:val="both"/>
              <w:rPr>
                <w:rFonts w:cs="Arial"/>
                <w:szCs w:val="22"/>
              </w:rPr>
            </w:pPr>
          </w:p>
          <w:p>
            <w:pPr>
              <w:tabs>
                <w:tab w:val="left" w:pos="1134"/>
              </w:tabs>
              <w:snapToGrid w:val="0"/>
              <w:jc w:val="both"/>
              <w:rPr>
                <w:rFonts w:cs="Arial"/>
                <w:szCs w:val="22"/>
              </w:rPr>
            </w:pPr>
          </w:p>
          <w:p>
            <w:pPr>
              <w:tabs>
                <w:tab w:val="left" w:pos="1134"/>
              </w:tabs>
              <w:snapToGrid w:val="0"/>
              <w:jc w:val="both"/>
              <w:rPr>
                <w:rFonts w:cs="Arial"/>
                <w:szCs w:val="22"/>
              </w:rPr>
            </w:pPr>
            <w:r>
              <w:rPr>
                <w:rFonts w:cs="Arial"/>
                <w:szCs w:val="22"/>
              </w:rPr>
              <w:t>Luxembourg</w:t>
            </w:r>
          </w:p>
          <w:p>
            <w:pPr>
              <w:tabs>
                <w:tab w:val="left" w:pos="1134"/>
              </w:tabs>
              <w:snapToGrid w:val="0"/>
              <w:jc w:val="both"/>
              <w:rPr>
                <w:rFonts w:cs="Arial"/>
                <w:szCs w:val="22"/>
              </w:rPr>
            </w:pPr>
          </w:p>
          <w:p>
            <w:pPr>
              <w:tabs>
                <w:tab w:val="left" w:pos="1134"/>
              </w:tabs>
              <w:snapToGrid w:val="0"/>
              <w:jc w:val="both"/>
              <w:rPr>
                <w:rFonts w:cs="Arial"/>
                <w:szCs w:val="22"/>
              </w:rPr>
            </w:pPr>
            <w:r>
              <w:rPr>
                <w:rFonts w:cs="Arial"/>
                <w:szCs w:val="22"/>
              </w:rPr>
              <w:t xml:space="preserve">Namur </w:t>
            </w:r>
          </w:p>
          <w:p>
            <w:pPr>
              <w:tabs>
                <w:tab w:val="left" w:pos="1134"/>
              </w:tabs>
              <w:snapToGrid w:val="0"/>
              <w:jc w:val="both"/>
              <w:rPr>
                <w:rFonts w:cs="Arial"/>
                <w:szCs w:val="22"/>
              </w:rPr>
            </w:pPr>
          </w:p>
          <w:p>
            <w:pPr>
              <w:tabs>
                <w:tab w:val="left" w:pos="1134"/>
              </w:tabs>
              <w:snapToGrid w:val="0"/>
              <w:jc w:val="both"/>
              <w:rPr>
                <w:rFonts w:cs="Arial"/>
                <w:sz w:val="16"/>
                <w:szCs w:val="16"/>
              </w:rPr>
            </w:pPr>
          </w:p>
        </w:tc>
        <w:tc>
          <w:tcPr>
            <w:tcW w:w="3600" w:type="dxa"/>
            <w:tcBorders>
              <w:left w:val="single" w:sz="12" w:space="0" w:color="auto"/>
            </w:tcBorders>
          </w:tcPr>
          <w:p>
            <w:pPr>
              <w:tabs>
                <w:tab w:val="left" w:pos="1134"/>
              </w:tabs>
              <w:snapToGrid w:val="0"/>
              <w:jc w:val="both"/>
              <w:rPr>
                <w:rFonts w:cs="Arial"/>
                <w:szCs w:val="22"/>
                <w:lang w:val="fr-BE"/>
              </w:rPr>
            </w:pPr>
            <w:r>
              <w:rPr>
                <w:rFonts w:cs="Arial"/>
                <w:szCs w:val="22"/>
                <w:lang w:val="fr-BE"/>
              </w:rPr>
              <w:t>Demis HOUTRELLE</w:t>
            </w:r>
          </w:p>
          <w:p>
            <w:pPr>
              <w:tabs>
                <w:tab w:val="left" w:pos="1134"/>
              </w:tabs>
              <w:snapToGrid w:val="0"/>
              <w:jc w:val="both"/>
              <w:rPr>
                <w:rFonts w:cs="Arial"/>
                <w:szCs w:val="22"/>
                <w:lang w:val="fr-BE"/>
              </w:rPr>
            </w:pPr>
          </w:p>
          <w:p>
            <w:pPr>
              <w:tabs>
                <w:tab w:val="left" w:pos="1134"/>
              </w:tabs>
              <w:snapToGrid w:val="0"/>
              <w:jc w:val="both"/>
              <w:rPr>
                <w:rFonts w:cs="Arial"/>
                <w:szCs w:val="22"/>
                <w:lang w:val="fr-BE"/>
              </w:rPr>
            </w:pPr>
            <w:r>
              <w:rPr>
                <w:rFonts w:cs="Arial"/>
                <w:szCs w:val="22"/>
                <w:lang w:val="fr-BE"/>
              </w:rPr>
              <w:t>Laetitia DETHIER</w:t>
            </w:r>
          </w:p>
          <w:p>
            <w:pPr>
              <w:tabs>
                <w:tab w:val="left" w:pos="1134"/>
              </w:tabs>
              <w:snapToGrid w:val="0"/>
              <w:jc w:val="both"/>
              <w:rPr>
                <w:rFonts w:cs="Arial"/>
                <w:szCs w:val="22"/>
                <w:lang w:val="fr-BE"/>
              </w:rPr>
            </w:pPr>
            <w:r>
              <w:rPr>
                <w:rFonts w:cs="Arial"/>
                <w:szCs w:val="22"/>
                <w:lang w:val="fr-BE"/>
              </w:rPr>
              <w:t>Jennifer PLANCKE</w:t>
            </w:r>
          </w:p>
          <w:p>
            <w:pPr>
              <w:tabs>
                <w:tab w:val="left" w:pos="1134"/>
              </w:tabs>
              <w:snapToGrid w:val="0"/>
              <w:jc w:val="both"/>
              <w:rPr>
                <w:rFonts w:cs="Arial"/>
                <w:szCs w:val="22"/>
                <w:lang w:val="fr-BE"/>
              </w:rPr>
            </w:pPr>
          </w:p>
          <w:p>
            <w:pPr>
              <w:tabs>
                <w:tab w:val="left" w:pos="1134"/>
              </w:tabs>
              <w:snapToGrid w:val="0"/>
              <w:jc w:val="both"/>
              <w:rPr>
                <w:rFonts w:cs="Arial"/>
                <w:szCs w:val="22"/>
                <w:lang w:val="en-GB"/>
              </w:rPr>
            </w:pPr>
            <w:r>
              <w:rPr>
                <w:rFonts w:cs="Arial"/>
                <w:szCs w:val="22"/>
                <w:lang w:val="en-GB"/>
              </w:rPr>
              <w:t>Géraldine THUNIS</w:t>
            </w:r>
          </w:p>
          <w:p>
            <w:pPr>
              <w:tabs>
                <w:tab w:val="left" w:pos="1134"/>
              </w:tabs>
              <w:snapToGrid w:val="0"/>
              <w:jc w:val="both"/>
              <w:rPr>
                <w:rFonts w:cs="Arial"/>
                <w:szCs w:val="22"/>
                <w:lang w:val="en-GB"/>
              </w:rPr>
            </w:pPr>
            <w:r>
              <w:rPr>
                <w:rFonts w:cs="Arial"/>
                <w:szCs w:val="22"/>
                <w:lang w:val="en-GB"/>
              </w:rPr>
              <w:t>Evelyne DE DREE</w:t>
            </w:r>
          </w:p>
          <w:p>
            <w:pPr>
              <w:tabs>
                <w:tab w:val="left" w:pos="1134"/>
              </w:tabs>
              <w:snapToGrid w:val="0"/>
              <w:jc w:val="both"/>
              <w:rPr>
                <w:rFonts w:cs="Arial"/>
                <w:szCs w:val="22"/>
                <w:lang w:val="en-GB"/>
              </w:rPr>
            </w:pPr>
            <w:r>
              <w:rPr>
                <w:rFonts w:cs="Arial"/>
                <w:szCs w:val="22"/>
                <w:lang w:val="en-GB"/>
              </w:rPr>
              <w:t>Hinde Hana KERKOUB</w:t>
            </w:r>
          </w:p>
          <w:p>
            <w:pPr>
              <w:tabs>
                <w:tab w:val="left" w:pos="1134"/>
              </w:tabs>
              <w:snapToGrid w:val="0"/>
              <w:jc w:val="both"/>
              <w:rPr>
                <w:rFonts w:cs="Arial"/>
                <w:szCs w:val="22"/>
                <w:lang w:val="en-GB"/>
              </w:rPr>
            </w:pPr>
            <w:r>
              <w:rPr>
                <w:rFonts w:cs="Arial"/>
                <w:szCs w:val="22"/>
                <w:lang w:val="en-GB"/>
              </w:rPr>
              <w:t>Samia LEDHEM</w:t>
            </w:r>
          </w:p>
          <w:p>
            <w:pPr>
              <w:tabs>
                <w:tab w:val="left" w:pos="1134"/>
              </w:tabs>
              <w:snapToGrid w:val="0"/>
              <w:jc w:val="both"/>
              <w:rPr>
                <w:rFonts w:cs="Arial"/>
                <w:szCs w:val="22"/>
                <w:lang w:val="en-GB"/>
              </w:rPr>
            </w:pPr>
          </w:p>
          <w:p>
            <w:pPr>
              <w:tabs>
                <w:tab w:val="left" w:pos="1134"/>
              </w:tabs>
              <w:snapToGrid w:val="0"/>
              <w:jc w:val="both"/>
              <w:rPr>
                <w:rFonts w:cs="Arial"/>
                <w:szCs w:val="22"/>
                <w:lang w:val="en-GB"/>
              </w:rPr>
            </w:pPr>
            <w:r>
              <w:rPr>
                <w:rFonts w:cs="Arial"/>
                <w:szCs w:val="22"/>
                <w:lang w:val="en-GB"/>
              </w:rPr>
              <w:t>Geoffroy SINON</w:t>
            </w:r>
          </w:p>
          <w:p>
            <w:pPr>
              <w:tabs>
                <w:tab w:val="left" w:pos="1134"/>
              </w:tabs>
              <w:snapToGrid w:val="0"/>
              <w:jc w:val="both"/>
              <w:rPr>
                <w:rFonts w:cs="Arial"/>
                <w:szCs w:val="22"/>
                <w:lang w:val="en-GB"/>
              </w:rPr>
            </w:pPr>
            <w:r>
              <w:rPr>
                <w:rFonts w:cs="Arial"/>
                <w:szCs w:val="22"/>
                <w:lang w:val="en-GB"/>
              </w:rPr>
              <w:t>Patrick GOSSE</w:t>
            </w:r>
          </w:p>
          <w:p>
            <w:pPr>
              <w:tabs>
                <w:tab w:val="left" w:pos="1134"/>
              </w:tabs>
              <w:snapToGrid w:val="0"/>
              <w:jc w:val="both"/>
              <w:rPr>
                <w:rFonts w:cs="Arial"/>
                <w:szCs w:val="22"/>
                <w:lang w:val="en-GB"/>
              </w:rPr>
            </w:pPr>
          </w:p>
          <w:p>
            <w:pPr>
              <w:tabs>
                <w:tab w:val="left" w:pos="1134"/>
              </w:tabs>
              <w:snapToGrid w:val="0"/>
              <w:jc w:val="both"/>
              <w:rPr>
                <w:rFonts w:cs="Arial"/>
                <w:szCs w:val="22"/>
                <w:lang w:val="en-GB"/>
              </w:rPr>
            </w:pPr>
            <w:r>
              <w:rPr>
                <w:rFonts w:cs="Arial"/>
                <w:szCs w:val="22"/>
                <w:lang w:val="en-GB"/>
              </w:rPr>
              <w:t>Samia LEDHEM</w:t>
            </w:r>
          </w:p>
          <w:p>
            <w:pPr>
              <w:tabs>
                <w:tab w:val="left" w:pos="1134"/>
              </w:tabs>
              <w:snapToGrid w:val="0"/>
              <w:jc w:val="both"/>
              <w:rPr>
                <w:rFonts w:cs="Arial"/>
                <w:szCs w:val="22"/>
                <w:lang w:val="en-GB"/>
              </w:rPr>
            </w:pPr>
          </w:p>
          <w:p>
            <w:pPr>
              <w:tabs>
                <w:tab w:val="left" w:pos="1134"/>
              </w:tabs>
              <w:snapToGrid w:val="0"/>
              <w:jc w:val="both"/>
              <w:rPr>
                <w:rFonts w:cs="Arial"/>
                <w:szCs w:val="22"/>
                <w:lang w:val="en-GB"/>
              </w:rPr>
            </w:pPr>
            <w:r>
              <w:rPr>
                <w:rFonts w:cs="Arial"/>
                <w:szCs w:val="22"/>
                <w:lang w:val="fr-BE"/>
              </w:rPr>
              <w:t>Demis HOUTRELLE</w:t>
            </w:r>
          </w:p>
          <w:p>
            <w:pPr>
              <w:tabs>
                <w:tab w:val="left" w:pos="1134"/>
              </w:tabs>
              <w:snapToGrid w:val="0"/>
              <w:jc w:val="both"/>
              <w:rPr>
                <w:rFonts w:cs="Arial"/>
                <w:szCs w:val="22"/>
                <w:lang w:val="en-GB"/>
              </w:rPr>
            </w:pPr>
          </w:p>
          <w:p>
            <w:pPr>
              <w:tabs>
                <w:tab w:val="left" w:pos="1134"/>
              </w:tabs>
              <w:snapToGrid w:val="0"/>
              <w:jc w:val="both"/>
              <w:rPr>
                <w:rFonts w:cs="Arial"/>
                <w:szCs w:val="22"/>
                <w:lang w:val="fr-BE"/>
              </w:rPr>
            </w:pPr>
          </w:p>
        </w:tc>
        <w:tc>
          <w:tcPr>
            <w:tcW w:w="1620" w:type="dxa"/>
          </w:tcPr>
          <w:p>
            <w:pPr>
              <w:tabs>
                <w:tab w:val="left" w:pos="1134"/>
              </w:tabs>
              <w:snapToGrid w:val="0"/>
              <w:jc w:val="center"/>
              <w:rPr>
                <w:rFonts w:cs="Arial"/>
                <w:szCs w:val="22"/>
              </w:rPr>
            </w:pPr>
            <w:r>
              <w:rPr>
                <w:rFonts w:cs="Arial"/>
                <w:szCs w:val="22"/>
              </w:rPr>
              <w:t>690.83.34</w:t>
            </w:r>
          </w:p>
          <w:p>
            <w:pPr>
              <w:tabs>
                <w:tab w:val="left" w:pos="1134"/>
              </w:tabs>
              <w:snapToGrid w:val="0"/>
              <w:jc w:val="center"/>
              <w:rPr>
                <w:rFonts w:cs="Arial"/>
                <w:szCs w:val="22"/>
              </w:rPr>
            </w:pPr>
          </w:p>
          <w:p>
            <w:pPr>
              <w:tabs>
                <w:tab w:val="left" w:pos="1134"/>
              </w:tabs>
              <w:snapToGrid w:val="0"/>
              <w:jc w:val="center"/>
              <w:rPr>
                <w:rFonts w:cs="Arial"/>
                <w:szCs w:val="22"/>
              </w:rPr>
            </w:pPr>
            <w:r>
              <w:rPr>
                <w:rFonts w:cs="Arial"/>
                <w:szCs w:val="22"/>
              </w:rPr>
              <w:t>690.83.62</w:t>
            </w:r>
          </w:p>
          <w:p>
            <w:pPr>
              <w:tabs>
                <w:tab w:val="left" w:pos="1134"/>
              </w:tabs>
              <w:snapToGrid w:val="0"/>
              <w:jc w:val="center"/>
              <w:rPr>
                <w:rFonts w:cs="Arial"/>
                <w:szCs w:val="22"/>
              </w:rPr>
            </w:pPr>
            <w:r>
              <w:rPr>
                <w:rFonts w:cs="Arial"/>
                <w:szCs w:val="22"/>
              </w:rPr>
              <w:t>690.83.65</w:t>
            </w:r>
          </w:p>
          <w:p>
            <w:pPr>
              <w:tabs>
                <w:tab w:val="left" w:pos="1134"/>
              </w:tabs>
              <w:snapToGrid w:val="0"/>
              <w:jc w:val="center"/>
              <w:rPr>
                <w:rFonts w:cs="Arial"/>
                <w:szCs w:val="22"/>
              </w:rPr>
            </w:pPr>
          </w:p>
          <w:p>
            <w:pPr>
              <w:tabs>
                <w:tab w:val="left" w:pos="1134"/>
              </w:tabs>
              <w:snapToGrid w:val="0"/>
              <w:jc w:val="center"/>
              <w:rPr>
                <w:rFonts w:cs="Arial"/>
                <w:szCs w:val="22"/>
              </w:rPr>
            </w:pPr>
            <w:r>
              <w:rPr>
                <w:rFonts w:cs="Arial"/>
                <w:szCs w:val="22"/>
              </w:rPr>
              <w:t>690.83.73</w:t>
            </w:r>
          </w:p>
          <w:p>
            <w:pPr>
              <w:tabs>
                <w:tab w:val="left" w:pos="1134"/>
              </w:tabs>
              <w:snapToGrid w:val="0"/>
              <w:jc w:val="center"/>
              <w:rPr>
                <w:rFonts w:cs="Arial"/>
                <w:szCs w:val="22"/>
              </w:rPr>
            </w:pPr>
            <w:r>
              <w:rPr>
                <w:rFonts w:cs="Arial"/>
                <w:szCs w:val="22"/>
              </w:rPr>
              <w:t>413.26.27</w:t>
            </w:r>
          </w:p>
          <w:p>
            <w:pPr>
              <w:tabs>
                <w:tab w:val="left" w:pos="1134"/>
              </w:tabs>
              <w:snapToGrid w:val="0"/>
              <w:jc w:val="center"/>
              <w:rPr>
                <w:rFonts w:cs="Arial"/>
                <w:szCs w:val="22"/>
              </w:rPr>
            </w:pPr>
            <w:r>
              <w:rPr>
                <w:rFonts w:cs="Arial"/>
                <w:szCs w:val="22"/>
              </w:rPr>
              <w:t>690.82.15</w:t>
            </w:r>
          </w:p>
          <w:p>
            <w:pPr>
              <w:tabs>
                <w:tab w:val="left" w:pos="1134"/>
              </w:tabs>
              <w:snapToGrid w:val="0"/>
              <w:jc w:val="center"/>
              <w:rPr>
                <w:rFonts w:cs="Arial"/>
                <w:szCs w:val="22"/>
              </w:rPr>
            </w:pPr>
            <w:r>
              <w:rPr>
                <w:rFonts w:cs="Arial"/>
                <w:szCs w:val="22"/>
              </w:rPr>
              <w:t>413.26.58</w:t>
            </w:r>
          </w:p>
          <w:p>
            <w:pPr>
              <w:tabs>
                <w:tab w:val="left" w:pos="1134"/>
              </w:tabs>
              <w:snapToGrid w:val="0"/>
              <w:jc w:val="center"/>
              <w:rPr>
                <w:rFonts w:cs="Arial"/>
                <w:szCs w:val="22"/>
              </w:rPr>
            </w:pPr>
          </w:p>
          <w:p>
            <w:pPr>
              <w:tabs>
                <w:tab w:val="left" w:pos="1134"/>
              </w:tabs>
              <w:snapToGrid w:val="0"/>
              <w:jc w:val="center"/>
              <w:rPr>
                <w:rFonts w:cs="Arial"/>
                <w:szCs w:val="22"/>
              </w:rPr>
            </w:pPr>
            <w:r>
              <w:rPr>
                <w:rFonts w:cs="Arial"/>
                <w:szCs w:val="22"/>
              </w:rPr>
              <w:t>690.83.57</w:t>
            </w:r>
          </w:p>
          <w:p>
            <w:pPr>
              <w:tabs>
                <w:tab w:val="left" w:pos="1134"/>
              </w:tabs>
              <w:snapToGrid w:val="0"/>
              <w:jc w:val="center"/>
              <w:rPr>
                <w:rFonts w:cs="Arial"/>
                <w:szCs w:val="22"/>
              </w:rPr>
            </w:pPr>
            <w:r>
              <w:rPr>
                <w:rFonts w:cs="Arial"/>
                <w:szCs w:val="22"/>
              </w:rPr>
              <w:t>690.85.10</w:t>
            </w:r>
          </w:p>
          <w:p>
            <w:pPr>
              <w:tabs>
                <w:tab w:val="left" w:pos="1134"/>
              </w:tabs>
              <w:snapToGrid w:val="0"/>
              <w:jc w:val="center"/>
              <w:rPr>
                <w:rFonts w:cs="Arial"/>
                <w:szCs w:val="22"/>
              </w:rPr>
            </w:pPr>
          </w:p>
          <w:p>
            <w:pPr>
              <w:tabs>
                <w:tab w:val="left" w:pos="1134"/>
              </w:tabs>
              <w:snapToGrid w:val="0"/>
              <w:jc w:val="center"/>
              <w:rPr>
                <w:rFonts w:cs="Arial"/>
                <w:sz w:val="8"/>
                <w:szCs w:val="8"/>
              </w:rPr>
            </w:pPr>
            <w:r>
              <w:rPr>
                <w:rFonts w:cs="Arial"/>
                <w:szCs w:val="22"/>
              </w:rPr>
              <w:t>413.26.58</w:t>
            </w:r>
          </w:p>
          <w:p>
            <w:pPr>
              <w:tabs>
                <w:tab w:val="left" w:pos="1134"/>
              </w:tabs>
              <w:snapToGrid w:val="0"/>
              <w:jc w:val="center"/>
              <w:rPr>
                <w:rFonts w:cs="Arial"/>
                <w:szCs w:val="22"/>
              </w:rPr>
            </w:pPr>
          </w:p>
          <w:p>
            <w:pPr>
              <w:tabs>
                <w:tab w:val="left" w:pos="1134"/>
              </w:tabs>
              <w:snapToGrid w:val="0"/>
              <w:jc w:val="center"/>
              <w:rPr>
                <w:rFonts w:cs="Arial"/>
                <w:szCs w:val="22"/>
              </w:rPr>
            </w:pPr>
            <w:r>
              <w:rPr>
                <w:rFonts w:cs="Arial"/>
                <w:szCs w:val="22"/>
              </w:rPr>
              <w:t>690.83.34</w:t>
            </w:r>
          </w:p>
          <w:p>
            <w:pPr>
              <w:tabs>
                <w:tab w:val="left" w:pos="1134"/>
              </w:tabs>
              <w:snapToGrid w:val="0"/>
              <w:jc w:val="center"/>
              <w:rPr>
                <w:rFonts w:cs="Arial"/>
                <w:szCs w:val="22"/>
              </w:rPr>
            </w:pPr>
          </w:p>
          <w:p>
            <w:pPr>
              <w:tabs>
                <w:tab w:val="left" w:pos="1134"/>
              </w:tabs>
              <w:snapToGrid w:val="0"/>
              <w:jc w:val="center"/>
              <w:rPr>
                <w:rFonts w:cs="Arial"/>
                <w:szCs w:val="22"/>
              </w:rPr>
            </w:pPr>
          </w:p>
        </w:tc>
        <w:tc>
          <w:tcPr>
            <w:tcW w:w="1440" w:type="dxa"/>
          </w:tcPr>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p>
          <w:p>
            <w:pPr>
              <w:tabs>
                <w:tab w:val="left" w:pos="1134"/>
              </w:tabs>
              <w:snapToGrid w:val="0"/>
              <w:jc w:val="center"/>
              <w:rPr>
                <w:rFonts w:cs="Arial"/>
                <w:szCs w:val="22"/>
              </w:rPr>
            </w:pPr>
            <w:r>
              <w:rPr>
                <w:rFonts w:cs="Arial"/>
                <w:szCs w:val="22"/>
              </w:rPr>
              <w:t>690.85.93</w:t>
            </w:r>
          </w:p>
        </w:tc>
      </w:tr>
      <w:tr>
        <w:trPr>
          <w:trHeight w:hRule="exact" w:val="1272"/>
        </w:trPr>
        <w:tc>
          <w:tcPr>
            <w:tcW w:w="3780" w:type="dxa"/>
            <w:tcBorders>
              <w:top w:val="single" w:sz="8" w:space="0" w:color="auto"/>
              <w:bottom w:val="single" w:sz="8" w:space="0" w:color="auto"/>
              <w:right w:val="single" w:sz="12" w:space="0" w:color="auto"/>
            </w:tcBorders>
            <w:vAlign w:val="center"/>
          </w:tcPr>
          <w:p>
            <w:pPr>
              <w:pStyle w:val="Corpsdetexte2"/>
              <w:jc w:val="left"/>
            </w:pPr>
            <w:r>
              <w:t>Dérogations d'âge</w:t>
            </w:r>
          </w:p>
          <w:p>
            <w:pPr>
              <w:pStyle w:val="Corpsdetexte2"/>
              <w:numPr>
                <w:ilvl w:val="0"/>
                <w:numId w:val="109"/>
              </w:numPr>
              <w:pBdr>
                <w:bottom w:val="single" w:sz="4" w:space="1" w:color="auto"/>
              </w:pBdr>
              <w:jc w:val="left"/>
              <w:rPr>
                <w:spacing w:val="-2"/>
              </w:rPr>
            </w:pPr>
            <w:r>
              <w:rPr>
                <w:spacing w:val="-2"/>
              </w:rPr>
              <w:t>maintien en M3</w:t>
            </w:r>
          </w:p>
          <w:p>
            <w:pPr>
              <w:pStyle w:val="Corpsdetexte2"/>
              <w:numPr>
                <w:ilvl w:val="0"/>
                <w:numId w:val="109"/>
              </w:numPr>
              <w:jc w:val="left"/>
              <w:rPr>
                <w:spacing w:val="-2"/>
              </w:rPr>
            </w:pPr>
            <w:r>
              <w:t>avancement en P1</w:t>
            </w:r>
          </w:p>
          <w:p>
            <w:pPr>
              <w:pStyle w:val="Corpsdetexte2"/>
              <w:numPr>
                <w:ilvl w:val="0"/>
                <w:numId w:val="109"/>
              </w:numPr>
              <w:jc w:val="left"/>
              <w:rPr>
                <w:spacing w:val="-2"/>
              </w:rPr>
            </w:pPr>
            <w:r>
              <w:t>maintien en primaire (P8-P9)</w:t>
            </w:r>
          </w:p>
        </w:tc>
        <w:tc>
          <w:tcPr>
            <w:tcW w:w="3600" w:type="dxa"/>
            <w:tcBorders>
              <w:left w:val="single" w:sz="12" w:space="0" w:color="auto"/>
            </w:tcBorders>
            <w:vAlign w:val="center"/>
          </w:tcPr>
          <w:p>
            <w:pPr>
              <w:pStyle w:val="Corpsdetexte2"/>
              <w:rPr>
                <w:lang w:val="fr-BE"/>
              </w:rPr>
            </w:pPr>
          </w:p>
          <w:p>
            <w:pPr>
              <w:pStyle w:val="Corpsdetexte2"/>
              <w:pBdr>
                <w:bottom w:val="single" w:sz="4" w:space="1" w:color="auto"/>
              </w:pBdr>
              <w:rPr>
                <w:lang w:val="en-US"/>
              </w:rPr>
            </w:pPr>
            <w:r>
              <w:rPr>
                <w:lang w:val="en-US"/>
              </w:rPr>
              <w:t>Delphine WILLEMME</w:t>
            </w:r>
          </w:p>
          <w:p>
            <w:pPr>
              <w:pStyle w:val="Corpsdetexte2"/>
              <w:rPr>
                <w:lang w:val="en-US"/>
              </w:rPr>
            </w:pPr>
            <w:r>
              <w:rPr>
                <w:lang w:val="en-US"/>
              </w:rPr>
              <w:t>Giuseppina CELLAURO</w:t>
            </w:r>
          </w:p>
          <w:p>
            <w:pPr>
              <w:pStyle w:val="Corpsdetexte2"/>
              <w:rPr>
                <w:lang w:val="en-US"/>
              </w:rPr>
            </w:pPr>
            <w:r>
              <w:rPr>
                <w:lang w:val="en-US"/>
              </w:rPr>
              <w:t>Giuseppina CELLAURO</w:t>
            </w:r>
          </w:p>
        </w:tc>
        <w:tc>
          <w:tcPr>
            <w:tcW w:w="1620" w:type="dxa"/>
            <w:vAlign w:val="center"/>
          </w:tcPr>
          <w:p>
            <w:pPr>
              <w:pStyle w:val="Corpsdetexte2"/>
              <w:ind w:right="-70"/>
              <w:rPr>
                <w:lang w:val="en-US"/>
              </w:rPr>
            </w:pPr>
          </w:p>
          <w:p>
            <w:pPr>
              <w:pStyle w:val="Corpsdetexte2"/>
              <w:pBdr>
                <w:bottom w:val="single" w:sz="4" w:space="1" w:color="auto"/>
              </w:pBdr>
              <w:ind w:right="-70"/>
              <w:jc w:val="center"/>
              <w:rPr>
                <w:lang w:val="fr-BE"/>
              </w:rPr>
            </w:pPr>
            <w:r>
              <w:rPr>
                <w:lang w:val="fr-BE"/>
              </w:rPr>
              <w:t>690.80.75</w:t>
            </w:r>
          </w:p>
          <w:p>
            <w:pPr>
              <w:pStyle w:val="Corpsdetexte2"/>
              <w:ind w:left="-70" w:right="-70"/>
              <w:jc w:val="center"/>
              <w:rPr>
                <w:lang w:val="fr-BE"/>
              </w:rPr>
            </w:pPr>
            <w:r>
              <w:rPr>
                <w:lang w:val="fr-BE"/>
              </w:rPr>
              <w:t>690.83.01</w:t>
            </w:r>
          </w:p>
          <w:p>
            <w:pPr>
              <w:pStyle w:val="Corpsdetexte2"/>
              <w:ind w:left="-70" w:right="-70"/>
              <w:jc w:val="center"/>
              <w:rPr>
                <w:lang w:val="fr-BE"/>
              </w:rPr>
            </w:pPr>
            <w:r>
              <w:rPr>
                <w:lang w:val="fr-BE"/>
              </w:rPr>
              <w:t>690.83.01</w:t>
            </w:r>
          </w:p>
        </w:tc>
        <w:tc>
          <w:tcPr>
            <w:tcW w:w="1440" w:type="dxa"/>
            <w:vAlign w:val="center"/>
          </w:tcPr>
          <w:p>
            <w:pPr>
              <w:pStyle w:val="Corpsdetexte2"/>
              <w:ind w:left="-33" w:right="-107"/>
            </w:pPr>
          </w:p>
          <w:p>
            <w:pPr>
              <w:pStyle w:val="Corpsdetexte2"/>
              <w:pBdr>
                <w:bottom w:val="single" w:sz="4" w:space="1" w:color="auto"/>
              </w:pBdr>
              <w:ind w:left="-33" w:right="-107"/>
            </w:pPr>
            <w:r>
              <w:t>690.80.91</w:t>
            </w:r>
          </w:p>
          <w:p>
            <w:pPr>
              <w:pStyle w:val="Corpsdetexte2"/>
              <w:ind w:left="-33" w:right="-107"/>
            </w:pPr>
            <w:r>
              <w:t>690.85.77</w:t>
            </w:r>
          </w:p>
          <w:p>
            <w:pPr>
              <w:pStyle w:val="Corpsdetexte2"/>
              <w:ind w:left="-33" w:right="-107"/>
            </w:pPr>
            <w:r>
              <w:t>690.85.77</w:t>
            </w:r>
          </w:p>
        </w:tc>
      </w:tr>
    </w:tbl>
    <w:p>
      <w:r>
        <w:br w:type="page"/>
      </w:r>
    </w:p>
    <w:tbl>
      <w:tblPr>
        <w:tblW w:w="10440" w:type="dxa"/>
        <w:tblInd w:w="-11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3780"/>
        <w:gridCol w:w="3600"/>
        <w:gridCol w:w="1620"/>
        <w:gridCol w:w="1440"/>
      </w:tblGrid>
      <w:tr>
        <w:trPr>
          <w:trHeight w:hRule="exact" w:val="883"/>
        </w:trPr>
        <w:tc>
          <w:tcPr>
            <w:tcW w:w="3780" w:type="dxa"/>
            <w:tcBorders>
              <w:top w:val="single" w:sz="12" w:space="0" w:color="auto"/>
              <w:right w:val="single" w:sz="12" w:space="0" w:color="auto"/>
            </w:tcBorders>
            <w:vAlign w:val="center"/>
          </w:tcPr>
          <w:p>
            <w:pPr>
              <w:pStyle w:val="Corpsdetexte2"/>
              <w:jc w:val="left"/>
            </w:pPr>
            <w:r>
              <w:rPr>
                <w:b/>
              </w:rPr>
              <w:t>Matière</w:t>
            </w:r>
          </w:p>
        </w:tc>
        <w:tc>
          <w:tcPr>
            <w:tcW w:w="3600" w:type="dxa"/>
            <w:tcBorders>
              <w:left w:val="single" w:sz="12" w:space="0" w:color="auto"/>
              <w:bottom w:val="single" w:sz="12" w:space="0" w:color="auto"/>
            </w:tcBorders>
            <w:vAlign w:val="center"/>
          </w:tcPr>
          <w:p>
            <w:pPr>
              <w:pStyle w:val="Corpsdetexte2"/>
            </w:pPr>
            <w:r>
              <w:rPr>
                <w:b/>
              </w:rPr>
              <w:t>Personne de contact</w:t>
            </w:r>
          </w:p>
        </w:tc>
        <w:tc>
          <w:tcPr>
            <w:tcW w:w="1620" w:type="dxa"/>
            <w:tcBorders>
              <w:bottom w:val="single" w:sz="12" w:space="0" w:color="auto"/>
            </w:tcBorders>
            <w:vAlign w:val="center"/>
          </w:tcPr>
          <w:p>
            <w:pPr>
              <w:pStyle w:val="Corpsdetexte2"/>
              <w:ind w:left="-70" w:right="-70"/>
              <w:jc w:val="center"/>
              <w:rPr>
                <w:b/>
              </w:rPr>
            </w:pPr>
            <w:r>
              <w:rPr>
                <w:b/>
              </w:rPr>
              <w:t>Téléphone</w:t>
            </w:r>
          </w:p>
          <w:p>
            <w:pPr>
              <w:pStyle w:val="Corpsdetexte2"/>
              <w:ind w:left="-70" w:right="-70"/>
              <w:jc w:val="center"/>
            </w:pPr>
            <w:r>
              <w:rPr>
                <w:b/>
              </w:rPr>
              <w:t>02/</w:t>
            </w:r>
          </w:p>
        </w:tc>
        <w:tc>
          <w:tcPr>
            <w:tcW w:w="1440" w:type="dxa"/>
            <w:tcBorders>
              <w:bottom w:val="single" w:sz="12" w:space="0" w:color="auto"/>
            </w:tcBorders>
            <w:vAlign w:val="center"/>
          </w:tcPr>
          <w:p>
            <w:pPr>
              <w:pStyle w:val="Corpsdetexte2"/>
              <w:ind w:right="-107"/>
              <w:jc w:val="center"/>
              <w:rPr>
                <w:b/>
              </w:rPr>
            </w:pPr>
            <w:r>
              <w:rPr>
                <w:b/>
              </w:rPr>
              <w:t>Fax</w:t>
            </w:r>
          </w:p>
          <w:p>
            <w:pPr>
              <w:pStyle w:val="Corpsdetexte2"/>
              <w:ind w:right="-107"/>
              <w:jc w:val="center"/>
            </w:pPr>
            <w:r>
              <w:rPr>
                <w:b/>
              </w:rPr>
              <w:t>02/</w:t>
            </w:r>
          </w:p>
        </w:tc>
      </w:tr>
      <w:tr>
        <w:trPr>
          <w:trHeight w:hRule="exact" w:val="978"/>
        </w:trPr>
        <w:tc>
          <w:tcPr>
            <w:tcW w:w="3780" w:type="dxa"/>
            <w:tcBorders>
              <w:top w:val="single" w:sz="12" w:space="0" w:color="auto"/>
              <w:bottom w:val="single" w:sz="4" w:space="0" w:color="auto"/>
              <w:right w:val="single" w:sz="12" w:space="0" w:color="auto"/>
            </w:tcBorders>
            <w:vAlign w:val="center"/>
          </w:tcPr>
          <w:p>
            <w:pPr>
              <w:pStyle w:val="Corpsdetexte2"/>
              <w:jc w:val="left"/>
            </w:pPr>
            <w:r>
              <w:t>Encadrement différencié</w:t>
            </w:r>
          </w:p>
        </w:tc>
        <w:tc>
          <w:tcPr>
            <w:tcW w:w="3600" w:type="dxa"/>
            <w:tcBorders>
              <w:top w:val="single" w:sz="12" w:space="0" w:color="auto"/>
              <w:left w:val="single" w:sz="12" w:space="0" w:color="auto"/>
            </w:tcBorders>
            <w:vAlign w:val="center"/>
          </w:tcPr>
          <w:p>
            <w:pPr>
              <w:pStyle w:val="Corpsdetexte2"/>
            </w:pPr>
            <w:r>
              <w:t>Patricia LARSILLE</w:t>
            </w:r>
          </w:p>
          <w:p>
            <w:pPr>
              <w:pStyle w:val="Corpsdetexte2"/>
              <w:rPr>
                <w:sz w:val="12"/>
                <w:szCs w:val="12"/>
              </w:rPr>
            </w:pPr>
          </w:p>
          <w:p>
            <w:pPr>
              <w:pStyle w:val="Corpsdetexte2"/>
            </w:pPr>
            <w:r>
              <w:t>Sophie SIMONIS</w:t>
            </w:r>
          </w:p>
        </w:tc>
        <w:tc>
          <w:tcPr>
            <w:tcW w:w="1620" w:type="dxa"/>
            <w:tcBorders>
              <w:top w:val="single" w:sz="12" w:space="0" w:color="auto"/>
            </w:tcBorders>
            <w:vAlign w:val="center"/>
          </w:tcPr>
          <w:p>
            <w:pPr>
              <w:pStyle w:val="Corpsdetexte2"/>
              <w:ind w:left="-70" w:right="-70"/>
              <w:jc w:val="center"/>
            </w:pPr>
            <w:r>
              <w:t>690.84.17</w:t>
            </w:r>
          </w:p>
          <w:p>
            <w:pPr>
              <w:pStyle w:val="Corpsdetexte2"/>
              <w:ind w:left="-70" w:right="-70"/>
              <w:jc w:val="center"/>
              <w:rPr>
                <w:sz w:val="12"/>
                <w:szCs w:val="12"/>
              </w:rPr>
            </w:pPr>
          </w:p>
          <w:p>
            <w:pPr>
              <w:pStyle w:val="Corpsdetexte2"/>
              <w:ind w:left="-70" w:right="-70"/>
              <w:jc w:val="center"/>
            </w:pPr>
            <w:r>
              <w:t>690.84.16</w:t>
            </w:r>
          </w:p>
        </w:tc>
        <w:tc>
          <w:tcPr>
            <w:tcW w:w="1440" w:type="dxa"/>
            <w:tcBorders>
              <w:top w:val="single" w:sz="12" w:space="0" w:color="auto"/>
            </w:tcBorders>
            <w:vAlign w:val="center"/>
          </w:tcPr>
          <w:p>
            <w:pPr>
              <w:pStyle w:val="Corpsdetexte2"/>
              <w:ind w:right="-107"/>
            </w:pPr>
            <w:r>
              <w:t>690.85.77</w:t>
            </w:r>
          </w:p>
        </w:tc>
      </w:tr>
      <w:tr>
        <w:trPr>
          <w:trHeight w:hRule="exact" w:val="3989"/>
        </w:trPr>
        <w:tc>
          <w:tcPr>
            <w:tcW w:w="3780" w:type="dxa"/>
            <w:tcBorders>
              <w:top w:val="single" w:sz="12" w:space="0" w:color="auto"/>
              <w:bottom w:val="single" w:sz="4" w:space="0" w:color="auto"/>
              <w:right w:val="single" w:sz="12" w:space="0" w:color="auto"/>
            </w:tcBorders>
            <w:vAlign w:val="center"/>
          </w:tcPr>
          <w:p>
            <w:pPr>
              <w:pStyle w:val="Corpsdetexte2"/>
              <w:jc w:val="left"/>
            </w:pPr>
            <w:r>
              <w:t xml:space="preserve">Encadrement et structures des écoles, Application PRIMVER </w:t>
            </w:r>
            <w:r>
              <w:rPr>
                <w:spacing w:val="-4"/>
              </w:rPr>
              <w:t xml:space="preserve">Restructurations </w:t>
            </w:r>
            <w:r>
              <w:t>rationalisation, fusions</w:t>
            </w:r>
          </w:p>
        </w:tc>
        <w:tc>
          <w:tcPr>
            <w:tcW w:w="3600" w:type="dxa"/>
            <w:tcBorders>
              <w:top w:val="single" w:sz="12" w:space="0" w:color="auto"/>
              <w:left w:val="single" w:sz="12" w:space="0" w:color="auto"/>
            </w:tcBorders>
            <w:vAlign w:val="center"/>
          </w:tcPr>
          <w:p>
            <w:pPr>
              <w:pStyle w:val="Corpsdetexte2"/>
            </w:pPr>
            <w:r>
              <w:t>Frédéric VANHUFFELEN</w:t>
            </w:r>
          </w:p>
          <w:p>
            <w:pPr>
              <w:pStyle w:val="Corpsdetexte2"/>
            </w:pPr>
          </w:p>
          <w:p>
            <w:pPr>
              <w:pStyle w:val="Corpsdetexte2"/>
            </w:pPr>
            <w:r>
              <w:t>Patricia LARSILLE</w:t>
            </w:r>
          </w:p>
          <w:p>
            <w:pPr>
              <w:pStyle w:val="Corpsdetexte2"/>
            </w:pPr>
          </w:p>
          <w:p>
            <w:pPr>
              <w:pStyle w:val="Corpsdetexte2"/>
            </w:pPr>
            <w:r>
              <w:t>Candice LAMBILLOTTE</w:t>
            </w:r>
          </w:p>
          <w:p>
            <w:pPr>
              <w:pStyle w:val="Corpsdetexte2"/>
            </w:pPr>
          </w:p>
          <w:p>
            <w:pPr>
              <w:pStyle w:val="Corpsdetexte2"/>
            </w:pPr>
            <w:r>
              <w:t>Géraldine WISEUR</w:t>
            </w:r>
          </w:p>
          <w:p>
            <w:pPr>
              <w:pStyle w:val="Corpsdetexte2"/>
            </w:pPr>
          </w:p>
          <w:p>
            <w:pPr>
              <w:pStyle w:val="Corpsdetexte2"/>
            </w:pPr>
            <w:r>
              <w:t>Mirana RABARI</w:t>
            </w:r>
          </w:p>
        </w:tc>
        <w:tc>
          <w:tcPr>
            <w:tcW w:w="1620" w:type="dxa"/>
            <w:tcBorders>
              <w:top w:val="single" w:sz="12" w:space="0" w:color="auto"/>
            </w:tcBorders>
            <w:vAlign w:val="center"/>
          </w:tcPr>
          <w:p>
            <w:pPr>
              <w:pStyle w:val="Corpsdetexte2"/>
              <w:ind w:left="-70" w:right="-70"/>
              <w:jc w:val="center"/>
            </w:pPr>
            <w:r>
              <w:t>690.84.24</w:t>
            </w:r>
          </w:p>
          <w:p>
            <w:pPr>
              <w:pStyle w:val="Corpsdetexte2"/>
              <w:ind w:left="-70" w:right="-70"/>
              <w:jc w:val="center"/>
            </w:pPr>
          </w:p>
          <w:p>
            <w:pPr>
              <w:pStyle w:val="Corpsdetexte2"/>
              <w:ind w:left="-70" w:right="-70"/>
              <w:jc w:val="center"/>
            </w:pPr>
            <w:r>
              <w:t>690.84.17</w:t>
            </w:r>
          </w:p>
          <w:p>
            <w:pPr>
              <w:pStyle w:val="Corpsdetexte2"/>
              <w:ind w:left="-70" w:right="-70"/>
              <w:jc w:val="center"/>
            </w:pPr>
          </w:p>
          <w:p>
            <w:pPr>
              <w:pStyle w:val="Corpsdetexte2"/>
              <w:ind w:left="-70" w:right="-70"/>
              <w:jc w:val="center"/>
            </w:pPr>
            <w:r>
              <w:t>690.84.21</w:t>
            </w:r>
          </w:p>
          <w:p>
            <w:pPr>
              <w:pStyle w:val="Corpsdetexte2"/>
              <w:ind w:left="-70" w:right="-70"/>
              <w:jc w:val="center"/>
            </w:pPr>
          </w:p>
          <w:p>
            <w:pPr>
              <w:pStyle w:val="Corpsdetexte2"/>
              <w:ind w:left="-70" w:right="-70"/>
              <w:jc w:val="center"/>
            </w:pPr>
            <w:r>
              <w:t>690.84.18</w:t>
            </w:r>
          </w:p>
          <w:p>
            <w:pPr>
              <w:pStyle w:val="Corpsdetexte2"/>
              <w:ind w:left="-70" w:right="-70"/>
              <w:jc w:val="center"/>
            </w:pPr>
          </w:p>
          <w:p>
            <w:pPr>
              <w:pStyle w:val="Corpsdetexte2"/>
              <w:ind w:left="-70" w:right="-70"/>
              <w:jc w:val="center"/>
            </w:pPr>
            <w:r>
              <w:t>690.84.26</w:t>
            </w:r>
          </w:p>
        </w:tc>
        <w:tc>
          <w:tcPr>
            <w:tcW w:w="1440" w:type="dxa"/>
            <w:tcBorders>
              <w:top w:val="single" w:sz="12" w:space="0" w:color="auto"/>
            </w:tcBorders>
            <w:vAlign w:val="center"/>
          </w:tcPr>
          <w:p>
            <w:pPr>
              <w:pStyle w:val="Corpsdetexte2"/>
              <w:ind w:right="-107"/>
            </w:pPr>
          </w:p>
          <w:p>
            <w:pPr>
              <w:pStyle w:val="Corpsdetexte2"/>
              <w:ind w:left="-33" w:right="-107"/>
              <w:jc w:val="center"/>
            </w:pPr>
          </w:p>
          <w:p>
            <w:pPr>
              <w:pStyle w:val="Corpsdetexte2"/>
              <w:ind w:left="-33" w:right="-107"/>
              <w:jc w:val="center"/>
            </w:pPr>
            <w:r>
              <w:t>690.85.77</w:t>
            </w:r>
          </w:p>
          <w:p>
            <w:pPr>
              <w:pStyle w:val="Corpsdetexte2"/>
              <w:ind w:left="-33" w:right="-107"/>
              <w:jc w:val="center"/>
            </w:pPr>
          </w:p>
          <w:p>
            <w:pPr>
              <w:pStyle w:val="Corpsdetexte2"/>
              <w:ind w:left="-33" w:right="-107"/>
              <w:jc w:val="center"/>
            </w:pPr>
          </w:p>
          <w:p>
            <w:pPr>
              <w:pStyle w:val="Corpsdetexte2"/>
              <w:ind w:left="-33" w:right="-107"/>
              <w:jc w:val="center"/>
            </w:pPr>
          </w:p>
          <w:p>
            <w:pPr>
              <w:pStyle w:val="Corpsdetexte2"/>
              <w:ind w:left="-33" w:right="-107"/>
              <w:jc w:val="center"/>
            </w:pPr>
          </w:p>
        </w:tc>
      </w:tr>
      <w:tr>
        <w:trPr>
          <w:trHeight w:hRule="exact" w:val="1111"/>
        </w:trPr>
        <w:tc>
          <w:tcPr>
            <w:tcW w:w="3780" w:type="dxa"/>
            <w:tcBorders>
              <w:top w:val="single" w:sz="4" w:space="0" w:color="auto"/>
              <w:bottom w:val="single" w:sz="4" w:space="0" w:color="auto"/>
              <w:right w:val="single" w:sz="12" w:space="0" w:color="auto"/>
            </w:tcBorders>
            <w:vAlign w:val="center"/>
          </w:tcPr>
          <w:p>
            <w:pPr>
              <w:pStyle w:val="Corpsdetexte2"/>
              <w:jc w:val="left"/>
              <w:rPr>
                <w:b/>
              </w:rPr>
            </w:pPr>
            <w:r>
              <w:t>Enfant à haut potentiel</w:t>
            </w:r>
          </w:p>
        </w:tc>
        <w:tc>
          <w:tcPr>
            <w:tcW w:w="3600" w:type="dxa"/>
            <w:tcBorders>
              <w:left w:val="single" w:sz="12" w:space="0" w:color="auto"/>
            </w:tcBorders>
            <w:vAlign w:val="center"/>
          </w:tcPr>
          <w:p>
            <w:pPr>
              <w:pStyle w:val="Corpsdetexte2"/>
              <w:rPr>
                <w:b/>
              </w:rPr>
            </w:pPr>
            <w:r>
              <w:rPr>
                <w:lang w:val="fr-BE"/>
              </w:rPr>
              <w:t>Olivier DRADIN</w:t>
            </w:r>
          </w:p>
        </w:tc>
        <w:tc>
          <w:tcPr>
            <w:tcW w:w="1620" w:type="dxa"/>
            <w:vAlign w:val="center"/>
          </w:tcPr>
          <w:p>
            <w:pPr>
              <w:pStyle w:val="Corpsdetexte2"/>
              <w:ind w:left="-70" w:right="-70"/>
              <w:jc w:val="center"/>
            </w:pPr>
            <w:r>
              <w:t>690.82.32</w:t>
            </w:r>
          </w:p>
        </w:tc>
        <w:tc>
          <w:tcPr>
            <w:tcW w:w="1440" w:type="dxa"/>
            <w:vAlign w:val="center"/>
          </w:tcPr>
          <w:p>
            <w:pPr>
              <w:pStyle w:val="Corpsdetexte2"/>
              <w:ind w:left="-33" w:right="-107"/>
              <w:jc w:val="center"/>
            </w:pPr>
          </w:p>
        </w:tc>
      </w:tr>
      <w:tr>
        <w:trPr>
          <w:trHeight w:hRule="exact" w:val="589"/>
        </w:trPr>
        <w:tc>
          <w:tcPr>
            <w:tcW w:w="3780" w:type="dxa"/>
            <w:tcBorders>
              <w:top w:val="single" w:sz="4" w:space="0" w:color="auto"/>
              <w:bottom w:val="single" w:sz="4" w:space="0" w:color="auto"/>
              <w:right w:val="single" w:sz="12" w:space="0" w:color="auto"/>
            </w:tcBorders>
          </w:tcPr>
          <w:p>
            <w:pPr>
              <w:tabs>
                <w:tab w:val="left" w:pos="252"/>
              </w:tabs>
              <w:suppressAutoHyphens/>
              <w:snapToGrid w:val="0"/>
              <w:jc w:val="both"/>
              <w:rPr>
                <w:rFonts w:cs="Arial"/>
                <w:szCs w:val="22"/>
              </w:rPr>
            </w:pPr>
            <w:r>
              <w:rPr>
                <w:rFonts w:cs="Arial"/>
                <w:szCs w:val="22"/>
              </w:rPr>
              <w:t>Enseignement à domicile</w:t>
            </w:r>
          </w:p>
          <w:p>
            <w:pPr>
              <w:tabs>
                <w:tab w:val="left" w:pos="252"/>
              </w:tabs>
              <w:suppressAutoHyphens/>
              <w:snapToGrid w:val="0"/>
              <w:jc w:val="both"/>
              <w:rPr>
                <w:rFonts w:cs="Arial"/>
                <w:i/>
                <w:szCs w:val="22"/>
              </w:rPr>
            </w:pPr>
          </w:p>
          <w:p>
            <w:pPr>
              <w:tabs>
                <w:tab w:val="left" w:pos="252"/>
              </w:tabs>
              <w:suppressAutoHyphens/>
              <w:snapToGrid w:val="0"/>
              <w:jc w:val="both"/>
              <w:rPr>
                <w:rFonts w:cs="Arial"/>
                <w:i/>
                <w:szCs w:val="22"/>
              </w:rPr>
            </w:pPr>
          </w:p>
          <w:p>
            <w:pPr>
              <w:tabs>
                <w:tab w:val="left" w:pos="252"/>
              </w:tabs>
              <w:suppressAutoHyphens/>
              <w:snapToGrid w:val="0"/>
              <w:jc w:val="both"/>
              <w:rPr>
                <w:rFonts w:cs="Arial"/>
                <w:i/>
                <w:szCs w:val="22"/>
              </w:rPr>
            </w:pPr>
          </w:p>
        </w:tc>
        <w:tc>
          <w:tcPr>
            <w:tcW w:w="3600" w:type="dxa"/>
            <w:tcBorders>
              <w:left w:val="single" w:sz="12" w:space="0" w:color="auto"/>
            </w:tcBorders>
          </w:tcPr>
          <w:p>
            <w:pPr>
              <w:tabs>
                <w:tab w:val="left" w:pos="1134"/>
              </w:tabs>
              <w:snapToGrid w:val="0"/>
              <w:jc w:val="both"/>
              <w:rPr>
                <w:lang w:val="en-US"/>
              </w:rPr>
            </w:pPr>
            <w:r>
              <w:rPr>
                <w:lang w:val="en-US"/>
              </w:rPr>
              <w:t>Marianne CLAEYS</w:t>
            </w:r>
          </w:p>
          <w:p>
            <w:pPr>
              <w:tabs>
                <w:tab w:val="left" w:pos="1134"/>
              </w:tabs>
              <w:snapToGrid w:val="0"/>
              <w:jc w:val="both"/>
              <w:rPr>
                <w:lang w:val="en-GB"/>
              </w:rPr>
            </w:pPr>
            <w:r>
              <w:rPr>
                <w:lang w:val="en-GB"/>
              </w:rPr>
              <w:t>Thibault TOURNAY</w:t>
            </w:r>
          </w:p>
          <w:p>
            <w:pPr>
              <w:tabs>
                <w:tab w:val="left" w:pos="1134"/>
              </w:tabs>
              <w:snapToGrid w:val="0"/>
              <w:jc w:val="both"/>
              <w:rPr>
                <w:rFonts w:cs="Arial"/>
                <w:szCs w:val="22"/>
                <w:lang w:val="en-US"/>
              </w:rPr>
            </w:pPr>
          </w:p>
        </w:tc>
        <w:tc>
          <w:tcPr>
            <w:tcW w:w="1620" w:type="dxa"/>
          </w:tcPr>
          <w:p>
            <w:pPr>
              <w:tabs>
                <w:tab w:val="left" w:pos="1134"/>
              </w:tabs>
              <w:snapToGrid w:val="0"/>
              <w:jc w:val="center"/>
            </w:pPr>
            <w:r>
              <w:t>690.87.84</w:t>
            </w:r>
          </w:p>
          <w:p>
            <w:pPr>
              <w:tabs>
                <w:tab w:val="left" w:pos="1134"/>
              </w:tabs>
              <w:snapToGrid w:val="0"/>
              <w:jc w:val="center"/>
            </w:pPr>
            <w:r>
              <w:t>690.83.31</w:t>
            </w:r>
          </w:p>
        </w:tc>
        <w:tc>
          <w:tcPr>
            <w:tcW w:w="1440" w:type="dxa"/>
            <w:vAlign w:val="center"/>
          </w:tcPr>
          <w:p>
            <w:pPr>
              <w:pStyle w:val="Corpsdetexte2"/>
              <w:ind w:left="-33" w:right="-107"/>
              <w:jc w:val="center"/>
            </w:pPr>
          </w:p>
        </w:tc>
      </w:tr>
      <w:tr>
        <w:trPr>
          <w:trHeight w:hRule="exact" w:val="567"/>
        </w:trPr>
        <w:tc>
          <w:tcPr>
            <w:tcW w:w="3780" w:type="dxa"/>
            <w:tcBorders>
              <w:top w:val="single" w:sz="4" w:space="0" w:color="auto"/>
              <w:right w:val="single" w:sz="12" w:space="0" w:color="auto"/>
            </w:tcBorders>
            <w:vAlign w:val="center"/>
          </w:tcPr>
          <w:p>
            <w:pPr>
              <w:pStyle w:val="Corpsdetexte2"/>
              <w:jc w:val="left"/>
            </w:pPr>
            <w:r>
              <w:t>Evaluations externes non certificatives</w:t>
            </w:r>
          </w:p>
        </w:tc>
        <w:tc>
          <w:tcPr>
            <w:tcW w:w="3600" w:type="dxa"/>
            <w:tcBorders>
              <w:left w:val="single" w:sz="12" w:space="0" w:color="auto"/>
            </w:tcBorders>
            <w:vAlign w:val="center"/>
          </w:tcPr>
          <w:p>
            <w:pPr>
              <w:pStyle w:val="Corpsdetexte2"/>
            </w:pPr>
            <w:r>
              <w:t>Iris VIENNE</w:t>
            </w:r>
          </w:p>
        </w:tc>
        <w:tc>
          <w:tcPr>
            <w:tcW w:w="1620" w:type="dxa"/>
            <w:vAlign w:val="center"/>
          </w:tcPr>
          <w:p>
            <w:pPr>
              <w:pStyle w:val="Corpsdetexte2"/>
              <w:ind w:left="-70" w:right="-70"/>
              <w:jc w:val="center"/>
            </w:pPr>
            <w:r>
              <w:t>690.81.91</w:t>
            </w:r>
          </w:p>
        </w:tc>
        <w:tc>
          <w:tcPr>
            <w:tcW w:w="1440" w:type="dxa"/>
            <w:vAlign w:val="center"/>
          </w:tcPr>
          <w:p>
            <w:pPr>
              <w:pStyle w:val="Corpsdetexte2"/>
              <w:ind w:left="-33" w:right="-107"/>
              <w:jc w:val="center"/>
            </w:pPr>
            <w:r>
              <w:t>690.82.39</w:t>
            </w:r>
          </w:p>
        </w:tc>
      </w:tr>
      <w:tr>
        <w:trPr>
          <w:trHeight w:hRule="exact" w:val="602"/>
        </w:trPr>
        <w:tc>
          <w:tcPr>
            <w:tcW w:w="3780" w:type="dxa"/>
            <w:tcBorders>
              <w:top w:val="single" w:sz="8" w:space="0" w:color="auto"/>
              <w:bottom w:val="single" w:sz="8" w:space="0" w:color="auto"/>
              <w:right w:val="single" w:sz="12" w:space="0" w:color="auto"/>
            </w:tcBorders>
            <w:vAlign w:val="center"/>
          </w:tcPr>
          <w:p>
            <w:pPr>
              <w:pStyle w:val="Corpsdetexte2"/>
              <w:ind w:right="-70"/>
              <w:jc w:val="left"/>
              <w:rPr>
                <w:spacing w:val="-10"/>
              </w:rPr>
            </w:pPr>
            <w:r>
              <w:rPr>
                <w:spacing w:val="-10"/>
              </w:rPr>
              <w:t>Frais de pension pour élèves dont les parents n’ont pas de résidence fixe</w:t>
            </w:r>
          </w:p>
        </w:tc>
        <w:tc>
          <w:tcPr>
            <w:tcW w:w="3600" w:type="dxa"/>
            <w:tcBorders>
              <w:top w:val="single" w:sz="8" w:space="0" w:color="auto"/>
              <w:left w:val="single" w:sz="12" w:space="0" w:color="auto"/>
              <w:bottom w:val="single" w:sz="8" w:space="0" w:color="auto"/>
            </w:tcBorders>
            <w:vAlign w:val="center"/>
          </w:tcPr>
          <w:p>
            <w:pPr>
              <w:pStyle w:val="Corpsdetexte2"/>
              <w:ind w:right="-70"/>
            </w:pPr>
            <w:r>
              <w:t xml:space="preserve">Sophie GUISSET </w:t>
            </w:r>
          </w:p>
        </w:tc>
        <w:tc>
          <w:tcPr>
            <w:tcW w:w="1620" w:type="dxa"/>
            <w:tcBorders>
              <w:top w:val="single" w:sz="8" w:space="0" w:color="auto"/>
              <w:bottom w:val="single" w:sz="8" w:space="0" w:color="auto"/>
            </w:tcBorders>
            <w:vAlign w:val="center"/>
          </w:tcPr>
          <w:p>
            <w:pPr>
              <w:pStyle w:val="Corpsdetexte2"/>
              <w:ind w:left="-70" w:right="-70"/>
              <w:jc w:val="center"/>
              <w:rPr>
                <w:lang w:val="fr-BE"/>
              </w:rPr>
            </w:pPr>
            <w:r>
              <w:rPr>
                <w:lang w:val="fr-BE"/>
              </w:rPr>
              <w:t>690.84.83</w:t>
            </w:r>
          </w:p>
        </w:tc>
        <w:tc>
          <w:tcPr>
            <w:tcW w:w="1440" w:type="dxa"/>
            <w:tcBorders>
              <w:top w:val="single" w:sz="8" w:space="0" w:color="auto"/>
              <w:bottom w:val="single" w:sz="8" w:space="0" w:color="auto"/>
            </w:tcBorders>
            <w:vAlign w:val="center"/>
          </w:tcPr>
          <w:p>
            <w:pPr>
              <w:pStyle w:val="Corpsdetexte2"/>
              <w:ind w:left="-33" w:right="-107"/>
              <w:jc w:val="center"/>
              <w:rPr>
                <w:highlight w:val="green"/>
              </w:rPr>
            </w:pPr>
          </w:p>
        </w:tc>
      </w:tr>
      <w:tr>
        <w:trPr>
          <w:trHeight w:hRule="exact" w:val="799"/>
        </w:trPr>
        <w:tc>
          <w:tcPr>
            <w:tcW w:w="3780" w:type="dxa"/>
            <w:tcBorders>
              <w:right w:val="single" w:sz="12" w:space="0" w:color="auto"/>
            </w:tcBorders>
            <w:vAlign w:val="center"/>
          </w:tcPr>
          <w:p>
            <w:pPr>
              <w:pStyle w:val="Corpsdetexte2"/>
              <w:jc w:val="left"/>
            </w:pPr>
            <w:r>
              <w:t>Gratuité d’accès à</w:t>
            </w:r>
            <w:r>
              <w:rPr>
                <w:color w:val="FF0000"/>
              </w:rPr>
              <w:t xml:space="preserve"> </w:t>
            </w:r>
            <w:r>
              <w:t>l’enseignement et frais perceptibles</w:t>
            </w:r>
          </w:p>
        </w:tc>
        <w:tc>
          <w:tcPr>
            <w:tcW w:w="3600" w:type="dxa"/>
            <w:tcBorders>
              <w:top w:val="single" w:sz="8" w:space="0" w:color="auto"/>
              <w:left w:val="single" w:sz="12" w:space="0" w:color="auto"/>
              <w:bottom w:val="single" w:sz="8" w:space="0" w:color="auto"/>
            </w:tcBorders>
            <w:vAlign w:val="center"/>
          </w:tcPr>
          <w:p>
            <w:pPr>
              <w:widowControl w:val="0"/>
              <w:autoSpaceDE w:val="0"/>
              <w:autoSpaceDN w:val="0"/>
              <w:adjustRightInd w:val="0"/>
              <w:ind w:right="170"/>
              <w:rPr>
                <w:rFonts w:eastAsia="LucidaSansUnicode"/>
                <w:lang w:val="de-DE"/>
              </w:rPr>
            </w:pPr>
            <w:r>
              <w:rPr>
                <w:rFonts w:eastAsia="LucidaSansUnicode"/>
                <w:lang w:val="de-DE"/>
              </w:rPr>
              <w:t>Julie FRANCOIS</w:t>
            </w:r>
          </w:p>
          <w:p>
            <w:pPr>
              <w:widowControl w:val="0"/>
              <w:autoSpaceDE w:val="0"/>
              <w:autoSpaceDN w:val="0"/>
              <w:adjustRightInd w:val="0"/>
              <w:ind w:right="170"/>
              <w:rPr>
                <w:rFonts w:eastAsia="LucidaSansUnicode"/>
                <w:lang w:val="de-DE"/>
              </w:rPr>
            </w:pPr>
            <w:r>
              <w:rPr>
                <w:rFonts w:eastAsia="LucidaSansUnicode"/>
                <w:lang w:val="de-DE"/>
              </w:rPr>
              <w:t>gratuite.ensobligatoire@cfwb.be</w:t>
            </w:r>
          </w:p>
        </w:tc>
        <w:tc>
          <w:tcPr>
            <w:tcW w:w="1620" w:type="dxa"/>
            <w:tcBorders>
              <w:top w:val="single" w:sz="8" w:space="0" w:color="auto"/>
              <w:bottom w:val="single" w:sz="8" w:space="0" w:color="auto"/>
            </w:tcBorders>
            <w:vAlign w:val="center"/>
          </w:tcPr>
          <w:p>
            <w:pPr>
              <w:widowControl w:val="0"/>
              <w:autoSpaceDE w:val="0"/>
              <w:autoSpaceDN w:val="0"/>
              <w:adjustRightInd w:val="0"/>
              <w:ind w:right="170"/>
              <w:rPr>
                <w:rFonts w:eastAsia="LucidaSansUnicode"/>
                <w:lang w:val="fr-BE"/>
              </w:rPr>
            </w:pPr>
            <w:r>
              <w:rPr>
                <w:rFonts w:eastAsia="LucidaSansUnicode"/>
                <w:lang w:val="fr-BE"/>
              </w:rPr>
              <w:t xml:space="preserve">     690.89.25</w:t>
            </w:r>
          </w:p>
        </w:tc>
        <w:tc>
          <w:tcPr>
            <w:tcW w:w="1440" w:type="dxa"/>
            <w:tcBorders>
              <w:top w:val="single" w:sz="8" w:space="0" w:color="auto"/>
              <w:bottom w:val="single" w:sz="8" w:space="0" w:color="auto"/>
            </w:tcBorders>
            <w:vAlign w:val="center"/>
          </w:tcPr>
          <w:p>
            <w:pPr>
              <w:pStyle w:val="Corpsdetexte2"/>
              <w:ind w:left="-33" w:right="-107"/>
              <w:jc w:val="center"/>
            </w:pPr>
            <w:r>
              <w:t>690.84.30</w:t>
            </w:r>
          </w:p>
        </w:tc>
      </w:tr>
      <w:tr>
        <w:trPr>
          <w:trHeight w:val="826"/>
        </w:trPr>
        <w:tc>
          <w:tcPr>
            <w:tcW w:w="3780" w:type="dxa"/>
            <w:tcBorders>
              <w:right w:val="single" w:sz="12" w:space="0" w:color="auto"/>
            </w:tcBorders>
            <w:vAlign w:val="center"/>
          </w:tcPr>
          <w:p>
            <w:pPr>
              <w:pStyle w:val="Corpsdetexte2"/>
              <w:jc w:val="left"/>
            </w:pPr>
            <w:r>
              <w:t>Immersion linguistique</w:t>
            </w:r>
          </w:p>
        </w:tc>
        <w:tc>
          <w:tcPr>
            <w:tcW w:w="3600" w:type="dxa"/>
            <w:tcBorders>
              <w:top w:val="single" w:sz="8" w:space="0" w:color="auto"/>
              <w:left w:val="single" w:sz="12" w:space="0" w:color="auto"/>
            </w:tcBorders>
            <w:vAlign w:val="center"/>
          </w:tcPr>
          <w:p>
            <w:pPr>
              <w:pStyle w:val="Corpsdetexte2"/>
              <w:jc w:val="left"/>
              <w:rPr>
                <w:lang w:val="nl-NL"/>
              </w:rPr>
            </w:pPr>
            <w:r>
              <w:rPr>
                <w:lang w:val="nl-NL"/>
              </w:rPr>
              <w:t>Mirana RABARI</w:t>
            </w:r>
          </w:p>
        </w:tc>
        <w:tc>
          <w:tcPr>
            <w:tcW w:w="1620" w:type="dxa"/>
            <w:tcBorders>
              <w:top w:val="single" w:sz="8" w:space="0" w:color="auto"/>
            </w:tcBorders>
            <w:vAlign w:val="center"/>
          </w:tcPr>
          <w:p>
            <w:pPr>
              <w:pStyle w:val="Corpsdetexte2"/>
              <w:ind w:left="-70" w:right="-70"/>
              <w:jc w:val="center"/>
            </w:pPr>
            <w:r>
              <w:t>690.84.26</w:t>
            </w:r>
          </w:p>
        </w:tc>
        <w:tc>
          <w:tcPr>
            <w:tcW w:w="1440" w:type="dxa"/>
            <w:tcBorders>
              <w:top w:val="single" w:sz="8" w:space="0" w:color="auto"/>
            </w:tcBorders>
            <w:vAlign w:val="center"/>
          </w:tcPr>
          <w:p>
            <w:pPr>
              <w:pStyle w:val="Corpsdetexte2"/>
              <w:ind w:left="-33" w:right="-107"/>
              <w:jc w:val="center"/>
            </w:pPr>
            <w:r>
              <w:t>690.85.77</w:t>
            </w:r>
          </w:p>
        </w:tc>
      </w:tr>
      <w:tr>
        <w:trPr>
          <w:trHeight w:val="1378"/>
        </w:trPr>
        <w:tc>
          <w:tcPr>
            <w:tcW w:w="3780" w:type="dxa"/>
            <w:tcBorders>
              <w:right w:val="single" w:sz="12" w:space="0" w:color="auto"/>
            </w:tcBorders>
            <w:vAlign w:val="center"/>
          </w:tcPr>
          <w:p>
            <w:pPr>
              <w:pStyle w:val="Corpsdetexte2"/>
              <w:jc w:val="left"/>
            </w:pPr>
            <w:r>
              <w:t>Inscriptions et exclusions</w:t>
            </w:r>
          </w:p>
        </w:tc>
        <w:tc>
          <w:tcPr>
            <w:tcW w:w="3600" w:type="dxa"/>
            <w:tcBorders>
              <w:top w:val="single" w:sz="8" w:space="0" w:color="auto"/>
              <w:left w:val="single" w:sz="12" w:space="0" w:color="auto"/>
            </w:tcBorders>
            <w:vAlign w:val="center"/>
          </w:tcPr>
          <w:p>
            <w:pPr>
              <w:widowControl w:val="0"/>
              <w:autoSpaceDE w:val="0"/>
              <w:autoSpaceDN w:val="0"/>
              <w:adjustRightInd w:val="0"/>
              <w:ind w:right="170"/>
              <w:rPr>
                <w:rFonts w:eastAsia="LucidaSansUnicode"/>
              </w:rPr>
            </w:pPr>
            <w:r>
              <w:rPr>
                <w:rFonts w:eastAsia="LucidaSansUnicode"/>
              </w:rPr>
              <w:t xml:space="preserve">Mme Laura </w:t>
            </w:r>
            <w:r>
              <w:rPr>
                <w:rFonts w:eastAsia="LucidaSansUnicode"/>
                <w:szCs w:val="22"/>
              </w:rPr>
              <w:t>BIETHERES</w:t>
            </w:r>
          </w:p>
          <w:p>
            <w:pPr>
              <w:pStyle w:val="Corpsdetexte2"/>
              <w:ind w:right="-70"/>
              <w:rPr>
                <w:rFonts w:eastAsia="LucidaSansUnicode"/>
              </w:rPr>
            </w:pPr>
            <w:r>
              <w:rPr>
                <w:rFonts w:eastAsia="LucidaSansUnicode"/>
              </w:rPr>
              <w:t>Mme Arlette RUSURA</w:t>
            </w:r>
          </w:p>
          <w:p>
            <w:pPr>
              <w:pStyle w:val="Corpsdetexte2"/>
              <w:ind w:right="-70"/>
              <w:rPr>
                <w:rFonts w:eastAsia="LucidaSansUnicode"/>
              </w:rPr>
            </w:pPr>
            <w:r>
              <w:rPr>
                <w:rFonts w:eastAsia="LucidaSansUnicode"/>
              </w:rPr>
              <w:t>Mme Sabrina MONTANTE</w:t>
            </w:r>
          </w:p>
          <w:p>
            <w:pPr>
              <w:pStyle w:val="Corpsdetexte2"/>
              <w:ind w:right="-70"/>
              <w:rPr>
                <w:lang w:val="nl-NL"/>
              </w:rPr>
            </w:pPr>
            <w:hyperlink r:id="rId20" w:history="1">
              <w:r>
                <w:rPr>
                  <w:rStyle w:val="Lienhypertexte"/>
                  <w:rFonts w:eastAsia="LucidaSansUnicode"/>
                </w:rPr>
                <w:t>exclusion-inscription@cfwb.be</w:t>
              </w:r>
            </w:hyperlink>
            <w:r>
              <w:rPr>
                <w:rFonts w:eastAsia="LucidaSansUnicode"/>
              </w:rPr>
              <w:t xml:space="preserve"> </w:t>
            </w:r>
          </w:p>
        </w:tc>
        <w:tc>
          <w:tcPr>
            <w:tcW w:w="1620" w:type="dxa"/>
            <w:tcBorders>
              <w:top w:val="single" w:sz="8" w:space="0" w:color="auto"/>
            </w:tcBorders>
            <w:vAlign w:val="center"/>
          </w:tcPr>
          <w:p>
            <w:pPr>
              <w:widowControl w:val="0"/>
              <w:autoSpaceDE w:val="0"/>
              <w:autoSpaceDN w:val="0"/>
              <w:adjustRightInd w:val="0"/>
              <w:ind w:left="290" w:right="170"/>
              <w:jc w:val="center"/>
              <w:rPr>
                <w:rFonts w:eastAsia="LucidaSansUnicode"/>
                <w:lang w:val="fr-BE"/>
              </w:rPr>
            </w:pPr>
            <w:r>
              <w:rPr>
                <w:rFonts w:eastAsia="LucidaSansUnicode"/>
                <w:lang w:val="fr-BE"/>
              </w:rPr>
              <w:t>690.85.47</w:t>
            </w:r>
          </w:p>
          <w:p>
            <w:pPr>
              <w:widowControl w:val="0"/>
              <w:autoSpaceDE w:val="0"/>
              <w:autoSpaceDN w:val="0"/>
              <w:adjustRightInd w:val="0"/>
              <w:ind w:left="290" w:right="170"/>
              <w:jc w:val="center"/>
              <w:rPr>
                <w:rFonts w:eastAsia="LucidaSansUnicode"/>
                <w:lang w:val="fr-BE"/>
              </w:rPr>
            </w:pPr>
            <w:r>
              <w:rPr>
                <w:rFonts w:eastAsia="LucidaSansUnicode"/>
                <w:lang w:val="fr-BE"/>
              </w:rPr>
              <w:t>690.88.93</w:t>
            </w:r>
          </w:p>
          <w:p>
            <w:pPr>
              <w:pStyle w:val="Corpsdetexte2"/>
              <w:ind w:left="290" w:right="-70"/>
            </w:pPr>
            <w:r>
              <w:rPr>
                <w:rFonts w:eastAsia="LucidaSansUnicode"/>
                <w:lang w:val="fr-BE"/>
              </w:rPr>
              <w:t>690.84.97</w:t>
            </w:r>
          </w:p>
        </w:tc>
        <w:tc>
          <w:tcPr>
            <w:tcW w:w="1440" w:type="dxa"/>
            <w:tcBorders>
              <w:top w:val="single" w:sz="8" w:space="0" w:color="auto"/>
            </w:tcBorders>
            <w:vAlign w:val="center"/>
          </w:tcPr>
          <w:p>
            <w:pPr>
              <w:pStyle w:val="Corpsdetexte2"/>
              <w:ind w:left="-33" w:right="-107"/>
              <w:jc w:val="center"/>
            </w:pPr>
          </w:p>
          <w:p>
            <w:pPr>
              <w:pStyle w:val="Corpsdetexte2"/>
              <w:ind w:left="-33" w:right="-107"/>
              <w:jc w:val="center"/>
            </w:pPr>
            <w:r>
              <w:t>690.84.30</w:t>
            </w:r>
          </w:p>
          <w:p>
            <w:pPr>
              <w:pStyle w:val="Corpsdetexte2"/>
              <w:ind w:right="-107"/>
            </w:pPr>
          </w:p>
        </w:tc>
      </w:tr>
      <w:tr>
        <w:trPr>
          <w:trHeight w:hRule="exact" w:val="349"/>
        </w:trPr>
        <w:tc>
          <w:tcPr>
            <w:tcW w:w="3780" w:type="dxa"/>
            <w:tcBorders>
              <w:right w:val="single" w:sz="12" w:space="0" w:color="auto"/>
            </w:tcBorders>
            <w:shd w:val="clear" w:color="auto" w:fill="auto"/>
            <w:vAlign w:val="center"/>
          </w:tcPr>
          <w:p>
            <w:pPr>
              <w:pStyle w:val="Corpsdetexte2"/>
              <w:jc w:val="left"/>
            </w:pPr>
            <w:r>
              <w:t>Inscriptions tardives</w:t>
            </w:r>
          </w:p>
        </w:tc>
        <w:tc>
          <w:tcPr>
            <w:tcW w:w="3600" w:type="dxa"/>
            <w:tcBorders>
              <w:top w:val="single" w:sz="8" w:space="0" w:color="auto"/>
              <w:left w:val="single" w:sz="12" w:space="0" w:color="auto"/>
            </w:tcBorders>
            <w:shd w:val="clear" w:color="auto" w:fill="auto"/>
            <w:vAlign w:val="center"/>
          </w:tcPr>
          <w:p>
            <w:pPr>
              <w:pStyle w:val="Corpsdetexte2"/>
            </w:pPr>
            <w:r>
              <w:t>Giuseppina CELLAURO</w:t>
            </w:r>
          </w:p>
        </w:tc>
        <w:tc>
          <w:tcPr>
            <w:tcW w:w="1620" w:type="dxa"/>
            <w:tcBorders>
              <w:top w:val="single" w:sz="8" w:space="0" w:color="auto"/>
            </w:tcBorders>
            <w:shd w:val="clear" w:color="auto" w:fill="auto"/>
            <w:vAlign w:val="center"/>
          </w:tcPr>
          <w:p>
            <w:pPr>
              <w:pStyle w:val="Corpsdetexte2"/>
              <w:ind w:left="-70" w:right="-70"/>
              <w:jc w:val="center"/>
              <w:rPr>
                <w:lang w:val="fr-BE"/>
              </w:rPr>
            </w:pPr>
            <w:r>
              <w:rPr>
                <w:lang w:val="fr-BE"/>
              </w:rPr>
              <w:t>690.83.01</w:t>
            </w:r>
          </w:p>
        </w:tc>
        <w:tc>
          <w:tcPr>
            <w:tcW w:w="1440" w:type="dxa"/>
            <w:tcBorders>
              <w:top w:val="single" w:sz="8" w:space="0" w:color="auto"/>
            </w:tcBorders>
            <w:shd w:val="clear" w:color="auto" w:fill="auto"/>
            <w:vAlign w:val="center"/>
          </w:tcPr>
          <w:p>
            <w:pPr>
              <w:pStyle w:val="Corpsdetexte2"/>
              <w:ind w:left="-33" w:right="-107"/>
              <w:jc w:val="center"/>
            </w:pPr>
            <w:r>
              <w:t>690.85.77</w:t>
            </w:r>
          </w:p>
        </w:tc>
      </w:tr>
      <w:tr>
        <w:trPr>
          <w:trHeight w:hRule="exact" w:val="1074"/>
        </w:trPr>
        <w:tc>
          <w:tcPr>
            <w:tcW w:w="3780" w:type="dxa"/>
            <w:tcBorders>
              <w:bottom w:val="single" w:sz="4" w:space="0" w:color="auto"/>
              <w:right w:val="single" w:sz="12" w:space="0" w:color="auto"/>
            </w:tcBorders>
            <w:vAlign w:val="center"/>
          </w:tcPr>
          <w:p>
            <w:pPr>
              <w:pStyle w:val="Corpsdetexte2"/>
              <w:jc w:val="left"/>
            </w:pPr>
            <w:r>
              <w:t xml:space="preserve">Intégration d'élèves de l'enseignement spécialisé </w:t>
            </w:r>
          </w:p>
        </w:tc>
        <w:tc>
          <w:tcPr>
            <w:tcW w:w="3600" w:type="dxa"/>
            <w:tcBorders>
              <w:top w:val="single" w:sz="8" w:space="0" w:color="auto"/>
              <w:left w:val="single" w:sz="12" w:space="0" w:color="auto"/>
              <w:bottom w:val="single" w:sz="12" w:space="0" w:color="auto"/>
            </w:tcBorders>
            <w:vAlign w:val="center"/>
          </w:tcPr>
          <w:p>
            <w:pPr>
              <w:pStyle w:val="Corpsdetexte2"/>
              <w:jc w:val="left"/>
              <w:rPr>
                <w:lang w:val="fr-BE"/>
              </w:rPr>
            </w:pPr>
            <w:r>
              <w:rPr>
                <w:lang w:val="fr-BE"/>
              </w:rPr>
              <w:t>Stéphanie PIRSOUL (Spécialisé)</w:t>
            </w:r>
          </w:p>
          <w:p>
            <w:pPr>
              <w:pStyle w:val="Corpsdetexte2"/>
              <w:jc w:val="left"/>
              <w:rPr>
                <w:lang w:val="fr-BE"/>
              </w:rPr>
            </w:pPr>
            <w:r>
              <w:rPr>
                <w:lang w:val="fr-BE"/>
              </w:rPr>
              <w:t>Christine WILLEMS (Spécialisé)</w:t>
            </w:r>
          </w:p>
          <w:p>
            <w:pPr>
              <w:pStyle w:val="Corpsdetexte2"/>
              <w:jc w:val="left"/>
              <w:rPr>
                <w:lang w:val="fr-BE"/>
              </w:rPr>
            </w:pPr>
            <w:r>
              <w:rPr>
                <w:lang w:val="fr-BE"/>
              </w:rPr>
              <w:t>Marie BORMANN (Spécilaisé)</w:t>
            </w:r>
          </w:p>
          <w:p>
            <w:pPr>
              <w:pStyle w:val="Corpsdetexte2"/>
              <w:jc w:val="left"/>
              <w:rPr>
                <w:lang w:val="fr-BE"/>
              </w:rPr>
            </w:pPr>
            <w:r>
              <w:rPr>
                <w:lang w:val="fr-BE"/>
              </w:rPr>
              <w:t xml:space="preserve">Alae-Eddine ASBAGUI (Spécialisé) </w:t>
            </w:r>
          </w:p>
          <w:p>
            <w:pPr>
              <w:pStyle w:val="Corpsdetexte2"/>
              <w:jc w:val="left"/>
              <w:rPr>
                <w:lang w:val="fr-BE"/>
              </w:rPr>
            </w:pPr>
          </w:p>
        </w:tc>
        <w:tc>
          <w:tcPr>
            <w:tcW w:w="1620" w:type="dxa"/>
            <w:tcBorders>
              <w:top w:val="single" w:sz="8" w:space="0" w:color="auto"/>
              <w:bottom w:val="single" w:sz="12" w:space="0" w:color="auto"/>
            </w:tcBorders>
          </w:tcPr>
          <w:p>
            <w:pPr>
              <w:pStyle w:val="Corpsdetexte2"/>
              <w:ind w:right="-70"/>
              <w:jc w:val="center"/>
              <w:rPr>
                <w:lang w:val="fr-BE"/>
              </w:rPr>
            </w:pPr>
            <w:r>
              <w:rPr>
                <w:lang w:val="fr-BE"/>
              </w:rPr>
              <w:t>690.84.07</w:t>
            </w:r>
          </w:p>
          <w:p>
            <w:pPr>
              <w:pStyle w:val="Corpsdetexte2"/>
              <w:ind w:right="-70"/>
              <w:jc w:val="center"/>
              <w:rPr>
                <w:lang w:val="fr-BE"/>
              </w:rPr>
            </w:pPr>
            <w:r>
              <w:rPr>
                <w:lang w:val="fr-BE"/>
              </w:rPr>
              <w:t>690.84.11</w:t>
            </w:r>
          </w:p>
          <w:p>
            <w:pPr>
              <w:pStyle w:val="Corpsdetexte2"/>
              <w:ind w:left="-70" w:right="-70"/>
              <w:jc w:val="center"/>
              <w:rPr>
                <w:lang w:val="fr-BE"/>
              </w:rPr>
            </w:pPr>
            <w:r>
              <w:rPr>
                <w:lang w:val="fr-BE"/>
              </w:rPr>
              <w:t>413.26.36</w:t>
            </w:r>
          </w:p>
          <w:p>
            <w:pPr>
              <w:pStyle w:val="Corpsdetexte2"/>
              <w:ind w:left="-70" w:right="-70"/>
              <w:jc w:val="center"/>
              <w:rPr>
                <w:lang w:val="fr-BE"/>
              </w:rPr>
            </w:pPr>
            <w:r>
              <w:rPr>
                <w:lang w:val="fr-BE"/>
              </w:rPr>
              <w:t>690.86.20</w:t>
            </w:r>
          </w:p>
        </w:tc>
        <w:tc>
          <w:tcPr>
            <w:tcW w:w="1440" w:type="dxa"/>
            <w:tcBorders>
              <w:top w:val="single" w:sz="8" w:space="0" w:color="auto"/>
              <w:bottom w:val="single" w:sz="12" w:space="0" w:color="auto"/>
            </w:tcBorders>
            <w:vAlign w:val="center"/>
          </w:tcPr>
          <w:p>
            <w:pPr>
              <w:pStyle w:val="Corpsdetexte2"/>
              <w:ind w:left="-33" w:right="-107"/>
              <w:jc w:val="center"/>
              <w:rPr>
                <w:lang w:val="fr-BE"/>
              </w:rPr>
            </w:pPr>
            <w:r>
              <w:rPr>
                <w:lang w:val="fr-BE"/>
              </w:rPr>
              <w:t>690.85.90</w:t>
            </w:r>
          </w:p>
          <w:p>
            <w:pPr>
              <w:pStyle w:val="Corpsdetexte2"/>
              <w:ind w:left="-33" w:right="-107"/>
              <w:jc w:val="center"/>
              <w:rPr>
                <w:lang w:val="fr-BE"/>
              </w:rPr>
            </w:pPr>
          </w:p>
        </w:tc>
      </w:tr>
      <w:tr>
        <w:trPr>
          <w:trHeight w:val="495"/>
        </w:trPr>
        <w:tc>
          <w:tcPr>
            <w:tcW w:w="3780" w:type="dxa"/>
            <w:tcBorders>
              <w:top w:val="single" w:sz="4" w:space="0" w:color="auto"/>
              <w:bottom w:val="single" w:sz="8" w:space="0" w:color="auto"/>
              <w:right w:val="single" w:sz="12" w:space="0" w:color="auto"/>
            </w:tcBorders>
            <w:vAlign w:val="center"/>
          </w:tcPr>
          <w:p>
            <w:pPr>
              <w:pStyle w:val="Corpsdetexte2"/>
              <w:jc w:val="left"/>
            </w:pPr>
            <w:r>
              <w:t>Langue et culture d’origine (LCO)</w:t>
            </w:r>
          </w:p>
        </w:tc>
        <w:tc>
          <w:tcPr>
            <w:tcW w:w="3600" w:type="dxa"/>
            <w:tcBorders>
              <w:top w:val="single" w:sz="4" w:space="0" w:color="auto"/>
              <w:left w:val="single" w:sz="12" w:space="0" w:color="auto"/>
              <w:bottom w:val="single" w:sz="8" w:space="0" w:color="auto"/>
            </w:tcBorders>
            <w:vAlign w:val="center"/>
          </w:tcPr>
          <w:p>
            <w:pPr>
              <w:pStyle w:val="Corpsdetexte2"/>
            </w:pPr>
            <w:r>
              <w:t>Isabelle POLAIN</w:t>
            </w:r>
          </w:p>
        </w:tc>
        <w:tc>
          <w:tcPr>
            <w:tcW w:w="1620" w:type="dxa"/>
            <w:tcBorders>
              <w:top w:val="single" w:sz="4" w:space="0" w:color="auto"/>
              <w:bottom w:val="single" w:sz="8" w:space="0" w:color="auto"/>
            </w:tcBorders>
            <w:vAlign w:val="center"/>
          </w:tcPr>
          <w:p>
            <w:pPr>
              <w:pStyle w:val="Corpsdetexte2"/>
              <w:ind w:left="-70" w:right="-70"/>
              <w:jc w:val="center"/>
            </w:pPr>
            <w:r>
              <w:t>690.83.45</w:t>
            </w:r>
          </w:p>
        </w:tc>
        <w:tc>
          <w:tcPr>
            <w:tcW w:w="1440" w:type="dxa"/>
            <w:tcBorders>
              <w:top w:val="single" w:sz="4" w:space="0" w:color="auto"/>
              <w:bottom w:val="single" w:sz="8" w:space="0" w:color="auto"/>
            </w:tcBorders>
            <w:vAlign w:val="center"/>
          </w:tcPr>
          <w:p>
            <w:pPr>
              <w:pStyle w:val="Corpsdetexte2"/>
              <w:ind w:left="-33" w:right="-107"/>
              <w:jc w:val="center"/>
            </w:pPr>
          </w:p>
        </w:tc>
      </w:tr>
      <w:tr>
        <w:trPr>
          <w:trHeight w:val="714"/>
        </w:trPr>
        <w:tc>
          <w:tcPr>
            <w:tcW w:w="3780" w:type="dxa"/>
            <w:tcBorders>
              <w:top w:val="single" w:sz="4" w:space="0" w:color="auto"/>
              <w:bottom w:val="single" w:sz="8" w:space="0" w:color="auto"/>
              <w:right w:val="single" w:sz="12" w:space="0" w:color="auto"/>
            </w:tcBorders>
            <w:vAlign w:val="center"/>
          </w:tcPr>
          <w:p>
            <w:pPr>
              <w:pStyle w:val="Corpsdetexte2"/>
              <w:jc w:val="left"/>
            </w:pPr>
            <w:r>
              <w:t xml:space="preserve">PLAF – Application de gestion des places disponibles dans l’enseignement fondamental </w:t>
            </w:r>
          </w:p>
        </w:tc>
        <w:tc>
          <w:tcPr>
            <w:tcW w:w="3600" w:type="dxa"/>
            <w:tcBorders>
              <w:top w:val="single" w:sz="4" w:space="0" w:color="auto"/>
              <w:left w:val="single" w:sz="12" w:space="0" w:color="auto"/>
              <w:bottom w:val="single" w:sz="8" w:space="0" w:color="auto"/>
            </w:tcBorders>
            <w:vAlign w:val="center"/>
          </w:tcPr>
          <w:p>
            <w:pPr>
              <w:pStyle w:val="Corpsdetexte2"/>
            </w:pPr>
            <w:r>
              <w:t>Laura BIETHERES</w:t>
            </w:r>
          </w:p>
        </w:tc>
        <w:tc>
          <w:tcPr>
            <w:tcW w:w="1620" w:type="dxa"/>
            <w:tcBorders>
              <w:top w:val="single" w:sz="4" w:space="0" w:color="auto"/>
              <w:bottom w:val="single" w:sz="8" w:space="0" w:color="auto"/>
            </w:tcBorders>
            <w:vAlign w:val="center"/>
          </w:tcPr>
          <w:p>
            <w:pPr>
              <w:pStyle w:val="Corpsdetexte2"/>
              <w:ind w:left="-70" w:right="-70"/>
              <w:jc w:val="center"/>
            </w:pPr>
            <w:r>
              <w:t>690.85.47</w:t>
            </w:r>
          </w:p>
        </w:tc>
        <w:tc>
          <w:tcPr>
            <w:tcW w:w="1440" w:type="dxa"/>
            <w:tcBorders>
              <w:top w:val="single" w:sz="4" w:space="0" w:color="auto"/>
              <w:bottom w:val="single" w:sz="8" w:space="0" w:color="auto"/>
            </w:tcBorders>
            <w:vAlign w:val="center"/>
          </w:tcPr>
          <w:p>
            <w:pPr>
              <w:pStyle w:val="Corpsdetexte2"/>
              <w:ind w:left="-33" w:right="-107"/>
              <w:jc w:val="center"/>
            </w:pPr>
          </w:p>
        </w:tc>
      </w:tr>
      <w:tr>
        <w:trPr>
          <w:trHeight w:hRule="exact" w:val="545"/>
        </w:trPr>
        <w:tc>
          <w:tcPr>
            <w:tcW w:w="3780" w:type="dxa"/>
            <w:tcBorders>
              <w:top w:val="single" w:sz="8" w:space="0" w:color="auto"/>
              <w:bottom w:val="single" w:sz="4" w:space="0" w:color="auto"/>
              <w:right w:val="single" w:sz="12" w:space="0" w:color="auto"/>
            </w:tcBorders>
            <w:vAlign w:val="center"/>
          </w:tcPr>
          <w:p>
            <w:pPr>
              <w:pStyle w:val="Corpsdetexte2"/>
              <w:jc w:val="left"/>
              <w:rPr>
                <w:b/>
                <w:lang w:val="fr-BE"/>
              </w:rPr>
            </w:pPr>
            <w:r>
              <w:rPr>
                <w:b/>
                <w:lang w:val="fr-BE"/>
              </w:rPr>
              <w:t xml:space="preserve">Matière </w:t>
            </w:r>
          </w:p>
        </w:tc>
        <w:tc>
          <w:tcPr>
            <w:tcW w:w="3600" w:type="dxa"/>
            <w:tcBorders>
              <w:top w:val="single" w:sz="8" w:space="0" w:color="auto"/>
              <w:left w:val="single" w:sz="12" w:space="0" w:color="auto"/>
              <w:bottom w:val="single" w:sz="4" w:space="0" w:color="auto"/>
            </w:tcBorders>
            <w:vAlign w:val="center"/>
          </w:tcPr>
          <w:p>
            <w:pPr>
              <w:pStyle w:val="Corpsdetexte2"/>
              <w:rPr>
                <w:b/>
                <w:lang w:val="fr-BE"/>
              </w:rPr>
            </w:pPr>
            <w:r>
              <w:rPr>
                <w:b/>
                <w:lang w:val="fr-BE"/>
              </w:rPr>
              <w:t>Personne de contact</w:t>
            </w:r>
          </w:p>
        </w:tc>
        <w:tc>
          <w:tcPr>
            <w:tcW w:w="1620" w:type="dxa"/>
            <w:tcBorders>
              <w:top w:val="single" w:sz="8" w:space="0" w:color="auto"/>
              <w:bottom w:val="single" w:sz="4" w:space="0" w:color="auto"/>
            </w:tcBorders>
            <w:vAlign w:val="center"/>
          </w:tcPr>
          <w:p>
            <w:pPr>
              <w:pStyle w:val="Corpsdetexte2"/>
              <w:ind w:left="-70" w:right="-70"/>
              <w:jc w:val="center"/>
              <w:rPr>
                <w:b/>
                <w:lang w:val="fr-BE"/>
              </w:rPr>
            </w:pPr>
            <w:r>
              <w:rPr>
                <w:b/>
                <w:lang w:val="fr-BE"/>
              </w:rPr>
              <w:t>Tél</w:t>
            </w:r>
          </w:p>
          <w:p>
            <w:pPr>
              <w:pStyle w:val="Corpsdetexte2"/>
              <w:ind w:left="-70" w:right="-70"/>
              <w:jc w:val="center"/>
              <w:rPr>
                <w:b/>
                <w:lang w:val="fr-BE"/>
              </w:rPr>
            </w:pPr>
            <w:r>
              <w:rPr>
                <w:b/>
                <w:lang w:val="fr-BE"/>
              </w:rPr>
              <w:t>02/</w:t>
            </w:r>
          </w:p>
        </w:tc>
        <w:tc>
          <w:tcPr>
            <w:tcW w:w="1440" w:type="dxa"/>
            <w:tcBorders>
              <w:top w:val="single" w:sz="8" w:space="0" w:color="auto"/>
              <w:bottom w:val="single" w:sz="4" w:space="0" w:color="auto"/>
            </w:tcBorders>
            <w:vAlign w:val="center"/>
          </w:tcPr>
          <w:p>
            <w:pPr>
              <w:pStyle w:val="Corpsdetexte2"/>
              <w:ind w:left="-33" w:right="-107"/>
              <w:jc w:val="center"/>
              <w:rPr>
                <w:b/>
                <w:lang w:val="fr-BE"/>
              </w:rPr>
            </w:pPr>
            <w:r>
              <w:rPr>
                <w:b/>
                <w:lang w:val="fr-BE"/>
              </w:rPr>
              <w:t>Fax</w:t>
            </w:r>
          </w:p>
          <w:p>
            <w:pPr>
              <w:pStyle w:val="Corpsdetexte2"/>
              <w:ind w:left="-33" w:right="-107"/>
              <w:jc w:val="center"/>
              <w:rPr>
                <w:b/>
                <w:lang w:val="fr-BE"/>
              </w:rPr>
            </w:pPr>
            <w:r>
              <w:rPr>
                <w:b/>
                <w:lang w:val="fr-BE"/>
              </w:rPr>
              <w:t>02/</w:t>
            </w:r>
          </w:p>
        </w:tc>
      </w:tr>
      <w:tr>
        <w:trPr>
          <w:trHeight w:hRule="exact" w:val="1050"/>
        </w:trPr>
        <w:tc>
          <w:tcPr>
            <w:tcW w:w="3780" w:type="dxa"/>
            <w:tcBorders>
              <w:top w:val="single" w:sz="8" w:space="0" w:color="auto"/>
              <w:bottom w:val="single" w:sz="4" w:space="0" w:color="auto"/>
              <w:right w:val="single" w:sz="12" w:space="0" w:color="auto"/>
            </w:tcBorders>
            <w:vAlign w:val="center"/>
          </w:tcPr>
          <w:p>
            <w:pPr>
              <w:pStyle w:val="Corpsdetexte2"/>
              <w:jc w:val="left"/>
              <w:rPr>
                <w:lang w:val="fr-BE"/>
              </w:rPr>
            </w:pPr>
            <w:r>
              <w:rPr>
                <w:lang w:val="fr-BE"/>
              </w:rPr>
              <w:t>Remboursement des frais de transport des membres du personnel</w:t>
            </w:r>
          </w:p>
        </w:tc>
        <w:tc>
          <w:tcPr>
            <w:tcW w:w="3600" w:type="dxa"/>
            <w:tcBorders>
              <w:top w:val="single" w:sz="8" w:space="0" w:color="auto"/>
              <w:left w:val="single" w:sz="12" w:space="0" w:color="auto"/>
              <w:bottom w:val="single" w:sz="4" w:space="0" w:color="auto"/>
            </w:tcBorders>
            <w:vAlign w:val="center"/>
          </w:tcPr>
          <w:p>
            <w:pPr>
              <w:pStyle w:val="Corpsdetexte2"/>
              <w:rPr>
                <w:lang w:val="fr-BE"/>
              </w:rPr>
            </w:pPr>
            <w:r>
              <w:rPr>
                <w:lang w:val="fr-BE"/>
              </w:rPr>
              <w:t>Corinne MAJOIS</w:t>
            </w:r>
          </w:p>
          <w:p>
            <w:pPr>
              <w:pStyle w:val="Corpsdetexte2"/>
              <w:rPr>
                <w:lang w:val="fr-BE"/>
              </w:rPr>
            </w:pPr>
            <w:r>
              <w:rPr>
                <w:lang w:val="fr-BE"/>
              </w:rPr>
              <w:t>Laurence BARBIEUX</w:t>
            </w:r>
          </w:p>
          <w:p>
            <w:pPr>
              <w:pStyle w:val="Corpsdetexte2"/>
              <w:rPr>
                <w:lang w:val="fr-BE"/>
              </w:rPr>
            </w:pPr>
            <w:r>
              <w:rPr>
                <w:lang w:val="fr-BE"/>
              </w:rPr>
              <w:t>Sidney NZIGIRA</w:t>
            </w:r>
          </w:p>
        </w:tc>
        <w:tc>
          <w:tcPr>
            <w:tcW w:w="1620" w:type="dxa"/>
            <w:tcBorders>
              <w:top w:val="single" w:sz="8" w:space="0" w:color="auto"/>
              <w:bottom w:val="single" w:sz="4" w:space="0" w:color="auto"/>
            </w:tcBorders>
            <w:vAlign w:val="center"/>
          </w:tcPr>
          <w:p>
            <w:pPr>
              <w:pStyle w:val="Corpsdetexte2"/>
              <w:ind w:left="-70" w:right="-70"/>
              <w:jc w:val="center"/>
              <w:rPr>
                <w:lang w:val="fr-BE"/>
              </w:rPr>
            </w:pPr>
            <w:r>
              <w:rPr>
                <w:lang w:val="fr-BE"/>
              </w:rPr>
              <w:t>690.83.47</w:t>
            </w:r>
          </w:p>
          <w:p>
            <w:pPr>
              <w:pStyle w:val="Corpsdetexte2"/>
              <w:ind w:left="-70" w:right="-70"/>
              <w:jc w:val="center"/>
              <w:rPr>
                <w:lang w:val="fr-BE"/>
              </w:rPr>
            </w:pPr>
            <w:r>
              <w:rPr>
                <w:lang w:val="fr-BE"/>
              </w:rPr>
              <w:t>690.83.41</w:t>
            </w:r>
          </w:p>
          <w:p>
            <w:pPr>
              <w:pStyle w:val="Corpsdetexte2"/>
              <w:ind w:left="-70" w:right="-70"/>
              <w:jc w:val="center"/>
              <w:rPr>
                <w:lang w:val="fr-BE"/>
              </w:rPr>
            </w:pPr>
            <w:r>
              <w:rPr>
                <w:lang w:val="fr-BE"/>
              </w:rPr>
              <w:t>690.85.00</w:t>
            </w:r>
          </w:p>
        </w:tc>
        <w:tc>
          <w:tcPr>
            <w:tcW w:w="1440" w:type="dxa"/>
            <w:tcBorders>
              <w:top w:val="single" w:sz="8" w:space="0" w:color="auto"/>
              <w:bottom w:val="single" w:sz="4" w:space="0" w:color="auto"/>
            </w:tcBorders>
            <w:vAlign w:val="center"/>
          </w:tcPr>
          <w:p>
            <w:pPr>
              <w:pStyle w:val="Corpsdetexte2"/>
              <w:ind w:left="-33" w:right="-107"/>
              <w:jc w:val="center"/>
              <w:rPr>
                <w:lang w:val="fr-BE"/>
              </w:rPr>
            </w:pPr>
          </w:p>
        </w:tc>
      </w:tr>
      <w:tr>
        <w:trPr>
          <w:trHeight w:hRule="exact" w:val="545"/>
        </w:trPr>
        <w:tc>
          <w:tcPr>
            <w:tcW w:w="3780" w:type="dxa"/>
            <w:tcBorders>
              <w:top w:val="single" w:sz="8" w:space="0" w:color="auto"/>
              <w:bottom w:val="single" w:sz="4" w:space="0" w:color="auto"/>
              <w:right w:val="single" w:sz="12" w:space="0" w:color="auto"/>
            </w:tcBorders>
            <w:vAlign w:val="center"/>
          </w:tcPr>
          <w:p>
            <w:pPr>
              <w:pStyle w:val="Corpsdetexte2"/>
              <w:jc w:val="left"/>
              <w:rPr>
                <w:lang w:val="fr-BE"/>
              </w:rPr>
            </w:pPr>
            <w:r>
              <w:rPr>
                <w:lang w:val="fr-BE"/>
              </w:rPr>
              <w:t>Sécurité et hygiène</w:t>
            </w:r>
          </w:p>
        </w:tc>
        <w:tc>
          <w:tcPr>
            <w:tcW w:w="3600" w:type="dxa"/>
            <w:tcBorders>
              <w:top w:val="single" w:sz="8" w:space="0" w:color="auto"/>
              <w:left w:val="single" w:sz="12" w:space="0" w:color="auto"/>
              <w:bottom w:val="single" w:sz="4" w:space="0" w:color="auto"/>
            </w:tcBorders>
            <w:vAlign w:val="center"/>
          </w:tcPr>
          <w:p>
            <w:pPr>
              <w:pStyle w:val="Corpsdetexte2"/>
              <w:rPr>
                <w:lang w:val="fr-BE"/>
              </w:rPr>
            </w:pPr>
            <w:r>
              <w:rPr>
                <w:lang w:val="fr-BE"/>
              </w:rPr>
              <w:t>Sophie GUISSET</w:t>
            </w:r>
          </w:p>
        </w:tc>
        <w:tc>
          <w:tcPr>
            <w:tcW w:w="1620" w:type="dxa"/>
            <w:tcBorders>
              <w:top w:val="single" w:sz="8" w:space="0" w:color="auto"/>
              <w:bottom w:val="single" w:sz="4" w:space="0" w:color="auto"/>
            </w:tcBorders>
            <w:vAlign w:val="center"/>
          </w:tcPr>
          <w:p>
            <w:pPr>
              <w:pStyle w:val="Corpsdetexte2"/>
              <w:ind w:left="-70" w:right="-70"/>
              <w:jc w:val="center"/>
              <w:rPr>
                <w:lang w:val="fr-BE"/>
              </w:rPr>
            </w:pPr>
            <w:r>
              <w:rPr>
                <w:lang w:val="fr-BE"/>
              </w:rPr>
              <w:t>690.84.83</w:t>
            </w:r>
          </w:p>
        </w:tc>
        <w:tc>
          <w:tcPr>
            <w:tcW w:w="1440" w:type="dxa"/>
            <w:tcBorders>
              <w:top w:val="single" w:sz="8" w:space="0" w:color="auto"/>
              <w:bottom w:val="single" w:sz="4" w:space="0" w:color="auto"/>
            </w:tcBorders>
            <w:vAlign w:val="center"/>
          </w:tcPr>
          <w:p>
            <w:pPr>
              <w:pStyle w:val="Corpsdetexte2"/>
              <w:ind w:left="-33" w:right="-107"/>
              <w:jc w:val="center"/>
              <w:rPr>
                <w:lang w:val="fr-BE"/>
              </w:rPr>
            </w:pPr>
            <w:r>
              <w:rPr>
                <w:lang w:val="fr-BE"/>
              </w:rPr>
              <w:t>690.58.80</w:t>
            </w:r>
          </w:p>
        </w:tc>
      </w:tr>
      <w:tr>
        <w:trPr>
          <w:trHeight w:hRule="exact" w:val="805"/>
        </w:trPr>
        <w:tc>
          <w:tcPr>
            <w:tcW w:w="3780" w:type="dxa"/>
            <w:tcBorders>
              <w:top w:val="single" w:sz="4" w:space="0" w:color="auto"/>
              <w:left w:val="single" w:sz="12" w:space="0" w:color="auto"/>
              <w:bottom w:val="single" w:sz="4" w:space="0" w:color="auto"/>
              <w:right w:val="single" w:sz="12" w:space="0" w:color="auto"/>
            </w:tcBorders>
            <w:vAlign w:val="center"/>
          </w:tcPr>
          <w:p>
            <w:pPr>
              <w:pStyle w:val="Corpsdetexte2"/>
              <w:ind w:right="-250"/>
              <w:jc w:val="left"/>
            </w:pPr>
            <w:r>
              <w:rPr>
                <w:spacing w:val="-4"/>
                <w:lang w:val="fr-BE"/>
              </w:rPr>
              <w:t>Surveillances de midi</w:t>
            </w:r>
          </w:p>
        </w:tc>
        <w:tc>
          <w:tcPr>
            <w:tcW w:w="3600" w:type="dxa"/>
            <w:tcBorders>
              <w:top w:val="single" w:sz="4" w:space="0" w:color="auto"/>
              <w:left w:val="single" w:sz="12" w:space="0" w:color="auto"/>
              <w:bottom w:val="single" w:sz="4" w:space="0" w:color="auto"/>
            </w:tcBorders>
            <w:vAlign w:val="center"/>
          </w:tcPr>
          <w:p>
            <w:pPr>
              <w:pStyle w:val="Corpsdetexte2"/>
              <w:jc w:val="left"/>
            </w:pPr>
            <w:r>
              <w:t>Géraldine WISEUR</w:t>
            </w:r>
          </w:p>
        </w:tc>
        <w:tc>
          <w:tcPr>
            <w:tcW w:w="1620" w:type="dxa"/>
            <w:tcBorders>
              <w:top w:val="single" w:sz="4" w:space="0" w:color="auto"/>
              <w:bottom w:val="single" w:sz="4" w:space="0" w:color="auto"/>
            </w:tcBorders>
            <w:vAlign w:val="center"/>
          </w:tcPr>
          <w:p>
            <w:pPr>
              <w:pStyle w:val="Corpsdetexte2"/>
              <w:ind w:left="-70" w:right="-70"/>
              <w:jc w:val="center"/>
            </w:pPr>
            <w:r>
              <w:t>690.84.18</w:t>
            </w:r>
          </w:p>
        </w:tc>
        <w:tc>
          <w:tcPr>
            <w:tcW w:w="1440" w:type="dxa"/>
            <w:tcBorders>
              <w:top w:val="single" w:sz="4" w:space="0" w:color="auto"/>
              <w:bottom w:val="single" w:sz="4" w:space="0" w:color="auto"/>
              <w:right w:val="single" w:sz="12" w:space="0" w:color="auto"/>
            </w:tcBorders>
            <w:vAlign w:val="center"/>
          </w:tcPr>
          <w:p>
            <w:pPr>
              <w:pStyle w:val="Corpsdetexte2"/>
              <w:ind w:left="-33" w:right="-107"/>
              <w:jc w:val="center"/>
            </w:pPr>
            <w:r>
              <w:t>690.85.77</w:t>
            </w:r>
          </w:p>
        </w:tc>
      </w:tr>
      <w:tr>
        <w:trPr>
          <w:trHeight w:hRule="exact" w:val="2138"/>
        </w:trPr>
        <w:tc>
          <w:tcPr>
            <w:tcW w:w="3780" w:type="dxa"/>
            <w:tcBorders>
              <w:top w:val="single" w:sz="4" w:space="0" w:color="auto"/>
              <w:left w:val="single" w:sz="12" w:space="0" w:color="auto"/>
              <w:bottom w:val="single" w:sz="12" w:space="0" w:color="auto"/>
              <w:right w:val="single" w:sz="12" w:space="0" w:color="auto"/>
            </w:tcBorders>
            <w:vAlign w:val="center"/>
          </w:tcPr>
          <w:p>
            <w:pPr>
              <w:pStyle w:val="Corpsdetexte2"/>
              <w:ind w:right="-250"/>
              <w:jc w:val="left"/>
              <w:rPr>
                <w:spacing w:val="-4"/>
                <w:highlight w:val="yellow"/>
                <w:lang w:val="fr-BE"/>
              </w:rPr>
            </w:pPr>
            <w:r>
              <w:rPr>
                <w:spacing w:val="-6"/>
                <w:lang w:val="fr-BE"/>
              </w:rPr>
              <w:t>SIEL – Application de gestion des inscriptions d’élèves</w:t>
            </w:r>
          </w:p>
        </w:tc>
        <w:tc>
          <w:tcPr>
            <w:tcW w:w="3600" w:type="dxa"/>
            <w:tcBorders>
              <w:top w:val="single" w:sz="4" w:space="0" w:color="auto"/>
              <w:left w:val="single" w:sz="12" w:space="0" w:color="auto"/>
              <w:bottom w:val="single" w:sz="12" w:space="0" w:color="auto"/>
            </w:tcBorders>
            <w:vAlign w:val="center"/>
          </w:tcPr>
          <w:p>
            <w:r>
              <w:t>Alain DELSOIR - 0473/94.97.36</w:t>
            </w:r>
          </w:p>
          <w:p>
            <w:r>
              <w:t xml:space="preserve">Jean-Paul BIHIN –  0473/78 90 51 </w:t>
            </w:r>
          </w:p>
          <w:p>
            <w:r>
              <w:t xml:space="preserve">Martine GARNIER – 0479/54 11 14 </w:t>
            </w:r>
          </w:p>
          <w:p>
            <w:r>
              <w:t xml:space="preserve">Carine GEUNS – 0477/51 02 82 </w:t>
            </w:r>
          </w:p>
          <w:p>
            <w:pPr>
              <w:rPr>
                <w:lang w:val="fr-BE"/>
              </w:rPr>
            </w:pPr>
            <w:r>
              <w:rPr>
                <w:lang w:val="fr-BE"/>
              </w:rPr>
              <w:t xml:space="preserve">Vincent GILSON – 0479/54 10 91 </w:t>
            </w:r>
          </w:p>
          <w:p>
            <w:pPr>
              <w:rPr>
                <w:lang w:val="en-US"/>
              </w:rPr>
            </w:pPr>
            <w:r>
              <w:rPr>
                <w:lang w:val="en-US"/>
              </w:rPr>
              <w:t xml:space="preserve">Gérard HALLET – 0470/24 57 09  </w:t>
            </w:r>
          </w:p>
          <w:p>
            <w:pPr>
              <w:pStyle w:val="Corpsdetexte2"/>
              <w:jc w:val="left"/>
              <w:rPr>
                <w:highlight w:val="yellow"/>
                <w:lang w:val="en-US"/>
              </w:rPr>
            </w:pPr>
            <w:r>
              <w:rPr>
                <w:lang w:val="en-US"/>
              </w:rPr>
              <w:t xml:space="preserve">Marc TALBOT – 0477/98 37 84 </w:t>
            </w:r>
          </w:p>
        </w:tc>
        <w:tc>
          <w:tcPr>
            <w:tcW w:w="1620" w:type="dxa"/>
            <w:tcBorders>
              <w:top w:val="single" w:sz="4" w:space="0" w:color="auto"/>
              <w:bottom w:val="single" w:sz="12" w:space="0" w:color="auto"/>
            </w:tcBorders>
            <w:vAlign w:val="center"/>
          </w:tcPr>
          <w:p>
            <w:pPr>
              <w:pStyle w:val="Corpsdetexte2"/>
              <w:ind w:left="-70" w:right="-70"/>
              <w:jc w:val="center"/>
            </w:pPr>
            <w:r>
              <w:t>02/690.84.92 </w:t>
            </w:r>
          </w:p>
          <w:p>
            <w:pPr>
              <w:pStyle w:val="Corpsdetexte2"/>
              <w:ind w:left="-70" w:right="-70"/>
              <w:jc w:val="center"/>
            </w:pPr>
            <w:r>
              <w:t>02/690.83.15 </w:t>
            </w:r>
          </w:p>
          <w:p>
            <w:pPr>
              <w:pStyle w:val="Corpsdetexte2"/>
              <w:ind w:left="-70" w:right="-70"/>
              <w:jc w:val="center"/>
            </w:pPr>
            <w:r>
              <w:t>02/690.83.63 </w:t>
            </w:r>
          </w:p>
          <w:p>
            <w:pPr>
              <w:pStyle w:val="Corpsdetexte2"/>
              <w:ind w:left="-70" w:right="-70"/>
              <w:jc w:val="center"/>
            </w:pPr>
            <w:r>
              <w:t>02/690.83.18 </w:t>
            </w:r>
          </w:p>
          <w:p>
            <w:pPr>
              <w:pStyle w:val="Corpsdetexte2"/>
              <w:ind w:left="-70" w:right="-70"/>
              <w:jc w:val="center"/>
              <w:rPr>
                <w:lang w:val="en-US"/>
              </w:rPr>
            </w:pPr>
            <w:r>
              <w:rPr>
                <w:lang w:val="en-US"/>
              </w:rPr>
              <w:t>02/690.83.06 </w:t>
            </w:r>
          </w:p>
          <w:p>
            <w:pPr>
              <w:pStyle w:val="Corpsdetexte2"/>
              <w:ind w:left="-70" w:right="-70"/>
              <w:jc w:val="center"/>
              <w:rPr>
                <w:lang w:val="en-US"/>
              </w:rPr>
            </w:pPr>
            <w:r>
              <w:rPr>
                <w:lang w:val="en-US"/>
              </w:rPr>
              <w:t>02/690.86.25 </w:t>
            </w:r>
          </w:p>
          <w:p>
            <w:pPr>
              <w:pStyle w:val="Corpsdetexte2"/>
              <w:ind w:left="-70" w:right="-70"/>
              <w:jc w:val="center"/>
              <w:rPr>
                <w:szCs w:val="22"/>
                <w:highlight w:val="yellow"/>
              </w:rPr>
            </w:pPr>
            <w:r>
              <w:t>02/690.84.20 </w:t>
            </w:r>
          </w:p>
        </w:tc>
        <w:tc>
          <w:tcPr>
            <w:tcW w:w="1440" w:type="dxa"/>
            <w:tcBorders>
              <w:top w:val="single" w:sz="4" w:space="0" w:color="auto"/>
              <w:bottom w:val="single" w:sz="12" w:space="0" w:color="auto"/>
              <w:right w:val="single" w:sz="12" w:space="0" w:color="auto"/>
            </w:tcBorders>
            <w:vAlign w:val="center"/>
          </w:tcPr>
          <w:p>
            <w:pPr>
              <w:pStyle w:val="Corpsdetexte2"/>
              <w:ind w:left="-33" w:right="-107"/>
              <w:jc w:val="center"/>
            </w:pPr>
          </w:p>
        </w:tc>
      </w:tr>
    </w:tbl>
    <w:p>
      <w:pPr>
        <w:rPr>
          <w:sz w:val="2"/>
          <w:szCs w:val="2"/>
          <w:lang w:val="fr-BE"/>
        </w:rPr>
      </w:pPr>
    </w:p>
    <w:p>
      <w:pPr>
        <w:ind w:right="-215"/>
        <w:rPr>
          <w:spacing w:val="-10"/>
          <w:szCs w:val="22"/>
        </w:rPr>
      </w:pPr>
      <w:bookmarkStart w:id="23" w:name="_Toc110930856"/>
    </w:p>
    <w:p>
      <w:pPr>
        <w:ind w:right="-215"/>
        <w:rPr>
          <w:spacing w:val="-10"/>
          <w:szCs w:val="22"/>
        </w:rPr>
      </w:pPr>
    </w:p>
    <w:p>
      <w:pPr>
        <w:ind w:right="-215"/>
        <w:rPr>
          <w:b/>
          <w:spacing w:val="-10"/>
          <w:sz w:val="28"/>
          <w:u w:val="single"/>
        </w:rPr>
      </w:pPr>
      <w:r>
        <w:rPr>
          <w:b/>
          <w:spacing w:val="-10"/>
          <w:sz w:val="28"/>
          <w:u w:val="single"/>
        </w:rPr>
        <w:t>Contacts spécifiques pour l'enseignement organisé par la Fédération Wallonie-Bruxelles</w:t>
      </w:r>
      <w:bookmarkEnd w:id="23"/>
    </w:p>
    <w:p>
      <w:pPr>
        <w:pStyle w:val="En-tte"/>
        <w:tabs>
          <w:tab w:val="clear" w:pos="4536"/>
          <w:tab w:val="clear" w:pos="9072"/>
        </w:tabs>
        <w:rPr>
          <w:spacing w:val="-8"/>
          <w:szCs w:val="22"/>
        </w:rPr>
      </w:pPr>
    </w:p>
    <w:tbl>
      <w:tblPr>
        <w:tblW w:w="10260" w:type="dxa"/>
        <w:tblInd w:w="-11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5131"/>
        <w:gridCol w:w="2602"/>
        <w:gridCol w:w="1267"/>
        <w:gridCol w:w="1260"/>
      </w:tblGrid>
      <w:tr>
        <w:trPr>
          <w:trHeight w:val="571"/>
        </w:trPr>
        <w:tc>
          <w:tcPr>
            <w:tcW w:w="5131" w:type="dxa"/>
            <w:vAlign w:val="center"/>
          </w:tcPr>
          <w:p>
            <w:pPr>
              <w:pStyle w:val="Corpsdetexte2"/>
              <w:jc w:val="left"/>
              <w:rPr>
                <w:b/>
              </w:rPr>
            </w:pPr>
            <w:r>
              <w:rPr>
                <w:b/>
              </w:rPr>
              <w:t>Matière</w:t>
            </w:r>
          </w:p>
        </w:tc>
        <w:tc>
          <w:tcPr>
            <w:tcW w:w="2602" w:type="dxa"/>
            <w:vAlign w:val="center"/>
          </w:tcPr>
          <w:p>
            <w:pPr>
              <w:pStyle w:val="Corpsdetexte2"/>
              <w:rPr>
                <w:b/>
              </w:rPr>
            </w:pPr>
            <w:r>
              <w:rPr>
                <w:b/>
              </w:rPr>
              <w:t>Personne de contact</w:t>
            </w:r>
          </w:p>
        </w:tc>
        <w:tc>
          <w:tcPr>
            <w:tcW w:w="1267" w:type="dxa"/>
            <w:vAlign w:val="center"/>
          </w:tcPr>
          <w:p>
            <w:pPr>
              <w:pStyle w:val="Corpsdetexte2"/>
              <w:ind w:left="-70" w:right="-70"/>
              <w:jc w:val="center"/>
              <w:rPr>
                <w:b/>
              </w:rPr>
            </w:pPr>
            <w:r>
              <w:rPr>
                <w:b/>
              </w:rPr>
              <w:t>Téléphone</w:t>
            </w:r>
          </w:p>
          <w:p>
            <w:pPr>
              <w:pStyle w:val="Corpsdetexte2"/>
              <w:ind w:left="-70" w:right="-70"/>
              <w:jc w:val="center"/>
            </w:pPr>
            <w:r>
              <w:t>02/</w:t>
            </w:r>
          </w:p>
        </w:tc>
        <w:tc>
          <w:tcPr>
            <w:tcW w:w="1260" w:type="dxa"/>
            <w:vAlign w:val="center"/>
          </w:tcPr>
          <w:p>
            <w:pPr>
              <w:pStyle w:val="Corpsdetexte2"/>
              <w:ind w:left="-33" w:right="-107"/>
              <w:jc w:val="center"/>
              <w:rPr>
                <w:b/>
              </w:rPr>
            </w:pPr>
            <w:r>
              <w:rPr>
                <w:b/>
              </w:rPr>
              <w:t>Fax</w:t>
            </w:r>
          </w:p>
          <w:p>
            <w:pPr>
              <w:pStyle w:val="Corpsdetexte2"/>
              <w:ind w:left="-33" w:right="-107"/>
              <w:jc w:val="center"/>
            </w:pPr>
            <w:r>
              <w:t>02/</w:t>
            </w:r>
          </w:p>
        </w:tc>
      </w:tr>
      <w:tr>
        <w:trPr>
          <w:trHeight w:hRule="exact" w:val="510"/>
        </w:trPr>
        <w:tc>
          <w:tcPr>
            <w:tcW w:w="5131" w:type="dxa"/>
            <w:vAlign w:val="center"/>
          </w:tcPr>
          <w:p>
            <w:pPr>
              <w:pStyle w:val="Corpsdetexte2"/>
              <w:jc w:val="left"/>
            </w:pPr>
            <w:r>
              <w:t>Contrôle des comptes</w:t>
            </w:r>
          </w:p>
        </w:tc>
        <w:tc>
          <w:tcPr>
            <w:tcW w:w="2602" w:type="dxa"/>
            <w:vAlign w:val="center"/>
          </w:tcPr>
          <w:p>
            <w:pPr>
              <w:pStyle w:val="Corpsdetexte2"/>
              <w:rPr>
                <w:lang w:val="fr-BE"/>
              </w:rPr>
            </w:pPr>
            <w:r>
              <w:rPr>
                <w:lang w:val="fr-BE"/>
              </w:rPr>
              <w:t>Jackie BEAURAIND</w:t>
            </w:r>
          </w:p>
        </w:tc>
        <w:tc>
          <w:tcPr>
            <w:tcW w:w="1267" w:type="dxa"/>
            <w:vAlign w:val="center"/>
          </w:tcPr>
          <w:p>
            <w:pPr>
              <w:pStyle w:val="Corpsdetexte2"/>
              <w:ind w:left="-70" w:right="-70"/>
              <w:jc w:val="center"/>
              <w:rPr>
                <w:lang w:val="fr-BE"/>
              </w:rPr>
            </w:pPr>
            <w:r>
              <w:rPr>
                <w:lang w:val="fr-BE"/>
              </w:rPr>
              <w:t>690.83.42</w:t>
            </w:r>
          </w:p>
        </w:tc>
        <w:tc>
          <w:tcPr>
            <w:tcW w:w="1260" w:type="dxa"/>
            <w:vAlign w:val="center"/>
          </w:tcPr>
          <w:p>
            <w:pPr>
              <w:pStyle w:val="Corpsdetexte2"/>
              <w:ind w:left="-33" w:right="-107"/>
              <w:jc w:val="center"/>
              <w:rPr>
                <w:lang w:val="fr-BE"/>
              </w:rPr>
            </w:pPr>
            <w:r>
              <w:t>690.85.80</w:t>
            </w:r>
          </w:p>
        </w:tc>
      </w:tr>
      <w:tr>
        <w:trPr>
          <w:trHeight w:hRule="exact" w:val="454"/>
        </w:trPr>
        <w:tc>
          <w:tcPr>
            <w:tcW w:w="5131" w:type="dxa"/>
            <w:vAlign w:val="center"/>
          </w:tcPr>
          <w:p>
            <w:pPr>
              <w:pStyle w:val="Corpsdetexte2"/>
              <w:jc w:val="left"/>
            </w:pPr>
            <w:r>
              <w:t>Correspondants-comptables</w:t>
            </w:r>
          </w:p>
        </w:tc>
        <w:tc>
          <w:tcPr>
            <w:tcW w:w="2602" w:type="dxa"/>
            <w:vAlign w:val="center"/>
          </w:tcPr>
          <w:p>
            <w:pPr>
              <w:pStyle w:val="Corpsdetexte2"/>
            </w:pPr>
            <w:r>
              <w:t>Géraldine WISEUR</w:t>
            </w:r>
          </w:p>
        </w:tc>
        <w:tc>
          <w:tcPr>
            <w:tcW w:w="1267" w:type="dxa"/>
            <w:vAlign w:val="center"/>
          </w:tcPr>
          <w:p>
            <w:pPr>
              <w:pStyle w:val="Corpsdetexte2"/>
              <w:ind w:left="-70" w:right="-70"/>
              <w:jc w:val="center"/>
            </w:pPr>
            <w:r>
              <w:t>690.84.18</w:t>
            </w:r>
          </w:p>
        </w:tc>
        <w:tc>
          <w:tcPr>
            <w:tcW w:w="1260" w:type="dxa"/>
            <w:vAlign w:val="center"/>
          </w:tcPr>
          <w:p>
            <w:pPr>
              <w:pStyle w:val="Corpsdetexte2"/>
              <w:ind w:left="-33" w:right="-107"/>
              <w:jc w:val="center"/>
            </w:pPr>
            <w:r>
              <w:t>690.85.77</w:t>
            </w:r>
          </w:p>
        </w:tc>
      </w:tr>
      <w:tr>
        <w:trPr>
          <w:trHeight w:hRule="exact" w:val="684"/>
        </w:trPr>
        <w:tc>
          <w:tcPr>
            <w:tcW w:w="5131" w:type="dxa"/>
            <w:vAlign w:val="center"/>
          </w:tcPr>
          <w:p>
            <w:pPr>
              <w:pStyle w:val="Corpsdetexte2"/>
              <w:jc w:val="left"/>
            </w:pPr>
            <w:r>
              <w:t>Dotations aux écoles et aux internats</w:t>
            </w:r>
          </w:p>
        </w:tc>
        <w:tc>
          <w:tcPr>
            <w:tcW w:w="2602" w:type="dxa"/>
            <w:vAlign w:val="center"/>
          </w:tcPr>
          <w:p>
            <w:pPr>
              <w:pStyle w:val="Corpsdetexte2"/>
            </w:pPr>
            <w:r>
              <w:t>Sophie SIMONIS</w:t>
            </w:r>
          </w:p>
        </w:tc>
        <w:tc>
          <w:tcPr>
            <w:tcW w:w="1267" w:type="dxa"/>
            <w:vAlign w:val="center"/>
          </w:tcPr>
          <w:p>
            <w:pPr>
              <w:pStyle w:val="Corpsdetexte2"/>
              <w:ind w:left="-70" w:right="-70"/>
              <w:jc w:val="center"/>
            </w:pPr>
            <w:r>
              <w:t>690.84.16</w:t>
            </w:r>
          </w:p>
        </w:tc>
        <w:tc>
          <w:tcPr>
            <w:tcW w:w="1260" w:type="dxa"/>
            <w:vAlign w:val="center"/>
          </w:tcPr>
          <w:p>
            <w:pPr>
              <w:pStyle w:val="Corpsdetexte2"/>
              <w:ind w:left="-33" w:right="-107"/>
              <w:jc w:val="center"/>
            </w:pPr>
            <w:r>
              <w:t>690.85.77</w:t>
            </w:r>
          </w:p>
        </w:tc>
      </w:tr>
      <w:tr>
        <w:trPr>
          <w:trHeight w:hRule="exact" w:val="454"/>
        </w:trPr>
        <w:tc>
          <w:tcPr>
            <w:tcW w:w="5131" w:type="dxa"/>
            <w:vAlign w:val="center"/>
          </w:tcPr>
          <w:p>
            <w:pPr>
              <w:pStyle w:val="Corpsdetexte2"/>
              <w:jc w:val="left"/>
            </w:pPr>
            <w:r>
              <w:t>Formation en cours de carrière</w:t>
            </w:r>
          </w:p>
        </w:tc>
        <w:tc>
          <w:tcPr>
            <w:tcW w:w="2602" w:type="dxa"/>
            <w:vAlign w:val="center"/>
          </w:tcPr>
          <w:p>
            <w:pPr>
              <w:pStyle w:val="Corpsdetexte2"/>
              <w:rPr>
                <w:lang w:val="fr-BE"/>
              </w:rPr>
            </w:pPr>
            <w:r>
              <w:rPr>
                <w:lang w:val="fr-BE"/>
              </w:rPr>
              <w:t>Odette FERON</w:t>
            </w:r>
          </w:p>
        </w:tc>
        <w:tc>
          <w:tcPr>
            <w:tcW w:w="1267" w:type="dxa"/>
            <w:vAlign w:val="center"/>
          </w:tcPr>
          <w:p>
            <w:pPr>
              <w:pStyle w:val="Corpsdetexte2"/>
              <w:ind w:left="-70" w:right="-70"/>
              <w:jc w:val="center"/>
              <w:rPr>
                <w:lang w:val="fr-BE"/>
              </w:rPr>
            </w:pPr>
            <w:r>
              <w:rPr>
                <w:lang w:val="fr-BE"/>
              </w:rPr>
              <w:t>690.81.53</w:t>
            </w:r>
          </w:p>
        </w:tc>
        <w:tc>
          <w:tcPr>
            <w:tcW w:w="1260" w:type="dxa"/>
            <w:vAlign w:val="center"/>
          </w:tcPr>
          <w:p>
            <w:pPr>
              <w:pStyle w:val="Corpsdetexte2"/>
              <w:ind w:left="-33" w:right="-107"/>
              <w:jc w:val="center"/>
              <w:rPr>
                <w:lang w:val="fr-BE"/>
              </w:rPr>
            </w:pPr>
            <w:r>
              <w:rPr>
                <w:lang w:val="fr-BE"/>
              </w:rPr>
              <w:t>690.81.42</w:t>
            </w:r>
          </w:p>
        </w:tc>
      </w:tr>
    </w:tbl>
    <w:p>
      <w:pPr>
        <w:rPr>
          <w:szCs w:val="22"/>
        </w:rPr>
      </w:pPr>
    </w:p>
    <w:p>
      <w:pPr>
        <w:rPr>
          <w:szCs w:val="22"/>
        </w:rPr>
      </w:pPr>
    </w:p>
    <w:p>
      <w:pPr>
        <w:rPr>
          <w:b/>
          <w:sz w:val="28"/>
          <w:u w:val="single"/>
        </w:rPr>
      </w:pPr>
      <w:r>
        <w:rPr>
          <w:b/>
          <w:sz w:val="28"/>
          <w:u w:val="single"/>
        </w:rPr>
        <w:t>Contacts spécifiques pour l'enseignement subventionné</w:t>
      </w:r>
    </w:p>
    <w:p>
      <w:pPr>
        <w:pStyle w:val="En-tte"/>
        <w:tabs>
          <w:tab w:val="clear" w:pos="4536"/>
          <w:tab w:val="clear" w:pos="9072"/>
        </w:tabs>
        <w:rPr>
          <w:szCs w:val="22"/>
        </w:rPr>
      </w:pPr>
    </w:p>
    <w:tbl>
      <w:tblPr>
        <w:tblW w:w="10260" w:type="dxa"/>
        <w:tblInd w:w="-11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5040"/>
        <w:gridCol w:w="2700"/>
        <w:gridCol w:w="1260"/>
        <w:gridCol w:w="1260"/>
      </w:tblGrid>
      <w:tr>
        <w:trPr>
          <w:trHeight w:val="571"/>
        </w:trPr>
        <w:tc>
          <w:tcPr>
            <w:tcW w:w="5040" w:type="dxa"/>
            <w:vAlign w:val="center"/>
          </w:tcPr>
          <w:p>
            <w:pPr>
              <w:pStyle w:val="Corpsdetexte2"/>
              <w:jc w:val="left"/>
              <w:rPr>
                <w:b/>
              </w:rPr>
            </w:pPr>
            <w:r>
              <w:rPr>
                <w:b/>
              </w:rPr>
              <w:t>Matière</w:t>
            </w:r>
          </w:p>
        </w:tc>
        <w:tc>
          <w:tcPr>
            <w:tcW w:w="2700" w:type="dxa"/>
            <w:vAlign w:val="center"/>
          </w:tcPr>
          <w:p>
            <w:pPr>
              <w:pStyle w:val="Corpsdetexte2"/>
              <w:rPr>
                <w:b/>
              </w:rPr>
            </w:pPr>
            <w:r>
              <w:rPr>
                <w:b/>
              </w:rPr>
              <w:t>Personne de contact</w:t>
            </w:r>
          </w:p>
        </w:tc>
        <w:tc>
          <w:tcPr>
            <w:tcW w:w="1260" w:type="dxa"/>
            <w:vAlign w:val="center"/>
          </w:tcPr>
          <w:p>
            <w:pPr>
              <w:pStyle w:val="Corpsdetexte2"/>
              <w:ind w:left="-70" w:right="-70"/>
              <w:jc w:val="center"/>
              <w:rPr>
                <w:b/>
              </w:rPr>
            </w:pPr>
            <w:r>
              <w:rPr>
                <w:b/>
              </w:rPr>
              <w:t>Téléphone</w:t>
            </w:r>
          </w:p>
          <w:p>
            <w:pPr>
              <w:pStyle w:val="Corpsdetexte2"/>
              <w:ind w:left="-70" w:right="-70"/>
              <w:jc w:val="center"/>
            </w:pPr>
            <w:r>
              <w:t>02/</w:t>
            </w:r>
          </w:p>
        </w:tc>
        <w:tc>
          <w:tcPr>
            <w:tcW w:w="1260" w:type="dxa"/>
            <w:vAlign w:val="center"/>
          </w:tcPr>
          <w:p>
            <w:pPr>
              <w:pStyle w:val="Corpsdetexte2"/>
              <w:ind w:left="-33" w:right="-107"/>
              <w:jc w:val="center"/>
              <w:rPr>
                <w:b/>
              </w:rPr>
            </w:pPr>
            <w:r>
              <w:rPr>
                <w:b/>
              </w:rPr>
              <w:t>Fax</w:t>
            </w:r>
          </w:p>
          <w:p>
            <w:pPr>
              <w:pStyle w:val="Corpsdetexte2"/>
              <w:ind w:left="-33" w:right="-107"/>
              <w:jc w:val="center"/>
            </w:pPr>
            <w:r>
              <w:t>02/</w:t>
            </w:r>
          </w:p>
        </w:tc>
      </w:tr>
      <w:tr>
        <w:trPr>
          <w:trHeight w:hRule="exact" w:val="454"/>
        </w:trPr>
        <w:tc>
          <w:tcPr>
            <w:tcW w:w="5040" w:type="dxa"/>
            <w:vAlign w:val="center"/>
          </w:tcPr>
          <w:p>
            <w:pPr>
              <w:pStyle w:val="Corpsdetexte2"/>
              <w:jc w:val="left"/>
            </w:pPr>
            <w:r>
              <w:t>Avantages sociaux</w:t>
            </w:r>
          </w:p>
        </w:tc>
        <w:tc>
          <w:tcPr>
            <w:tcW w:w="2700" w:type="dxa"/>
            <w:vAlign w:val="center"/>
          </w:tcPr>
          <w:p>
            <w:pPr>
              <w:pStyle w:val="Corpsdetexte2"/>
            </w:pPr>
            <w:r>
              <w:t>Alex VOLPE</w:t>
            </w:r>
          </w:p>
        </w:tc>
        <w:tc>
          <w:tcPr>
            <w:tcW w:w="1260" w:type="dxa"/>
            <w:vAlign w:val="center"/>
          </w:tcPr>
          <w:p>
            <w:pPr>
              <w:pStyle w:val="Corpsdetexte2"/>
              <w:ind w:left="-70" w:right="-70"/>
              <w:jc w:val="center"/>
              <w:rPr>
                <w:i/>
                <w:iCs/>
                <w:sz w:val="18"/>
                <w:szCs w:val="18"/>
                <w:lang w:val="fr-BE"/>
              </w:rPr>
            </w:pPr>
            <w:r>
              <w:rPr>
                <w:lang w:val="fr-BE"/>
              </w:rPr>
              <w:t>690.84.61</w:t>
            </w:r>
          </w:p>
        </w:tc>
        <w:tc>
          <w:tcPr>
            <w:tcW w:w="1260" w:type="dxa"/>
            <w:vAlign w:val="center"/>
          </w:tcPr>
          <w:p>
            <w:pPr>
              <w:pStyle w:val="Corpsdetexte2"/>
              <w:ind w:left="-33" w:right="-107"/>
              <w:jc w:val="center"/>
              <w:rPr>
                <w:lang w:val="fr-BE"/>
              </w:rPr>
            </w:pPr>
            <w:r>
              <w:rPr>
                <w:lang w:val="fr-BE"/>
              </w:rPr>
              <w:t>690.85.85</w:t>
            </w:r>
          </w:p>
        </w:tc>
      </w:tr>
      <w:tr>
        <w:trPr>
          <w:trHeight w:hRule="exact" w:val="454"/>
        </w:trPr>
        <w:tc>
          <w:tcPr>
            <w:tcW w:w="5040" w:type="dxa"/>
            <w:vAlign w:val="center"/>
          </w:tcPr>
          <w:p>
            <w:pPr>
              <w:pStyle w:val="Corpsdetexte2"/>
              <w:jc w:val="left"/>
            </w:pPr>
            <w:r>
              <w:t>Formation en cours de carrière</w:t>
            </w:r>
          </w:p>
        </w:tc>
        <w:tc>
          <w:tcPr>
            <w:tcW w:w="2700" w:type="dxa"/>
            <w:vAlign w:val="center"/>
          </w:tcPr>
          <w:p>
            <w:pPr>
              <w:pStyle w:val="Corpsdetexte2"/>
            </w:pPr>
            <w:r>
              <w:t>Véronique ROMBAUT</w:t>
            </w:r>
          </w:p>
        </w:tc>
        <w:tc>
          <w:tcPr>
            <w:tcW w:w="1260" w:type="dxa"/>
            <w:vAlign w:val="center"/>
          </w:tcPr>
          <w:p>
            <w:pPr>
              <w:pStyle w:val="Corpsdetexte2"/>
              <w:ind w:left="-70" w:right="-70"/>
              <w:jc w:val="center"/>
              <w:rPr>
                <w:lang w:val="fr-BE"/>
              </w:rPr>
            </w:pPr>
            <w:r>
              <w:t>690.83.99</w:t>
            </w:r>
          </w:p>
        </w:tc>
        <w:tc>
          <w:tcPr>
            <w:tcW w:w="1260" w:type="dxa"/>
            <w:vAlign w:val="center"/>
          </w:tcPr>
          <w:p>
            <w:pPr>
              <w:pStyle w:val="Corpsdetexte2"/>
              <w:ind w:left="-33" w:right="-107"/>
              <w:jc w:val="center"/>
              <w:rPr>
                <w:lang w:val="fr-BE"/>
              </w:rPr>
            </w:pPr>
            <w:r>
              <w:t>690.85.99</w:t>
            </w:r>
          </w:p>
        </w:tc>
      </w:tr>
      <w:tr>
        <w:trPr>
          <w:trHeight w:hRule="exact" w:val="567"/>
        </w:trPr>
        <w:tc>
          <w:tcPr>
            <w:tcW w:w="5040" w:type="dxa"/>
            <w:vAlign w:val="center"/>
          </w:tcPr>
          <w:p>
            <w:pPr>
              <w:pStyle w:val="Corpsdetexte2"/>
              <w:jc w:val="left"/>
            </w:pPr>
            <w:r>
              <w:t>Subventions de fonctionnement aux écoles et aux internats</w:t>
            </w:r>
          </w:p>
        </w:tc>
        <w:tc>
          <w:tcPr>
            <w:tcW w:w="2700" w:type="dxa"/>
            <w:vAlign w:val="center"/>
          </w:tcPr>
          <w:p>
            <w:pPr>
              <w:pStyle w:val="Corpsdetexte2"/>
              <w:rPr>
                <w:lang w:val="fr-BE"/>
              </w:rPr>
            </w:pPr>
            <w:r>
              <w:rPr>
                <w:lang w:val="fr-BE"/>
              </w:rPr>
              <w:t>Brigitte MARCHAL</w:t>
            </w:r>
          </w:p>
          <w:p>
            <w:pPr>
              <w:pStyle w:val="Corpsdetexte2"/>
              <w:rPr>
                <w:lang w:val="fr-BE"/>
              </w:rPr>
            </w:pPr>
            <w:r>
              <w:rPr>
                <w:lang w:val="fr-BE"/>
              </w:rPr>
              <w:t>Sophie SIMONIS</w:t>
            </w:r>
          </w:p>
        </w:tc>
        <w:tc>
          <w:tcPr>
            <w:tcW w:w="1260" w:type="dxa"/>
            <w:vAlign w:val="center"/>
          </w:tcPr>
          <w:p>
            <w:pPr>
              <w:pStyle w:val="Corpsdetexte2"/>
              <w:ind w:left="-70" w:right="-70"/>
              <w:jc w:val="center"/>
            </w:pPr>
            <w:r>
              <w:t>690.83.98</w:t>
            </w:r>
          </w:p>
          <w:p>
            <w:pPr>
              <w:pStyle w:val="Corpsdetexte2"/>
              <w:ind w:left="-70" w:right="-70"/>
              <w:jc w:val="center"/>
            </w:pPr>
            <w:r>
              <w:t>690.84.16</w:t>
            </w:r>
          </w:p>
        </w:tc>
        <w:tc>
          <w:tcPr>
            <w:tcW w:w="1260" w:type="dxa"/>
            <w:vAlign w:val="center"/>
          </w:tcPr>
          <w:p>
            <w:pPr>
              <w:pStyle w:val="Corpsdetexte2"/>
              <w:ind w:left="-33" w:right="-107"/>
              <w:jc w:val="center"/>
            </w:pPr>
            <w:r>
              <w:t>690.85.77</w:t>
            </w:r>
          </w:p>
        </w:tc>
      </w:tr>
    </w:tbl>
    <w:p/>
    <w:p>
      <w:pPr>
        <w:pStyle w:val="Titre2"/>
      </w:pPr>
      <w:r>
        <w:rPr>
          <w:sz w:val="20"/>
          <w:szCs w:val="20"/>
        </w:rPr>
        <w:br w:type="page"/>
      </w:r>
      <w:bookmarkStart w:id="24" w:name="_Toc391628898"/>
      <w:bookmarkStart w:id="25" w:name="_Toc423419936"/>
      <w:bookmarkStart w:id="26" w:name="_Toc450645143"/>
      <w:bookmarkStart w:id="27" w:name="_Toc453942379"/>
      <w:bookmarkStart w:id="28" w:name="_Toc454887996"/>
      <w:bookmarkStart w:id="29" w:name="_Toc486241660"/>
      <w:bookmarkStart w:id="30" w:name="Chapitre0"/>
      <w:r>
        <w:t>Définitions préalables</w:t>
      </w:r>
      <w:bookmarkEnd w:id="20"/>
      <w:bookmarkEnd w:id="24"/>
      <w:bookmarkEnd w:id="25"/>
      <w:bookmarkEnd w:id="26"/>
      <w:bookmarkEnd w:id="27"/>
      <w:bookmarkEnd w:id="28"/>
      <w:bookmarkEnd w:id="29"/>
      <w:bookmarkEnd w:id="30"/>
    </w:p>
    <w:p/>
    <w:p>
      <w:pPr>
        <w:tabs>
          <w:tab w:val="left" w:pos="1620"/>
        </w:tabs>
        <w:ind w:left="1619" w:hanging="1620"/>
        <w:jc w:val="both"/>
        <w:rPr>
          <w:i/>
          <w:sz w:val="20"/>
        </w:rPr>
      </w:pPr>
      <w:r>
        <w:rPr>
          <w:rFonts w:cs="Arial"/>
          <w:b/>
          <w:bCs/>
          <w:i/>
          <w:sz w:val="20"/>
          <w:szCs w:val="20"/>
          <w:u w:val="single"/>
          <w:lang w:val="fr-BE"/>
        </w:rPr>
        <w:t>Bases légales</w:t>
      </w:r>
      <w:r>
        <w:rPr>
          <w:b/>
          <w:i/>
        </w:rPr>
        <w:t>:</w:t>
      </w:r>
      <w:r>
        <w:rPr>
          <w:i/>
        </w:rPr>
        <w:t xml:space="preserve"> </w:t>
      </w:r>
      <w:hyperlink r:id="rId21" w:history="1">
        <w:r>
          <w:rPr>
            <w:rStyle w:val="Lienhypertexte"/>
            <w:i/>
            <w:color w:val="auto"/>
            <w:sz w:val="20"/>
          </w:rPr>
          <w:t>Décret du 13/07/1998 portant organisation de l’enseignement maternel et primaire ordinaire et modifiant la réglementation de l’enseignement, article 2</w:t>
        </w:r>
      </w:hyperlink>
      <w:r>
        <w:rPr>
          <w:i/>
          <w:sz w:val="20"/>
        </w:rPr>
        <w:t xml:space="preserve">. </w:t>
      </w:r>
    </w:p>
    <w:p>
      <w:pPr>
        <w:tabs>
          <w:tab w:val="left" w:pos="1620"/>
        </w:tabs>
        <w:ind w:left="1619" w:hanging="1620"/>
        <w:jc w:val="both"/>
        <w:rPr>
          <w:i/>
          <w:sz w:val="20"/>
        </w:rPr>
      </w:pPr>
      <w:r>
        <w:rPr>
          <w:i/>
          <w:sz w:val="20"/>
        </w:rPr>
        <w:tab/>
      </w:r>
      <w:hyperlink r:id="rId22" w:history="1">
        <w:r>
          <w:rPr>
            <w:rStyle w:val="Lienhypertexte"/>
            <w:i/>
            <w:color w:val="auto"/>
            <w:sz w:val="20"/>
          </w:rPr>
          <w:t>Loi du 29 juin 1983 concernant l’obligation scolaire</w:t>
        </w:r>
      </w:hyperlink>
      <w:r>
        <w:rPr>
          <w:i/>
          <w:sz w:val="20"/>
        </w:rPr>
        <w:t xml:space="preserve">. </w:t>
      </w:r>
    </w:p>
    <w:p>
      <w:pPr>
        <w:tabs>
          <w:tab w:val="left" w:pos="1620"/>
        </w:tabs>
        <w:ind w:left="1619" w:hanging="1620"/>
        <w:jc w:val="both"/>
        <w:rPr>
          <w:i/>
          <w:sz w:val="20"/>
        </w:rPr>
      </w:pPr>
      <w:r>
        <w:rPr>
          <w:i/>
          <w:sz w:val="20"/>
        </w:rPr>
        <w:tab/>
      </w:r>
      <w:hyperlink r:id="rId23" w:history="1">
        <w:r>
          <w:rPr>
            <w:rStyle w:val="Lienhypertexte"/>
            <w:i/>
            <w:color w:val="auto"/>
            <w:sz w:val="20"/>
          </w:rPr>
          <w:t>Décret-Missions du 24/07/1997</w:t>
        </w:r>
      </w:hyperlink>
    </w:p>
    <w:p>
      <w:pPr>
        <w:tabs>
          <w:tab w:val="left" w:pos="1620"/>
        </w:tabs>
        <w:ind w:left="1619" w:hanging="1620"/>
        <w:jc w:val="both"/>
        <w:rPr>
          <w:i/>
          <w:sz w:val="20"/>
        </w:rPr>
      </w:pPr>
      <w:r>
        <w:tab/>
      </w:r>
      <w:hyperlink r:id="rId24" w:history="1">
        <w:r>
          <w:rPr>
            <w:rStyle w:val="Lienhypertexte"/>
            <w:i/>
            <w:color w:val="auto"/>
            <w:sz w:val="20"/>
          </w:rPr>
          <w:t>Arrêté royal du 02/08/1984 portant rationalisation et programmation de l’enseignement maternel et primaire ordinaire</w:t>
        </w:r>
      </w:hyperlink>
      <w:r>
        <w:rPr>
          <w:i/>
          <w:sz w:val="20"/>
        </w:rPr>
        <w:t>.</w:t>
      </w:r>
    </w:p>
    <w:p>
      <w:pPr>
        <w:pStyle w:val="Titre4"/>
      </w:pPr>
      <w:bookmarkStart w:id="31" w:name="_Toc292361800"/>
      <w:bookmarkStart w:id="32" w:name="_Toc292362005"/>
      <w:bookmarkStart w:id="33" w:name="_Toc295931928"/>
      <w:bookmarkStart w:id="34" w:name="_Toc295913684"/>
      <w:bookmarkStart w:id="35" w:name="_Toc423419937"/>
      <w:bookmarkStart w:id="36" w:name="_Toc450645144"/>
      <w:bookmarkStart w:id="37" w:name="_Toc453942380"/>
      <w:bookmarkStart w:id="38" w:name="_Toc454887997"/>
      <w:bookmarkStart w:id="39" w:name="_Toc486241661"/>
      <w:r>
        <w:t>Réseaux d’enseignement</w:t>
      </w:r>
      <w:bookmarkEnd w:id="31"/>
      <w:bookmarkEnd w:id="32"/>
      <w:bookmarkEnd w:id="33"/>
      <w:bookmarkEnd w:id="34"/>
      <w:bookmarkEnd w:id="35"/>
      <w:bookmarkEnd w:id="36"/>
      <w:bookmarkEnd w:id="37"/>
      <w:bookmarkEnd w:id="38"/>
      <w:bookmarkEnd w:id="39"/>
    </w:p>
    <w:p>
      <w:pPr>
        <w:spacing w:before="120"/>
        <w:ind w:left="357"/>
        <w:jc w:val="both"/>
        <w:rPr>
          <w:b/>
        </w:rPr>
      </w:pPr>
      <w:r>
        <w:t>Les</w:t>
      </w:r>
      <w:r>
        <w:rPr>
          <w:b/>
        </w:rPr>
        <w:t xml:space="preserve"> </w:t>
      </w:r>
      <w:r>
        <w:t xml:space="preserve">établissements d’enseignement maternel et primaire ordinaire, organisés ou subventionnés par </w:t>
      </w:r>
      <w:smartTag w:uri="urn:schemas-microsoft-com:office:smarttags" w:element="PersonName">
        <w:smartTagPr>
          <w:attr w:name="ProductID" w:val="la F￩d￩ration Wallonie-Bruxelles"/>
        </w:smartTagPr>
        <w:r>
          <w:t>la Fédération Wallonie-Bruxelles</w:t>
        </w:r>
      </w:smartTag>
      <w:r>
        <w:t xml:space="preserve"> sont répartis en fonction du Pouvoir organisateur dont ils dépendent entre </w:t>
      </w:r>
      <w:r>
        <w:rPr>
          <w:b/>
        </w:rPr>
        <w:t>4 réseaux:</w:t>
      </w:r>
    </w:p>
    <w:p>
      <w:pPr>
        <w:numPr>
          <w:ilvl w:val="0"/>
          <w:numId w:val="3"/>
        </w:numPr>
        <w:tabs>
          <w:tab w:val="clear" w:pos="1260"/>
          <w:tab w:val="left" w:pos="1080"/>
        </w:tabs>
        <w:ind w:left="1076" w:hanging="357"/>
        <w:jc w:val="both"/>
      </w:pPr>
      <w:r>
        <w:t xml:space="preserve">écoles officielles organisées par </w:t>
      </w:r>
      <w:smartTag w:uri="urn:schemas-microsoft-com:office:smarttags" w:element="PersonName">
        <w:smartTagPr>
          <w:attr w:name="ProductID" w:val="la F￩d￩ration Wallonie-Bruxelles"/>
        </w:smartTagPr>
        <w:r>
          <w:t>la Fédération Wallonie-Bruxelles</w:t>
        </w:r>
      </w:smartTag>
    </w:p>
    <w:p>
      <w:pPr>
        <w:numPr>
          <w:ilvl w:val="0"/>
          <w:numId w:val="3"/>
        </w:numPr>
        <w:tabs>
          <w:tab w:val="clear" w:pos="1260"/>
          <w:tab w:val="left" w:pos="1080"/>
        </w:tabs>
        <w:ind w:left="1076" w:hanging="357"/>
        <w:jc w:val="both"/>
      </w:pPr>
      <w:r>
        <w:rPr>
          <w:spacing w:val="-4"/>
        </w:rPr>
        <w:t>écoles officielles organisées par les provinces et les communes</w:t>
      </w:r>
    </w:p>
    <w:p>
      <w:pPr>
        <w:numPr>
          <w:ilvl w:val="0"/>
          <w:numId w:val="3"/>
        </w:numPr>
        <w:tabs>
          <w:tab w:val="clear" w:pos="1260"/>
          <w:tab w:val="left" w:pos="720"/>
          <w:tab w:val="left" w:pos="1080"/>
          <w:tab w:val="left" w:pos="2160"/>
        </w:tabs>
        <w:ind w:left="1076" w:hanging="357"/>
        <w:jc w:val="both"/>
        <w:rPr>
          <w:spacing w:val="-6"/>
        </w:rPr>
      </w:pPr>
      <w:r>
        <w:t>écoles libres non confessionnelles</w:t>
      </w:r>
    </w:p>
    <w:p>
      <w:pPr>
        <w:numPr>
          <w:ilvl w:val="0"/>
          <w:numId w:val="3"/>
        </w:numPr>
        <w:tabs>
          <w:tab w:val="clear" w:pos="1260"/>
          <w:tab w:val="left" w:pos="720"/>
          <w:tab w:val="left" w:pos="1080"/>
          <w:tab w:val="left" w:pos="2160"/>
        </w:tabs>
        <w:ind w:left="1076" w:hanging="357"/>
        <w:jc w:val="both"/>
        <w:rPr>
          <w:spacing w:val="-6"/>
        </w:rPr>
      </w:pPr>
      <w:r>
        <w:t xml:space="preserve">écoles libres confessionnelles </w:t>
      </w:r>
      <w:r>
        <w:rPr>
          <w:spacing w:val="-6"/>
        </w:rPr>
        <w:t>(catholiques, protestantes, israélites, islamiques, orthodoxes)</w:t>
      </w:r>
    </w:p>
    <w:p>
      <w:pPr>
        <w:ind w:left="539"/>
        <w:rPr>
          <w:sz w:val="16"/>
        </w:rPr>
      </w:pPr>
    </w:p>
    <w:p>
      <w:pPr>
        <w:ind w:left="356"/>
        <w:rPr>
          <w:i/>
          <w:sz w:val="18"/>
        </w:rPr>
      </w:pPr>
      <w:r>
        <w:rPr>
          <w:i/>
          <w:sz w:val="18"/>
        </w:rPr>
        <w:t xml:space="preserve">Voir également: </w:t>
      </w:r>
      <w:hyperlink w:anchor="_Chapitre_3.1._Programmation_" w:history="1">
        <w:r>
          <w:rPr>
            <w:rStyle w:val="Lienhypertexte"/>
            <w:i/>
            <w:color w:val="auto"/>
            <w:sz w:val="18"/>
          </w:rPr>
          <w:t>Chapitre.3.1</w:t>
        </w:r>
      </w:hyperlink>
      <w:r>
        <w:rPr>
          <w:i/>
          <w:sz w:val="18"/>
        </w:rPr>
        <w:t xml:space="preserve">. </w:t>
      </w:r>
    </w:p>
    <w:p>
      <w:pPr>
        <w:pStyle w:val="Titre4"/>
      </w:pPr>
      <w:bookmarkStart w:id="40" w:name="_Toc292361801"/>
      <w:bookmarkStart w:id="41" w:name="_Toc292362006"/>
      <w:bookmarkStart w:id="42" w:name="_Toc295931929"/>
      <w:bookmarkStart w:id="43" w:name="_Toc295913685"/>
      <w:bookmarkStart w:id="44" w:name="_Toc423419938"/>
      <w:bookmarkStart w:id="45" w:name="_Toc450645145"/>
      <w:bookmarkStart w:id="46" w:name="_Toc453942381"/>
      <w:bookmarkStart w:id="47" w:name="_Toc454887998"/>
      <w:bookmarkStart w:id="48" w:name="_Toc486241662"/>
      <w:r>
        <w:t>Niveaux d’enseignement</w:t>
      </w:r>
      <w:bookmarkEnd w:id="40"/>
      <w:bookmarkEnd w:id="41"/>
      <w:bookmarkEnd w:id="42"/>
      <w:bookmarkEnd w:id="43"/>
      <w:bookmarkEnd w:id="44"/>
      <w:bookmarkEnd w:id="45"/>
      <w:bookmarkEnd w:id="46"/>
      <w:bookmarkEnd w:id="47"/>
      <w:bookmarkEnd w:id="48"/>
    </w:p>
    <w:p>
      <w:pPr>
        <w:pStyle w:val="Retraitcorpsdetexte2"/>
        <w:spacing w:before="120"/>
        <w:ind w:left="2977" w:hanging="2620"/>
        <w:jc w:val="both"/>
      </w:pPr>
      <w:r>
        <w:rPr>
          <w:u w:val="single"/>
        </w:rPr>
        <w:t>Enseignement maternel</w:t>
      </w:r>
      <w:r>
        <w:t xml:space="preserve">: </w:t>
      </w:r>
      <w:r>
        <w:tab/>
        <w:t>enseignement dispensé à des enfants âgés, au 30 septembre, d’au moins 2 ans et 6 mois et qui ne suivent pas encore l’enseignement primaire.</w:t>
      </w:r>
    </w:p>
    <w:p>
      <w:pPr>
        <w:pStyle w:val="Retraitcorpsdetexte2"/>
        <w:tabs>
          <w:tab w:val="clear" w:pos="4860"/>
        </w:tabs>
        <w:ind w:left="3118" w:hanging="2694"/>
        <w:jc w:val="both"/>
        <w:rPr>
          <w:sz w:val="16"/>
          <w:u w:val="single"/>
        </w:rPr>
      </w:pPr>
    </w:p>
    <w:p>
      <w:pPr>
        <w:pStyle w:val="Retraitcorpsdetexte2"/>
        <w:tabs>
          <w:tab w:val="clear" w:pos="4860"/>
        </w:tabs>
        <w:ind w:left="2976" w:hanging="2617"/>
        <w:jc w:val="both"/>
      </w:pPr>
      <w:r>
        <w:rPr>
          <w:u w:val="single"/>
        </w:rPr>
        <w:t>Enseignement primaire</w:t>
      </w:r>
      <w:r>
        <w:t xml:space="preserve">: </w:t>
      </w:r>
      <w:r>
        <w:tab/>
        <w:t>enseignement dispensé pendant 6 années d’études consécutives aux enfants qui atteignent l’âge de 6 ans dans l'année civile de leur entrée en 1</w:t>
      </w:r>
      <w:r>
        <w:rPr>
          <w:vertAlign w:val="superscript"/>
        </w:rPr>
        <w:t>ère</w:t>
      </w:r>
      <w:r>
        <w:t xml:space="preserve"> année, sans préjudice des dérogations à l’obligation scolaire, et qui ne suivent pas encore l’enseignement secondaire.</w:t>
      </w:r>
    </w:p>
    <w:p>
      <w:pPr>
        <w:pStyle w:val="Retraitcorpsdetexte2"/>
        <w:tabs>
          <w:tab w:val="clear" w:pos="4860"/>
        </w:tabs>
        <w:ind w:left="3599" w:hanging="2880"/>
        <w:rPr>
          <w:sz w:val="16"/>
        </w:rPr>
      </w:pPr>
    </w:p>
    <w:p>
      <w:pPr>
        <w:pStyle w:val="Retraitcorpsdetexte2"/>
        <w:tabs>
          <w:tab w:val="clear" w:pos="4860"/>
          <w:tab w:val="left" w:pos="1800"/>
        </w:tabs>
        <w:ind w:left="1799" w:hanging="1440"/>
        <w:rPr>
          <w:sz w:val="18"/>
        </w:rPr>
      </w:pPr>
      <w:r>
        <w:t xml:space="preserve">Voir également: </w:t>
      </w:r>
      <w:hyperlink w:anchor="chapitre2_3" w:history="1">
        <w:r>
          <w:rPr>
            <w:rStyle w:val="Lienhypertexte"/>
            <w:i/>
            <w:color w:val="auto"/>
            <w:sz w:val="18"/>
          </w:rPr>
          <w:t>Chapitre 2.3.</w:t>
        </w:r>
      </w:hyperlink>
      <w:r>
        <w:t xml:space="preserve"> et </w:t>
      </w:r>
      <w:hyperlink w:anchor="_Chapitre_3.1._Programmation_" w:history="1">
        <w:r>
          <w:rPr>
            <w:rStyle w:val="Lienhypertexte"/>
            <w:i/>
            <w:color w:val="auto"/>
            <w:sz w:val="18"/>
          </w:rPr>
          <w:t>Chapitre 3.1.</w:t>
        </w:r>
      </w:hyperlink>
      <w:r>
        <w:t xml:space="preserve"> </w:t>
      </w:r>
    </w:p>
    <w:p>
      <w:pPr>
        <w:pStyle w:val="Titre4"/>
      </w:pPr>
      <w:bookmarkStart w:id="49" w:name="_Toc292361802"/>
      <w:bookmarkStart w:id="50" w:name="_Toc292362007"/>
      <w:bookmarkStart w:id="51" w:name="_Toc295931930"/>
      <w:bookmarkStart w:id="52" w:name="_Toc295913686"/>
      <w:bookmarkStart w:id="53" w:name="_Toc423419939"/>
      <w:bookmarkStart w:id="54" w:name="_Toc450645146"/>
      <w:bookmarkStart w:id="55" w:name="_Toc453942382"/>
      <w:bookmarkStart w:id="56" w:name="_Toc454887999"/>
      <w:bookmarkStart w:id="57" w:name="_Toc486241663"/>
      <w:r>
        <w:t>Ecole</w:t>
      </w:r>
      <w:bookmarkEnd w:id="49"/>
      <w:bookmarkEnd w:id="50"/>
      <w:bookmarkEnd w:id="51"/>
      <w:bookmarkEnd w:id="52"/>
      <w:bookmarkEnd w:id="53"/>
      <w:bookmarkEnd w:id="54"/>
      <w:bookmarkEnd w:id="55"/>
      <w:bookmarkEnd w:id="56"/>
      <w:bookmarkEnd w:id="57"/>
    </w:p>
    <w:p>
      <w:pPr>
        <w:pStyle w:val="Retraitcorpsdetexte"/>
        <w:spacing w:before="120"/>
        <w:ind w:left="357"/>
        <w:rPr>
          <w:b/>
          <w:bCs/>
          <w:szCs w:val="22"/>
          <w:u w:val="single"/>
          <w:lang w:val="fr-BE" w:eastAsia="fr-FR"/>
        </w:rPr>
      </w:pPr>
      <w:r>
        <w:t>Ensemble pédagogique d’enseignement ordinaire, situé en un ou plusieurs lieux d’implantation, placé sous la direction d’un même directeur d'école qui dirige l’ensemble des implantations, tant administrativement que pédagogiquement.</w:t>
      </w:r>
      <w:r>
        <w:rPr>
          <w:b/>
          <w:bCs/>
          <w:szCs w:val="22"/>
          <w:u w:val="single"/>
          <w:lang w:val="fr-BE" w:eastAsia="fr-FR"/>
        </w:rPr>
        <w:t xml:space="preserve"> </w:t>
      </w:r>
    </w:p>
    <w:p>
      <w:pPr>
        <w:spacing w:before="120"/>
        <w:ind w:left="359"/>
        <w:jc w:val="both"/>
      </w:pPr>
      <w:r>
        <w:t xml:space="preserve">Le Pouvoir organisateur de l’école doit fixer son </w:t>
      </w:r>
      <w:r>
        <w:rPr>
          <w:b/>
          <w:i/>
        </w:rPr>
        <w:t>domicile administratif</w:t>
      </w:r>
      <w:r>
        <w:t xml:space="preserve">, c’est-à-dire son siège administratif, dans une de ses implantations. </w:t>
      </w:r>
    </w:p>
    <w:p>
      <w:pPr>
        <w:spacing w:before="120"/>
        <w:ind w:left="359"/>
      </w:pPr>
      <w:r>
        <w:t xml:space="preserve">On distingue </w:t>
      </w:r>
      <w:r>
        <w:rPr>
          <w:b/>
        </w:rPr>
        <w:t>3 types d’école</w:t>
      </w:r>
      <w:r>
        <w:t>, selon le niveau d’enseignement dispensé:</w:t>
      </w:r>
    </w:p>
    <w:p>
      <w:pPr>
        <w:numPr>
          <w:ilvl w:val="1"/>
          <w:numId w:val="1"/>
        </w:numPr>
        <w:tabs>
          <w:tab w:val="clear" w:pos="2291"/>
          <w:tab w:val="num" w:pos="1079"/>
        </w:tabs>
        <w:spacing w:before="40"/>
        <w:ind w:left="1076" w:hanging="357"/>
        <w:jc w:val="both"/>
      </w:pPr>
      <w:r>
        <w:t>école maternelle (de niveau maternel uniquement)</w:t>
      </w:r>
    </w:p>
    <w:p>
      <w:pPr>
        <w:numPr>
          <w:ilvl w:val="1"/>
          <w:numId w:val="1"/>
        </w:numPr>
        <w:tabs>
          <w:tab w:val="clear" w:pos="2291"/>
          <w:tab w:val="num" w:pos="1079"/>
        </w:tabs>
        <w:spacing w:before="40"/>
        <w:ind w:left="1076" w:hanging="357"/>
        <w:jc w:val="both"/>
      </w:pPr>
      <w:r>
        <w:t>école primaire (de niveau primaire uniquement)</w:t>
      </w:r>
    </w:p>
    <w:p>
      <w:pPr>
        <w:numPr>
          <w:ilvl w:val="1"/>
          <w:numId w:val="1"/>
        </w:numPr>
        <w:tabs>
          <w:tab w:val="clear" w:pos="2291"/>
          <w:tab w:val="num" w:pos="1079"/>
        </w:tabs>
        <w:spacing w:before="40"/>
        <w:ind w:left="1076" w:hanging="357"/>
        <w:jc w:val="both"/>
      </w:pPr>
      <w:r>
        <w:t>école fondamentale (de niveau maternel et primaire)</w:t>
      </w:r>
    </w:p>
    <w:p>
      <w:pPr>
        <w:ind w:left="359"/>
        <w:rPr>
          <w:sz w:val="16"/>
        </w:rPr>
      </w:pPr>
    </w:p>
    <w:p>
      <w:pPr>
        <w:ind w:left="356"/>
        <w:rPr>
          <w:i/>
          <w:sz w:val="18"/>
        </w:rPr>
      </w:pPr>
      <w:r>
        <w:rPr>
          <w:i/>
          <w:sz w:val="18"/>
        </w:rPr>
        <w:t xml:space="preserve">Voir également </w:t>
      </w:r>
      <w:hyperlink w:anchor="_Chapitre_3.1._Programmation_" w:history="1">
        <w:r>
          <w:rPr>
            <w:rStyle w:val="Lienhypertexte"/>
            <w:i/>
            <w:color w:val="auto"/>
            <w:sz w:val="18"/>
          </w:rPr>
          <w:t>Chapitre.3.1</w:t>
        </w:r>
      </w:hyperlink>
      <w:r>
        <w:rPr>
          <w:i/>
          <w:sz w:val="18"/>
        </w:rPr>
        <w:t xml:space="preserve"> </w:t>
      </w:r>
    </w:p>
    <w:p>
      <w:pPr>
        <w:pStyle w:val="Titre4"/>
      </w:pPr>
      <w:bookmarkStart w:id="58" w:name="_Toc292361803"/>
      <w:bookmarkStart w:id="59" w:name="_Toc292362008"/>
      <w:bookmarkStart w:id="60" w:name="_Toc295931931"/>
      <w:bookmarkStart w:id="61" w:name="_Toc295913687"/>
      <w:bookmarkStart w:id="62" w:name="_Toc423419940"/>
      <w:bookmarkStart w:id="63" w:name="_Toc450645147"/>
      <w:bookmarkStart w:id="64" w:name="_Toc453942383"/>
      <w:bookmarkStart w:id="65" w:name="_Toc454888000"/>
      <w:bookmarkStart w:id="66" w:name="_Toc486241664"/>
      <w:r>
        <w:t>Implantation</w:t>
      </w:r>
      <w:bookmarkEnd w:id="58"/>
      <w:bookmarkEnd w:id="59"/>
      <w:bookmarkEnd w:id="60"/>
      <w:bookmarkEnd w:id="61"/>
      <w:bookmarkEnd w:id="62"/>
      <w:bookmarkEnd w:id="63"/>
      <w:bookmarkEnd w:id="64"/>
      <w:bookmarkEnd w:id="65"/>
      <w:bookmarkEnd w:id="66"/>
    </w:p>
    <w:p>
      <w:pPr>
        <w:pStyle w:val="Retraitcorpsdetexte3"/>
        <w:spacing w:before="120"/>
        <w:ind w:left="425"/>
      </w:pPr>
      <w:r>
        <w:t>Bâtiment ou ensemble de bâtiments situé(s) à une seule adresse où l’on dispense de l’enseignement maternel et/ou primaire.</w:t>
      </w:r>
    </w:p>
    <w:p>
      <w:pPr>
        <w:spacing w:before="120"/>
        <w:ind w:left="425"/>
      </w:pPr>
      <w:r>
        <w:t xml:space="preserve">On distingue </w:t>
      </w:r>
      <w:r>
        <w:rPr>
          <w:b/>
        </w:rPr>
        <w:t>3 types d'implantation,</w:t>
      </w:r>
      <w:r>
        <w:t xml:space="preserve"> selon l’enseignement qui est organisé:</w:t>
      </w:r>
    </w:p>
    <w:p>
      <w:pPr>
        <w:numPr>
          <w:ilvl w:val="1"/>
          <w:numId w:val="2"/>
        </w:numPr>
        <w:tabs>
          <w:tab w:val="clear" w:pos="2291"/>
        </w:tabs>
        <w:spacing w:before="40"/>
        <w:ind w:left="1082" w:hanging="357"/>
        <w:jc w:val="both"/>
      </w:pPr>
      <w:r>
        <w:t>implantation maternelle (enseignement maternel uniquement)</w:t>
      </w:r>
    </w:p>
    <w:p>
      <w:pPr>
        <w:numPr>
          <w:ilvl w:val="1"/>
          <w:numId w:val="2"/>
        </w:numPr>
        <w:tabs>
          <w:tab w:val="clear" w:pos="2291"/>
        </w:tabs>
        <w:spacing w:before="40"/>
        <w:ind w:left="1082" w:hanging="357"/>
        <w:jc w:val="both"/>
      </w:pPr>
      <w:r>
        <w:t>implantation primaire (enseignement primaire uniquement)</w:t>
      </w:r>
    </w:p>
    <w:p>
      <w:pPr>
        <w:numPr>
          <w:ilvl w:val="1"/>
          <w:numId w:val="2"/>
        </w:numPr>
        <w:tabs>
          <w:tab w:val="clear" w:pos="2291"/>
        </w:tabs>
        <w:spacing w:before="40"/>
        <w:ind w:left="1082" w:hanging="357"/>
        <w:jc w:val="both"/>
      </w:pPr>
      <w:r>
        <w:t>implantation fondamentale (enseignement maternel et primaire)</w:t>
      </w:r>
    </w:p>
    <w:p>
      <w:pPr>
        <w:spacing w:before="120" w:after="120"/>
        <w:ind w:left="357"/>
        <w:rPr>
          <w:i/>
          <w:sz w:val="18"/>
        </w:rPr>
      </w:pPr>
      <w:r>
        <w:rPr>
          <w:i/>
          <w:sz w:val="18"/>
        </w:rPr>
        <w:t xml:space="preserve">Voir également </w:t>
      </w:r>
      <w:hyperlink w:anchor="_Chapitre_3.1._Programmation_" w:history="1">
        <w:r>
          <w:rPr>
            <w:rStyle w:val="Lienhypertexte"/>
            <w:i/>
            <w:color w:val="auto"/>
            <w:sz w:val="18"/>
          </w:rPr>
          <w:t>Chapitre.3.1.</w:t>
        </w:r>
      </w:hyperlink>
      <w:r>
        <w:rPr>
          <w:i/>
          <w:sz w:val="18"/>
        </w:rPr>
        <w:t xml:space="preserve"> </w:t>
      </w:r>
    </w:p>
    <w:p>
      <w:pPr>
        <w:pStyle w:val="Titre4"/>
      </w:pPr>
      <w:bookmarkStart w:id="67" w:name="_Toc292361804"/>
      <w:bookmarkStart w:id="68" w:name="_Toc292362009"/>
      <w:bookmarkStart w:id="69" w:name="_Toc295931932"/>
      <w:bookmarkStart w:id="70" w:name="_Toc295913688"/>
      <w:bookmarkStart w:id="71" w:name="_Toc423419941"/>
      <w:bookmarkStart w:id="72" w:name="_Toc450645148"/>
      <w:bookmarkStart w:id="73" w:name="_Toc453942384"/>
      <w:bookmarkStart w:id="74" w:name="_Toc454888001"/>
      <w:bookmarkStart w:id="75" w:name="_Toc486241665"/>
      <w:r>
        <w:t>Parents</w:t>
      </w:r>
      <w:bookmarkEnd w:id="67"/>
      <w:bookmarkEnd w:id="68"/>
      <w:bookmarkEnd w:id="69"/>
      <w:bookmarkEnd w:id="70"/>
      <w:bookmarkEnd w:id="71"/>
      <w:bookmarkEnd w:id="72"/>
      <w:bookmarkEnd w:id="73"/>
      <w:bookmarkEnd w:id="74"/>
      <w:bookmarkEnd w:id="75"/>
    </w:p>
    <w:p>
      <w:pPr>
        <w:spacing w:before="120"/>
        <w:ind w:left="357"/>
        <w:jc w:val="both"/>
        <w:rPr>
          <w:spacing w:val="2"/>
        </w:rPr>
      </w:pPr>
      <w:r>
        <w:rPr>
          <w:spacing w:val="2"/>
          <w:lang w:val="fr-BE"/>
        </w:rPr>
        <w:t>Sauf mention contraire, l</w:t>
      </w:r>
      <w:r>
        <w:rPr>
          <w:spacing w:val="2"/>
        </w:rPr>
        <w:t>a ou les personne(s) investie(s) de l’autorité parentale à l’égard d’un élève.</w:t>
      </w:r>
    </w:p>
    <w:p>
      <w:pPr>
        <w:pStyle w:val="Titre4"/>
      </w:pPr>
      <w:bookmarkStart w:id="76" w:name="_Toc292361805"/>
      <w:bookmarkStart w:id="77" w:name="_Toc292362010"/>
      <w:bookmarkStart w:id="78" w:name="_Toc295931933"/>
      <w:bookmarkStart w:id="79" w:name="_Toc295913689"/>
      <w:bookmarkStart w:id="80" w:name="_Toc423419942"/>
      <w:bookmarkStart w:id="81" w:name="_Toc450645149"/>
      <w:bookmarkStart w:id="82" w:name="_Toc453942385"/>
      <w:bookmarkStart w:id="83" w:name="_Toc454888002"/>
      <w:bookmarkStart w:id="84" w:name="_Toc486241666"/>
      <w:r>
        <w:t>Inspection</w:t>
      </w:r>
      <w:bookmarkEnd w:id="76"/>
      <w:bookmarkEnd w:id="77"/>
      <w:bookmarkEnd w:id="78"/>
      <w:bookmarkEnd w:id="79"/>
      <w:bookmarkEnd w:id="80"/>
      <w:bookmarkEnd w:id="81"/>
      <w:bookmarkEnd w:id="82"/>
      <w:bookmarkEnd w:id="83"/>
      <w:bookmarkEnd w:id="84"/>
    </w:p>
    <w:p>
      <w:pPr>
        <w:tabs>
          <w:tab w:val="left" w:pos="900"/>
        </w:tabs>
        <w:spacing w:before="120"/>
        <w:ind w:left="357"/>
        <w:jc w:val="both"/>
        <w:rPr>
          <w:spacing w:val="2"/>
        </w:rPr>
      </w:pPr>
      <w:r>
        <w:t xml:space="preserve">L'inspecteur membre du Service de l'Inspection de l'Enseignement fondamental ordinaire visé à l'article 3, 1° du Décret du 08/03/2007 relatif au Service général de l'Inspection, au Service de conseil et de soutien pédagogiques de l'enseignement organisé par </w:t>
      </w:r>
      <w:smartTag w:uri="urn:schemas-microsoft-com:office:smarttags" w:element="PersonName">
        <w:smartTagPr>
          <w:attr w:name="ProductID" w:val="la F￩d￩ration Wallonie-Bruxelles"/>
        </w:smartTagPr>
        <w:r>
          <w:t>la Fédération Wallonie-Bruxelles</w:t>
        </w:r>
      </w:smartTag>
      <w:r>
        <w:t xml:space="preserve">, aux cellules de conseil et de soutien pédagogiques de l'enseignement subventionné par </w:t>
      </w:r>
      <w:smartTag w:uri="urn:schemas-microsoft-com:office:smarttags" w:element="PersonName">
        <w:smartTagPr>
          <w:attr w:name="ProductID" w:val="la F￩d￩ration Wallonie-Bruxelles"/>
        </w:smartTagPr>
        <w:r>
          <w:t>la Fédération Wallonie-Bruxelles</w:t>
        </w:r>
      </w:smartTag>
      <w:r>
        <w:t xml:space="preserve"> et au statut des membres du personnel du Service général de l'Inspection et des conseillers pédagogiques.</w:t>
      </w:r>
    </w:p>
    <w:p>
      <w:pPr>
        <w:pStyle w:val="Titre4"/>
      </w:pPr>
      <w:bookmarkStart w:id="85" w:name="_Toc292361806"/>
      <w:bookmarkStart w:id="86" w:name="_Toc292362011"/>
      <w:bookmarkStart w:id="87" w:name="_Toc295931934"/>
      <w:bookmarkStart w:id="88" w:name="_Toc295913690"/>
      <w:bookmarkStart w:id="89" w:name="_Toc423419943"/>
      <w:bookmarkStart w:id="90" w:name="_Toc450645150"/>
      <w:bookmarkStart w:id="91" w:name="_Toc453942386"/>
      <w:bookmarkStart w:id="92" w:name="_Toc454888003"/>
      <w:bookmarkStart w:id="93" w:name="_Toc486241667"/>
      <w:r>
        <w:t>Domicile</w:t>
      </w:r>
      <w:bookmarkEnd w:id="85"/>
      <w:bookmarkEnd w:id="86"/>
      <w:bookmarkEnd w:id="87"/>
      <w:bookmarkEnd w:id="88"/>
      <w:bookmarkEnd w:id="89"/>
      <w:bookmarkEnd w:id="90"/>
      <w:bookmarkEnd w:id="91"/>
      <w:bookmarkEnd w:id="92"/>
      <w:bookmarkEnd w:id="93"/>
    </w:p>
    <w:p>
      <w:pPr>
        <w:spacing w:before="120"/>
        <w:ind w:left="357"/>
        <w:jc w:val="both"/>
        <w:rPr>
          <w:spacing w:val="2"/>
        </w:rPr>
      </w:pPr>
      <w:r>
        <w:rPr>
          <w:spacing w:val="2"/>
        </w:rPr>
        <w:t>Selon le Code civil belge (articles 102 à 108), le domicile est le lieu où toute personne a son principal établissement. Le changement de domicile s’opérera par le fait d’une habitation réelle dans un autre lieu, joint à l’intention d’y fixer son principal établissement. La preuve de l’intention résultera d’une déclaration expresse faite à la commune du lieu où l’on aura transféré son domicile.</w:t>
      </w:r>
    </w:p>
    <w:p>
      <w:pPr>
        <w:ind w:left="359"/>
        <w:jc w:val="both"/>
        <w:rPr>
          <w:spacing w:val="2"/>
          <w:sz w:val="16"/>
        </w:rPr>
      </w:pPr>
    </w:p>
    <w:p>
      <w:pPr>
        <w:ind w:left="359"/>
        <w:jc w:val="both"/>
        <w:rPr>
          <w:spacing w:val="2"/>
        </w:rPr>
      </w:pPr>
      <w:r>
        <w:rPr>
          <w:spacing w:val="2"/>
        </w:rPr>
        <w:t>Le mineur non émancipé a son domicile à la résidence commune de ses père et mère ou, si ceux-ci ne vivent pas ensemble, chez celui qui en assure l’hébergement principal. La personne sous tutelle a son domicile chez son tuteur.</w:t>
      </w:r>
    </w:p>
    <w:p>
      <w:pPr>
        <w:ind w:left="359"/>
        <w:jc w:val="both"/>
        <w:rPr>
          <w:spacing w:val="2"/>
          <w:sz w:val="16"/>
        </w:rPr>
      </w:pPr>
    </w:p>
    <w:p>
      <w:pPr>
        <w:spacing w:after="120"/>
        <w:ind w:left="357"/>
        <w:jc w:val="both"/>
        <w:rPr>
          <w:spacing w:val="2"/>
        </w:rPr>
      </w:pPr>
      <w:r>
        <w:t>Pour le mineur qui n’a pas son domicile en Belgique, il faut prendre en considération le lieu de résidence, c’est-à-dire l’endroit où il habite effectivement.</w:t>
      </w:r>
    </w:p>
    <w:p>
      <w:pPr>
        <w:pStyle w:val="Titre4"/>
      </w:pPr>
      <w:bookmarkStart w:id="94" w:name="Justificatifs"/>
      <w:bookmarkStart w:id="95" w:name="_Elèves_régulièrement_inscrits"/>
      <w:bookmarkStart w:id="96" w:name="_Toc292361807"/>
      <w:bookmarkStart w:id="97" w:name="_Toc292362012"/>
      <w:bookmarkStart w:id="98" w:name="_Toc295931935"/>
      <w:bookmarkStart w:id="99" w:name="_Toc295913691"/>
      <w:bookmarkStart w:id="100" w:name="_Toc423419944"/>
      <w:bookmarkStart w:id="101" w:name="_Toc450645151"/>
      <w:bookmarkStart w:id="102" w:name="_Toc453942387"/>
      <w:bookmarkStart w:id="103" w:name="_Toc454888004"/>
      <w:bookmarkStart w:id="104" w:name="_Toc486241668"/>
      <w:bookmarkEnd w:id="94"/>
      <w:bookmarkEnd w:id="95"/>
      <w:r>
        <w:t>Elèves régulièrement inscrits</w:t>
      </w:r>
      <w:bookmarkEnd w:id="96"/>
      <w:bookmarkEnd w:id="97"/>
      <w:bookmarkEnd w:id="98"/>
      <w:bookmarkEnd w:id="99"/>
      <w:bookmarkEnd w:id="100"/>
      <w:bookmarkEnd w:id="101"/>
      <w:bookmarkEnd w:id="102"/>
      <w:bookmarkEnd w:id="103"/>
      <w:bookmarkEnd w:id="104"/>
    </w:p>
    <w:p>
      <w:pPr>
        <w:spacing w:before="120"/>
        <w:ind w:left="357"/>
        <w:jc w:val="both"/>
        <w:rPr>
          <w:spacing w:val="2"/>
        </w:rPr>
      </w:pPr>
      <w:r>
        <w:rPr>
          <w:u w:val="single"/>
        </w:rPr>
        <w:t>Enseignement maternel</w:t>
      </w:r>
      <w:r>
        <w:t>:</w:t>
      </w:r>
    </w:p>
    <w:p>
      <w:pPr>
        <w:ind w:left="359"/>
        <w:jc w:val="both"/>
        <w:rPr>
          <w:spacing w:val="2"/>
        </w:rPr>
      </w:pPr>
      <w:r>
        <w:rPr>
          <w:spacing w:val="2"/>
        </w:rPr>
        <w:t>Elèves, âgés de deux ans et 6 mois au moins, inscrits conformément :</w:t>
      </w:r>
    </w:p>
    <w:p>
      <w:pPr>
        <w:numPr>
          <w:ilvl w:val="0"/>
          <w:numId w:val="118"/>
        </w:numPr>
        <w:ind w:left="1079"/>
        <w:jc w:val="both"/>
        <w:rPr>
          <w:spacing w:val="2"/>
        </w:rPr>
      </w:pPr>
      <w:r>
        <w:rPr>
          <w:spacing w:val="2"/>
          <w:u w:val="single"/>
        </w:rPr>
        <w:t>aux règles relatives à l’obligation scolaire</w:t>
      </w:r>
      <w:r>
        <w:rPr>
          <w:spacing w:val="2"/>
        </w:rPr>
        <w:t xml:space="preserve"> (art. 1 de la loi du 29 juin 1983), ce qui implique que les élèves, maintenus en maternelle durant leur 1</w:t>
      </w:r>
      <w:r>
        <w:rPr>
          <w:spacing w:val="2"/>
          <w:vertAlign w:val="superscript"/>
        </w:rPr>
        <w:t>e</w:t>
      </w:r>
      <w:r>
        <w:rPr>
          <w:spacing w:val="2"/>
        </w:rPr>
        <w:t xml:space="preserve"> année de la scolarité obligatoire soient en possession de la dérogation ministérielle (voir </w:t>
      </w:r>
      <w:hyperlink w:anchor="chapitre2_3" w:history="1">
        <w:r>
          <w:rPr>
            <w:rStyle w:val="Lienhypertexte"/>
            <w:color w:val="auto"/>
            <w:spacing w:val="2"/>
          </w:rPr>
          <w:t>chapitre 2.3.</w:t>
        </w:r>
      </w:hyperlink>
      <w:r>
        <w:rPr>
          <w:spacing w:val="2"/>
        </w:rPr>
        <w:t>);</w:t>
      </w:r>
    </w:p>
    <w:p>
      <w:pPr>
        <w:numPr>
          <w:ilvl w:val="0"/>
          <w:numId w:val="118"/>
        </w:numPr>
        <w:ind w:left="1079"/>
        <w:jc w:val="both"/>
        <w:rPr>
          <w:spacing w:val="2"/>
        </w:rPr>
      </w:pPr>
      <w:r>
        <w:rPr>
          <w:spacing w:val="2"/>
          <w:u w:val="single"/>
        </w:rPr>
        <w:t>aux règles relatives à l’inscription régulière des élèves</w:t>
      </w:r>
      <w:r>
        <w:rPr>
          <w:spacing w:val="2"/>
        </w:rPr>
        <w:t xml:space="preserve"> prescrites aux art. 76 et suivants du Décret-Missions du 24/07/1997, ce qui implique notamment que l’inscription doit être faite dans le respect des dispositions relatives aux changements d’école (voir </w:t>
      </w:r>
      <w:hyperlink w:anchor="Chapitre2_4" w:history="1">
        <w:r>
          <w:rPr>
            <w:rStyle w:val="Lienhypertexte"/>
            <w:color w:val="auto"/>
            <w:spacing w:val="2"/>
          </w:rPr>
          <w:t>chapitre 2.4.</w:t>
        </w:r>
      </w:hyperlink>
      <w:r>
        <w:rPr>
          <w:spacing w:val="2"/>
        </w:rPr>
        <w:t xml:space="preserve">). </w:t>
      </w:r>
    </w:p>
    <w:p>
      <w:pPr>
        <w:spacing w:before="120"/>
        <w:ind w:left="357"/>
        <w:jc w:val="both"/>
        <w:rPr>
          <w:spacing w:val="2"/>
        </w:rPr>
      </w:pPr>
      <w:r>
        <w:rPr>
          <w:u w:val="single"/>
        </w:rPr>
        <w:t>Enseignement primaire</w:t>
      </w:r>
      <w:r>
        <w:t>:</w:t>
      </w:r>
    </w:p>
    <w:p>
      <w:pPr>
        <w:ind w:left="359"/>
        <w:jc w:val="both"/>
        <w:rPr>
          <w:spacing w:val="2"/>
        </w:rPr>
      </w:pPr>
      <w:r>
        <w:rPr>
          <w:spacing w:val="2"/>
        </w:rPr>
        <w:t>Elèves inscrits conformément:</w:t>
      </w:r>
    </w:p>
    <w:p>
      <w:pPr>
        <w:numPr>
          <w:ilvl w:val="0"/>
          <w:numId w:val="118"/>
        </w:numPr>
        <w:ind w:left="1079"/>
        <w:jc w:val="both"/>
        <w:rPr>
          <w:spacing w:val="2"/>
        </w:rPr>
      </w:pPr>
      <w:r>
        <w:rPr>
          <w:spacing w:val="2"/>
          <w:u w:val="single"/>
        </w:rPr>
        <w:t>aux règles relatives à l’obligation scolaire</w:t>
      </w:r>
      <w:r>
        <w:rPr>
          <w:spacing w:val="2"/>
        </w:rPr>
        <w:t xml:space="preserve"> (art. 1 de la loi du 29 juin 1983), ce qui implique que </w:t>
      </w:r>
    </w:p>
    <w:p>
      <w:pPr>
        <w:numPr>
          <w:ilvl w:val="1"/>
          <w:numId w:val="118"/>
        </w:numPr>
        <w:ind w:left="1799"/>
        <w:jc w:val="both"/>
        <w:rPr>
          <w:spacing w:val="2"/>
        </w:rPr>
      </w:pPr>
      <w:r>
        <w:rPr>
          <w:spacing w:val="2"/>
        </w:rPr>
        <w:t>les élèves, maintenus en 8</w:t>
      </w:r>
      <w:r>
        <w:rPr>
          <w:spacing w:val="2"/>
          <w:vertAlign w:val="superscript"/>
        </w:rPr>
        <w:t>e</w:t>
      </w:r>
      <w:r>
        <w:rPr>
          <w:spacing w:val="2"/>
        </w:rPr>
        <w:t xml:space="preserve"> ou 9</w:t>
      </w:r>
      <w:r>
        <w:rPr>
          <w:spacing w:val="2"/>
          <w:vertAlign w:val="superscript"/>
        </w:rPr>
        <w:t>e</w:t>
      </w:r>
      <w:r>
        <w:rPr>
          <w:spacing w:val="2"/>
        </w:rPr>
        <w:t xml:space="preserve"> année primaire soient en possession de la dérogation ministérielle octroyée au plus tard le 30 septembre de l’année scolaire en cours ; </w:t>
      </w:r>
    </w:p>
    <w:p>
      <w:pPr>
        <w:numPr>
          <w:ilvl w:val="1"/>
          <w:numId w:val="118"/>
        </w:numPr>
        <w:ind w:left="1799"/>
        <w:jc w:val="both"/>
        <w:rPr>
          <w:spacing w:val="2"/>
        </w:rPr>
      </w:pPr>
      <w:r>
        <w:rPr>
          <w:spacing w:val="2"/>
        </w:rPr>
        <w:t>pour les élèves avancés en 1</w:t>
      </w:r>
      <w:r>
        <w:rPr>
          <w:spacing w:val="2"/>
          <w:vertAlign w:val="superscript"/>
        </w:rPr>
        <w:t>e</w:t>
      </w:r>
      <w:r>
        <w:rPr>
          <w:spacing w:val="2"/>
        </w:rPr>
        <w:t xml:space="preserve"> année primaire, le directeur d’école soit en possession du dossier d’avancement complet pour le 30 septembre de l’année scolaire en cours (voir </w:t>
      </w:r>
      <w:hyperlink w:anchor="chapitre2_3" w:history="1">
        <w:r>
          <w:rPr>
            <w:rStyle w:val="Lienhypertexte"/>
            <w:color w:val="auto"/>
            <w:spacing w:val="2"/>
          </w:rPr>
          <w:t>chapitre 2.3.</w:t>
        </w:r>
      </w:hyperlink>
      <w:r>
        <w:rPr>
          <w:spacing w:val="2"/>
        </w:rPr>
        <w:t>).</w:t>
      </w:r>
    </w:p>
    <w:p>
      <w:pPr>
        <w:numPr>
          <w:ilvl w:val="0"/>
          <w:numId w:val="118"/>
        </w:numPr>
        <w:spacing w:after="120"/>
        <w:ind w:left="1077" w:hanging="357"/>
        <w:jc w:val="both"/>
        <w:rPr>
          <w:spacing w:val="2"/>
        </w:rPr>
      </w:pPr>
      <w:r>
        <w:rPr>
          <w:u w:val="single"/>
        </w:rPr>
        <w:t>aux règles relatives à l’inscription régulière des élèves</w:t>
      </w:r>
      <w:r>
        <w:t xml:space="preserve"> prescrites aux art. 76 et suivants du Décret-Missions du 24/07/1997, ce qui implique notamment que l’inscription doit être faite dans le respect des dispositions relatives aux changements d’école (voir </w:t>
      </w:r>
      <w:hyperlink w:anchor="Chapitre2_4" w:history="1">
        <w:r>
          <w:rPr>
            <w:rStyle w:val="Lienhypertexte"/>
            <w:color w:val="auto"/>
          </w:rPr>
          <w:t>chapitre 2.4.</w:t>
        </w:r>
      </w:hyperlink>
      <w:r>
        <w:t>)</w:t>
      </w:r>
    </w:p>
    <w:p>
      <w:pPr>
        <w:spacing w:after="120"/>
        <w:jc w:val="both"/>
        <w:rPr>
          <w:spacing w:val="2"/>
        </w:rPr>
      </w:pPr>
    </w:p>
    <w:p>
      <w:pPr>
        <w:spacing w:after="120"/>
        <w:jc w:val="both"/>
        <w:rPr>
          <w:spacing w:val="2"/>
        </w:rPr>
      </w:pPr>
    </w:p>
    <w:p>
      <w:pPr>
        <w:spacing w:after="120"/>
        <w:jc w:val="both"/>
        <w:rPr>
          <w:spacing w:val="2"/>
        </w:rPr>
      </w:pPr>
    </w:p>
    <w:p>
      <w:pPr>
        <w:pStyle w:val="Titre4"/>
      </w:pPr>
      <w:bookmarkStart w:id="105" w:name="_Fréquentation_régulière_:"/>
      <w:bookmarkStart w:id="106" w:name="_Toc292361808"/>
      <w:bookmarkStart w:id="107" w:name="_Toc292362013"/>
      <w:bookmarkStart w:id="108" w:name="_Toc295931936"/>
      <w:bookmarkStart w:id="109" w:name="_Toc295913692"/>
      <w:bookmarkStart w:id="110" w:name="_Toc423419945"/>
      <w:bookmarkStart w:id="111" w:name="_Toc450645152"/>
      <w:bookmarkStart w:id="112" w:name="_Toc453942388"/>
      <w:bookmarkStart w:id="113" w:name="_Toc454888005"/>
      <w:bookmarkStart w:id="114" w:name="_Toc486241669"/>
      <w:bookmarkEnd w:id="105"/>
      <w:r>
        <w:t>Fréquentation régulière</w:t>
      </w:r>
      <w:bookmarkEnd w:id="106"/>
      <w:bookmarkEnd w:id="107"/>
      <w:bookmarkEnd w:id="108"/>
      <w:bookmarkEnd w:id="109"/>
      <w:bookmarkEnd w:id="110"/>
      <w:bookmarkEnd w:id="111"/>
      <w:bookmarkEnd w:id="112"/>
      <w:bookmarkEnd w:id="113"/>
      <w:bookmarkEnd w:id="114"/>
    </w:p>
    <w:p>
      <w:pPr>
        <w:pStyle w:val="Sansinterligne"/>
      </w:pPr>
    </w:p>
    <w:p>
      <w:pPr>
        <w:pStyle w:val="Sansinterligne"/>
        <w:ind w:firstLine="539"/>
        <w:rPr>
          <w:u w:val="single"/>
        </w:rPr>
      </w:pPr>
      <w:r>
        <w:rPr>
          <w:u w:val="single"/>
        </w:rPr>
        <w:t>Encadrement maternel</w:t>
      </w:r>
    </w:p>
    <w:p>
      <w:pPr>
        <w:pStyle w:val="Sansinterligne"/>
        <w:spacing w:before="120"/>
        <w:ind w:left="539"/>
        <w:rPr>
          <w:u w:val="single"/>
        </w:rPr>
      </w:pPr>
      <w:r>
        <w:t>Les élèves maintenus en maternelle la 1</w:t>
      </w:r>
      <w:r>
        <w:rPr>
          <w:vertAlign w:val="superscript"/>
        </w:rPr>
        <w:t>e</w:t>
      </w:r>
      <w:r>
        <w:t xml:space="preserve"> année de la scolarité obligatoire sont soumis à la fréquentation régulière des cours, comme les élèves de primaire (voir ci-dessous).</w:t>
      </w:r>
    </w:p>
    <w:p>
      <w:pPr>
        <w:ind w:left="357"/>
        <w:jc w:val="both"/>
        <w:rPr>
          <w:u w:val="single"/>
        </w:rPr>
      </w:pPr>
    </w:p>
    <w:p>
      <w:pPr>
        <w:ind w:left="357" w:firstLine="182"/>
        <w:jc w:val="both"/>
        <w:rPr>
          <w:spacing w:val="2"/>
        </w:rPr>
      </w:pPr>
      <w:r>
        <w:rPr>
          <w:u w:val="single"/>
        </w:rPr>
        <w:t>Enseignement primaire</w:t>
      </w:r>
    </w:p>
    <w:p>
      <w:pPr>
        <w:spacing w:before="120"/>
        <w:ind w:left="539"/>
        <w:jc w:val="both"/>
        <w:rPr>
          <w:spacing w:val="2"/>
        </w:rPr>
      </w:pPr>
      <w:r>
        <w:rPr>
          <w:spacing w:val="2"/>
        </w:rPr>
        <w:t xml:space="preserve">Les élèves doivent suivre assidûment tous les cours, du premier au dernier jour de cours de l’année scolaire, toute absence étant dûment justifiée (voir </w:t>
      </w:r>
      <w:hyperlink w:anchor="_2.5.1.__Justification" w:history="1">
        <w:r>
          <w:rPr>
            <w:rStyle w:val="Lienhypertexte"/>
            <w:color w:val="auto"/>
            <w:spacing w:val="2"/>
          </w:rPr>
          <w:t>sections 2.5.1</w:t>
        </w:r>
      </w:hyperlink>
      <w:r>
        <w:rPr>
          <w:spacing w:val="2"/>
        </w:rPr>
        <w:t xml:space="preserve"> et </w:t>
      </w:r>
      <w:hyperlink w:anchor="_6.2.1.2.2._Dans_l’enseignement" w:history="1">
        <w:r>
          <w:rPr>
            <w:rStyle w:val="Lienhypertexte"/>
            <w:color w:val="auto"/>
            <w:spacing w:val="2"/>
          </w:rPr>
          <w:t>6.2.2.2.2.</w:t>
        </w:r>
      </w:hyperlink>
      <w:r>
        <w:rPr>
          <w:spacing w:val="2"/>
        </w:rPr>
        <w:t>).</w:t>
      </w:r>
    </w:p>
    <w:p>
      <w:pPr>
        <w:ind w:left="539"/>
        <w:jc w:val="both"/>
        <w:rPr>
          <w:spacing w:val="2"/>
        </w:rPr>
      </w:pPr>
    </w:p>
    <w:p>
      <w:pPr>
        <w:ind w:left="539"/>
        <w:jc w:val="both"/>
        <w:rPr>
          <w:spacing w:val="2"/>
        </w:rPr>
      </w:pPr>
      <w:r>
        <w:rPr>
          <w:spacing w:val="2"/>
        </w:rPr>
        <w:t>Remarque : ne peut donc être considéré comme fréquentant régulièrement un établissement, un élève qui n’y a jamais suivi de cours depuis le début de l’année scolaire, ni un élève qui ne fréquente plus du tout un établissement, même s’il a fait l’objet d’une dénonciation à l’obligation scolaire.</w:t>
      </w:r>
    </w:p>
    <w:p>
      <w:pPr>
        <w:pStyle w:val="MonTitre1"/>
      </w:pPr>
      <w:r>
        <w:br w:type="page"/>
      </w:r>
      <w:bookmarkStart w:id="115" w:name="_Toc295931937"/>
      <w:bookmarkStart w:id="116" w:name="_Toc295913693"/>
      <w:bookmarkStart w:id="117" w:name="_Toc423419946"/>
      <w:bookmarkStart w:id="118" w:name="_Toc450645153"/>
      <w:bookmarkStart w:id="119" w:name="_Toc453942389"/>
      <w:bookmarkStart w:id="120" w:name="_Toc454888006"/>
      <w:bookmarkStart w:id="121" w:name="_Toc486241670"/>
      <w:bookmarkEnd w:id="21"/>
      <w:r>
        <w:t xml:space="preserve">Titre1. </w:t>
      </w:r>
      <w:r>
        <w:tab/>
        <w:t>Objectifs de l’enseignement fondamental et organisation en cycles</w:t>
      </w:r>
      <w:bookmarkEnd w:id="115"/>
      <w:bookmarkEnd w:id="116"/>
      <w:bookmarkEnd w:id="117"/>
      <w:bookmarkEnd w:id="118"/>
      <w:bookmarkEnd w:id="119"/>
      <w:bookmarkEnd w:id="120"/>
      <w:bookmarkEnd w:id="121"/>
    </w:p>
    <w:p>
      <w:pPr>
        <w:jc w:val="both"/>
        <w:rPr>
          <w:sz w:val="28"/>
        </w:rPr>
      </w:pPr>
      <w:bookmarkStart w:id="122" w:name="_Chapitre_1.1._Objectifs"/>
      <w:bookmarkStart w:id="123" w:name="_Toc91294807"/>
      <w:bookmarkStart w:id="124" w:name="_Toc101689074"/>
      <w:bookmarkEnd w:id="122"/>
    </w:p>
    <w:p>
      <w:pPr>
        <w:pStyle w:val="Titre2"/>
      </w:pPr>
      <w:bookmarkStart w:id="125" w:name="_Chapitre_1.1._Objectifs_"/>
      <w:bookmarkStart w:id="126" w:name="_Toc295931938"/>
      <w:bookmarkStart w:id="127" w:name="_Toc295913694"/>
      <w:bookmarkStart w:id="128" w:name="_Toc423419947"/>
      <w:bookmarkStart w:id="129" w:name="_Toc450645154"/>
      <w:bookmarkStart w:id="130" w:name="_Toc453942390"/>
      <w:bookmarkStart w:id="131" w:name="_Toc454888007"/>
      <w:bookmarkStart w:id="132" w:name="_Toc486241671"/>
      <w:bookmarkEnd w:id="125"/>
      <w:r>
        <w:t>Chapitre 1.1.</w:t>
      </w:r>
      <w:bookmarkEnd w:id="123"/>
      <w:r>
        <w:t xml:space="preserve"> Objectifs généraux et particuliers</w:t>
      </w:r>
      <w:bookmarkEnd w:id="124"/>
      <w:bookmarkEnd w:id="126"/>
      <w:bookmarkEnd w:id="127"/>
      <w:bookmarkEnd w:id="128"/>
      <w:bookmarkEnd w:id="129"/>
      <w:bookmarkEnd w:id="130"/>
      <w:bookmarkEnd w:id="131"/>
      <w:bookmarkEnd w:id="132"/>
    </w:p>
    <w:p>
      <w:pPr>
        <w:rPr>
          <w:b/>
          <w:i/>
          <w:sz w:val="16"/>
          <w:szCs w:val="16"/>
          <w:u w:val="single"/>
        </w:rPr>
      </w:pPr>
    </w:p>
    <w:p>
      <w:pPr>
        <w:spacing w:line="240" w:lineRule="exact"/>
        <w:ind w:left="1621" w:hanging="1622"/>
        <w:jc w:val="both"/>
        <w:rPr>
          <w:i/>
        </w:rPr>
      </w:pPr>
      <w:r>
        <w:rPr>
          <w:b/>
          <w:i/>
          <w:u w:val="single"/>
        </w:rPr>
        <w:t>Base légale</w:t>
      </w:r>
      <w:r>
        <w:rPr>
          <w:i/>
        </w:rPr>
        <w:t xml:space="preserve">: </w:t>
      </w:r>
      <w:r>
        <w:rPr>
          <w:i/>
        </w:rPr>
        <w:tab/>
      </w:r>
      <w:hyperlink r:id="rId25" w:history="1">
        <w:r>
          <w:rPr>
            <w:rStyle w:val="Lienhypertexte"/>
            <w:i/>
            <w:color w:val="auto"/>
          </w:rPr>
          <w:t>Décret de la Communauté française du 24/07/1997 définissant les missions prioritaires de l’enseignement fondamental et de l’enseignement secondaire et organisant les structures propres à les atteindre, ci-après dénommé Décret "Missions", articles 6 à 20 et 63 à 68</w:t>
        </w:r>
      </w:hyperlink>
      <w:r>
        <w:rPr>
          <w:i/>
        </w:rPr>
        <w:t>.</w:t>
      </w:r>
    </w:p>
    <w:p>
      <w:pPr>
        <w:rPr>
          <w:b/>
          <w:sz w:val="16"/>
          <w:u w:val="single"/>
        </w:rPr>
      </w:pPr>
    </w:p>
    <w:p>
      <w:pPr>
        <w:pStyle w:val="Corpsdetexte"/>
      </w:pPr>
      <w:r>
        <w:t xml:space="preserve">L’application du Décret "Missions" conditionne l'accès au financement des établissements scolaires (dotations, subventions-traitements, subventions de fonctionnement, etc.)  </w:t>
      </w:r>
    </w:p>
    <w:p>
      <w:pPr>
        <w:rPr>
          <w:sz w:val="16"/>
          <w:szCs w:val="16"/>
        </w:rPr>
      </w:pPr>
    </w:p>
    <w:p>
      <w:pPr>
        <w:rPr>
          <w:sz w:val="16"/>
          <w:szCs w:val="16"/>
        </w:rPr>
      </w:pPr>
    </w:p>
    <w:p>
      <w:pPr>
        <w:pStyle w:val="Titre3"/>
      </w:pPr>
      <w:bookmarkStart w:id="133" w:name="_Toc295931939"/>
      <w:bookmarkStart w:id="134" w:name="_Toc295913695"/>
      <w:bookmarkStart w:id="135" w:name="_Toc423419948"/>
      <w:bookmarkStart w:id="136" w:name="_Toc450645155"/>
      <w:bookmarkStart w:id="137" w:name="_Toc453942391"/>
      <w:bookmarkStart w:id="138" w:name="_Toc454888008"/>
      <w:bookmarkStart w:id="139" w:name="_Toc486241672"/>
      <w:r>
        <w:t>1.1.1. Objectifs généraux de l'enseignement fondamental</w:t>
      </w:r>
      <w:bookmarkEnd w:id="133"/>
      <w:bookmarkEnd w:id="134"/>
      <w:bookmarkEnd w:id="135"/>
      <w:bookmarkEnd w:id="136"/>
      <w:bookmarkEnd w:id="137"/>
      <w:bookmarkEnd w:id="138"/>
      <w:bookmarkEnd w:id="139"/>
    </w:p>
    <w:p>
      <w:pPr>
        <w:jc w:val="both"/>
        <w:rPr>
          <w:szCs w:val="22"/>
        </w:rPr>
      </w:pPr>
    </w:p>
    <w:p>
      <w:pPr>
        <w:jc w:val="both"/>
      </w:pPr>
      <w:r>
        <w:t xml:space="preserve">L'article 6 du Décret "Missions" énonce les </w:t>
      </w:r>
      <w:r>
        <w:rPr>
          <w:u w:val="single"/>
        </w:rPr>
        <w:t>4 objectifs prioritaires</w:t>
      </w:r>
      <w:r>
        <w:t xml:space="preserve"> de l'enseignement obligatoire:</w:t>
      </w:r>
    </w:p>
    <w:p>
      <w:pPr>
        <w:numPr>
          <w:ilvl w:val="0"/>
          <w:numId w:val="4"/>
        </w:numPr>
        <w:tabs>
          <w:tab w:val="clear" w:pos="720"/>
          <w:tab w:val="num" w:pos="719"/>
          <w:tab w:val="num" w:pos="1275"/>
        </w:tabs>
        <w:spacing w:line="240" w:lineRule="exact"/>
        <w:ind w:left="719" w:hanging="391"/>
        <w:jc w:val="both"/>
        <w:rPr>
          <w:spacing w:val="-2"/>
        </w:rPr>
      </w:pPr>
      <w:r>
        <w:rPr>
          <w:spacing w:val="-2"/>
        </w:rPr>
        <w:t>Promouvoir la confiance en soi et le développement de la personne de chacun des élèves.</w:t>
      </w:r>
    </w:p>
    <w:p>
      <w:pPr>
        <w:numPr>
          <w:ilvl w:val="0"/>
          <w:numId w:val="4"/>
        </w:numPr>
        <w:tabs>
          <w:tab w:val="clear" w:pos="720"/>
          <w:tab w:val="num" w:pos="719"/>
          <w:tab w:val="num" w:pos="1275"/>
        </w:tabs>
        <w:spacing w:line="240" w:lineRule="exact"/>
        <w:ind w:left="719" w:hanging="391"/>
        <w:jc w:val="both"/>
      </w:pPr>
      <w:r>
        <w:rPr>
          <w:spacing w:val="-2"/>
        </w:rPr>
        <w:t>Amener tous les élèves à s'approprier des savoirs et à acquérir des compétences qui les</w:t>
      </w:r>
      <w:r>
        <w:t xml:space="preserve"> rendent aptes à apprendre toute leur vie et à prendre une place active dans la vie économique, sociale et culturelle.</w:t>
      </w:r>
    </w:p>
    <w:p>
      <w:pPr>
        <w:numPr>
          <w:ilvl w:val="0"/>
          <w:numId w:val="4"/>
        </w:numPr>
        <w:tabs>
          <w:tab w:val="clear" w:pos="720"/>
          <w:tab w:val="num" w:pos="719"/>
          <w:tab w:val="num" w:pos="1275"/>
        </w:tabs>
        <w:spacing w:line="240" w:lineRule="exact"/>
        <w:ind w:left="719" w:hanging="391"/>
        <w:jc w:val="both"/>
        <w:rPr>
          <w:spacing w:val="-6"/>
        </w:rPr>
      </w:pPr>
      <w:r>
        <w:rPr>
          <w:spacing w:val="-6"/>
        </w:rPr>
        <w:t>Préparer tous les élèves à être des citoyens responsables, capables de contribuer au développement d'une société démocratique, solidaire, pluraliste et ouverte aux autres cultures.</w:t>
      </w:r>
    </w:p>
    <w:p>
      <w:pPr>
        <w:numPr>
          <w:ilvl w:val="0"/>
          <w:numId w:val="4"/>
        </w:numPr>
        <w:tabs>
          <w:tab w:val="clear" w:pos="720"/>
          <w:tab w:val="num" w:pos="719"/>
          <w:tab w:val="num" w:pos="1275"/>
        </w:tabs>
        <w:spacing w:line="240" w:lineRule="exact"/>
        <w:ind w:left="719" w:hanging="391"/>
        <w:jc w:val="both"/>
      </w:pPr>
      <w:r>
        <w:t>Assurer à tous les élèves des chances égales d'émancipation sociale.</w:t>
      </w:r>
    </w:p>
    <w:p>
      <w:pPr>
        <w:pStyle w:val="En-tte"/>
        <w:tabs>
          <w:tab w:val="clear" w:pos="4536"/>
          <w:tab w:val="clear" w:pos="9072"/>
        </w:tabs>
        <w:rPr>
          <w:sz w:val="16"/>
          <w:szCs w:val="16"/>
        </w:rPr>
      </w:pPr>
    </w:p>
    <w:p>
      <w:pPr>
        <w:pStyle w:val="En-tte"/>
        <w:tabs>
          <w:tab w:val="clear" w:pos="4536"/>
          <w:tab w:val="clear" w:pos="9072"/>
        </w:tabs>
        <w:rPr>
          <w:sz w:val="16"/>
          <w:szCs w:val="16"/>
        </w:rPr>
      </w:pPr>
    </w:p>
    <w:p>
      <w:pPr>
        <w:pStyle w:val="Titre3"/>
      </w:pPr>
      <w:bookmarkStart w:id="140" w:name="_Toc295931940"/>
      <w:bookmarkStart w:id="141" w:name="_Toc295913696"/>
      <w:bookmarkStart w:id="142" w:name="_Toc423419949"/>
      <w:bookmarkStart w:id="143" w:name="_Toc450645156"/>
      <w:bookmarkStart w:id="144" w:name="_Toc453942392"/>
      <w:bookmarkStart w:id="145" w:name="_Toc454888009"/>
      <w:bookmarkStart w:id="146" w:name="_Toc486241673"/>
      <w:r>
        <w:t>1.1.2. Objectifs particuliers de l'enseignement maternel</w:t>
      </w:r>
      <w:bookmarkEnd w:id="140"/>
      <w:bookmarkEnd w:id="141"/>
      <w:bookmarkEnd w:id="142"/>
      <w:bookmarkEnd w:id="143"/>
      <w:bookmarkEnd w:id="144"/>
      <w:bookmarkEnd w:id="145"/>
      <w:bookmarkEnd w:id="146"/>
    </w:p>
    <w:p>
      <w:pPr>
        <w:jc w:val="both"/>
        <w:rPr>
          <w:sz w:val="16"/>
        </w:rPr>
      </w:pPr>
    </w:p>
    <w:p>
      <w:pPr>
        <w:jc w:val="both"/>
      </w:pPr>
      <w:r>
        <w:t>L'article 12 du Décret "Missions" rappelle que l'enseignement maternel poursuit les mêmes objectifs que l'enseignement obligatoire. Il vise particulièrement à:</w:t>
      </w:r>
    </w:p>
    <w:p>
      <w:pPr>
        <w:numPr>
          <w:ilvl w:val="0"/>
          <w:numId w:val="5"/>
        </w:numPr>
        <w:tabs>
          <w:tab w:val="clear" w:pos="720"/>
          <w:tab w:val="num" w:pos="719"/>
        </w:tabs>
        <w:spacing w:line="240" w:lineRule="exact"/>
        <w:ind w:left="719" w:hanging="391"/>
        <w:jc w:val="both"/>
      </w:pPr>
      <w:r>
        <w:t>Développer la prise de conscience par l'enfant de ses potentialités propres et favoriser, à travers des activités créatrices, l'expression de soi.</w:t>
      </w:r>
    </w:p>
    <w:p>
      <w:pPr>
        <w:numPr>
          <w:ilvl w:val="0"/>
          <w:numId w:val="5"/>
        </w:numPr>
        <w:tabs>
          <w:tab w:val="clear" w:pos="720"/>
          <w:tab w:val="num" w:pos="719"/>
        </w:tabs>
        <w:spacing w:line="240" w:lineRule="exact"/>
        <w:ind w:left="719" w:hanging="391"/>
        <w:jc w:val="both"/>
      </w:pPr>
      <w:r>
        <w:t>Développer la socialisation.</w:t>
      </w:r>
    </w:p>
    <w:p>
      <w:pPr>
        <w:numPr>
          <w:ilvl w:val="0"/>
          <w:numId w:val="5"/>
        </w:numPr>
        <w:tabs>
          <w:tab w:val="clear" w:pos="720"/>
          <w:tab w:val="num" w:pos="719"/>
        </w:tabs>
        <w:spacing w:line="240" w:lineRule="exact"/>
        <w:ind w:left="719" w:hanging="391"/>
        <w:jc w:val="both"/>
      </w:pPr>
      <w:r>
        <w:t>Développer des apprentissages cognitifs, sociaux, affectifs et psychomoteurs.</w:t>
      </w:r>
    </w:p>
    <w:p>
      <w:pPr>
        <w:numPr>
          <w:ilvl w:val="0"/>
          <w:numId w:val="5"/>
        </w:numPr>
        <w:tabs>
          <w:tab w:val="clear" w:pos="720"/>
          <w:tab w:val="num" w:pos="719"/>
        </w:tabs>
        <w:spacing w:line="240" w:lineRule="exact"/>
        <w:ind w:left="719" w:hanging="391"/>
        <w:jc w:val="both"/>
        <w:rPr>
          <w:spacing w:val="-4"/>
        </w:rPr>
      </w:pPr>
      <w:r>
        <w:rPr>
          <w:spacing w:val="-6"/>
        </w:rPr>
        <w:t>Déceler les difficultés et les handicaps des enfants et leur apporter les remédiations nécessaires</w:t>
      </w:r>
      <w:r>
        <w:rPr>
          <w:spacing w:val="-4"/>
        </w:rPr>
        <w:t>.</w:t>
      </w:r>
    </w:p>
    <w:p>
      <w:pPr>
        <w:ind w:left="539"/>
        <w:rPr>
          <w:sz w:val="16"/>
          <w:szCs w:val="16"/>
        </w:rPr>
      </w:pPr>
    </w:p>
    <w:p>
      <w:pPr>
        <w:ind w:left="539"/>
        <w:rPr>
          <w:sz w:val="16"/>
          <w:szCs w:val="16"/>
        </w:rPr>
      </w:pPr>
    </w:p>
    <w:p>
      <w:pPr>
        <w:pStyle w:val="Titre3"/>
      </w:pPr>
      <w:bookmarkStart w:id="147" w:name="_1.1.3._Socles_de"/>
      <w:bookmarkStart w:id="148" w:name="_Toc295931941"/>
      <w:bookmarkStart w:id="149" w:name="_Toc295913697"/>
      <w:bookmarkStart w:id="150" w:name="_Toc423419950"/>
      <w:bookmarkStart w:id="151" w:name="_Toc450645157"/>
      <w:bookmarkStart w:id="152" w:name="_Toc453942393"/>
      <w:bookmarkStart w:id="153" w:name="_Toc454888010"/>
      <w:bookmarkStart w:id="154" w:name="_Toc486241674"/>
      <w:bookmarkEnd w:id="147"/>
      <w:r>
        <w:t>1.1.3. Socles de compétences</w:t>
      </w:r>
      <w:bookmarkEnd w:id="148"/>
      <w:bookmarkEnd w:id="149"/>
      <w:bookmarkEnd w:id="150"/>
      <w:bookmarkEnd w:id="151"/>
      <w:bookmarkEnd w:id="152"/>
      <w:bookmarkEnd w:id="153"/>
      <w:bookmarkEnd w:id="154"/>
    </w:p>
    <w:p>
      <w:pPr>
        <w:jc w:val="both"/>
        <w:rPr>
          <w:szCs w:val="22"/>
        </w:rPr>
      </w:pPr>
    </w:p>
    <w:p>
      <w:pPr>
        <w:pStyle w:val="Corpsdetexte"/>
        <w:rPr>
          <w:spacing w:val="-2"/>
        </w:rPr>
      </w:pPr>
      <w:r>
        <w:rPr>
          <w:spacing w:val="-2"/>
        </w:rPr>
        <w:t>Les socles de compétences</w:t>
      </w:r>
      <w:r>
        <w:rPr>
          <w:rStyle w:val="Appelnotedebasdep"/>
          <w:spacing w:val="-2"/>
        </w:rPr>
        <w:footnoteReference w:id="2"/>
      </w:r>
      <w:r>
        <w:rPr>
          <w:spacing w:val="-2"/>
        </w:rPr>
        <w:t xml:space="preserve"> présentent de manière structurée les compétences de base à exercer jusqu'au terme du premier degré de l'enseignement secondaire. Ce référentiel note les compétences qui sont à construire, certifier et entretenir, au fil et au terme de chacune des 3 étapes qui rythment les 8 premières années de la scolarité obligatoire (voir la </w:t>
      </w:r>
      <w:hyperlink w:anchor="_1.2.2._L'organisation_en" w:history="1">
        <w:r>
          <w:rPr>
            <w:rStyle w:val="Lienhypertexte"/>
            <w:color w:val="auto"/>
            <w:spacing w:val="-2"/>
          </w:rPr>
          <w:t>section 1.2.2.</w:t>
        </w:r>
      </w:hyperlink>
      <w:r>
        <w:rPr>
          <w:spacing w:val="-2"/>
        </w:rPr>
        <w:t xml:space="preserve"> ci-après), parce que considérées comme nécessaires à l'insertion sociale et à la poursuite des </w:t>
      </w:r>
      <w:r>
        <w:rPr>
          <w:spacing w:val="-2"/>
          <w:szCs w:val="22"/>
        </w:rPr>
        <w:t>études</w:t>
      </w:r>
      <w:r>
        <w:rPr>
          <w:spacing w:val="-2"/>
        </w:rPr>
        <w:t>.</w:t>
      </w:r>
    </w:p>
    <w:p>
      <w:pPr>
        <w:jc w:val="both"/>
        <w:rPr>
          <w:i/>
          <w:szCs w:val="22"/>
        </w:rPr>
      </w:pPr>
    </w:p>
    <w:p>
      <w:pPr>
        <w:pStyle w:val="Corpsdetexte"/>
      </w:pPr>
      <w:r>
        <w:t>Les socles de compétences se présentent en 8 chapitres où se conjuguent compétences transversales et disciplinaires:</w:t>
      </w:r>
    </w:p>
    <w:p>
      <w:pPr>
        <w:numPr>
          <w:ilvl w:val="0"/>
          <w:numId w:val="88"/>
        </w:numPr>
        <w:tabs>
          <w:tab w:val="clear" w:pos="1324"/>
          <w:tab w:val="num" w:pos="1979"/>
        </w:tabs>
        <w:spacing w:line="240" w:lineRule="exact"/>
        <w:ind w:left="1979"/>
        <w:jc w:val="both"/>
      </w:pPr>
      <w:r>
        <w:t>Français</w:t>
      </w:r>
    </w:p>
    <w:p>
      <w:pPr>
        <w:numPr>
          <w:ilvl w:val="0"/>
          <w:numId w:val="88"/>
        </w:numPr>
        <w:tabs>
          <w:tab w:val="clear" w:pos="1324"/>
          <w:tab w:val="num" w:pos="1979"/>
        </w:tabs>
        <w:spacing w:line="240" w:lineRule="exact"/>
        <w:ind w:left="1979"/>
        <w:jc w:val="both"/>
      </w:pPr>
      <w:r>
        <w:t>Formation mathématique</w:t>
      </w:r>
    </w:p>
    <w:p>
      <w:pPr>
        <w:numPr>
          <w:ilvl w:val="0"/>
          <w:numId w:val="88"/>
        </w:numPr>
        <w:tabs>
          <w:tab w:val="clear" w:pos="1324"/>
          <w:tab w:val="num" w:pos="1979"/>
        </w:tabs>
        <w:spacing w:line="240" w:lineRule="exact"/>
        <w:ind w:left="1979"/>
        <w:jc w:val="both"/>
      </w:pPr>
      <w:r>
        <w:t>Éveil – Initiation scientifique</w:t>
      </w:r>
    </w:p>
    <w:p>
      <w:pPr>
        <w:numPr>
          <w:ilvl w:val="0"/>
          <w:numId w:val="88"/>
        </w:numPr>
        <w:tabs>
          <w:tab w:val="clear" w:pos="1324"/>
          <w:tab w:val="num" w:pos="1979"/>
        </w:tabs>
        <w:spacing w:line="240" w:lineRule="exact"/>
        <w:ind w:left="1979"/>
        <w:jc w:val="both"/>
      </w:pPr>
      <w:r>
        <w:t>Langues modernes</w:t>
      </w:r>
    </w:p>
    <w:p>
      <w:pPr>
        <w:numPr>
          <w:ilvl w:val="0"/>
          <w:numId w:val="88"/>
        </w:numPr>
        <w:tabs>
          <w:tab w:val="clear" w:pos="1324"/>
          <w:tab w:val="num" w:pos="1979"/>
        </w:tabs>
        <w:spacing w:line="240" w:lineRule="exact"/>
        <w:ind w:left="1979"/>
        <w:jc w:val="both"/>
      </w:pPr>
      <w:r>
        <w:t>Éducation physique</w:t>
      </w:r>
    </w:p>
    <w:p>
      <w:pPr>
        <w:numPr>
          <w:ilvl w:val="0"/>
          <w:numId w:val="88"/>
        </w:numPr>
        <w:tabs>
          <w:tab w:val="clear" w:pos="1324"/>
          <w:tab w:val="num" w:pos="1979"/>
        </w:tabs>
        <w:spacing w:line="240" w:lineRule="exact"/>
        <w:ind w:left="1979"/>
        <w:jc w:val="both"/>
      </w:pPr>
      <w:r>
        <w:t>Éducation par la technologie</w:t>
      </w:r>
    </w:p>
    <w:p>
      <w:pPr>
        <w:numPr>
          <w:ilvl w:val="0"/>
          <w:numId w:val="88"/>
        </w:numPr>
        <w:tabs>
          <w:tab w:val="clear" w:pos="1324"/>
          <w:tab w:val="num" w:pos="1979"/>
        </w:tabs>
        <w:spacing w:line="240" w:lineRule="exact"/>
        <w:ind w:left="1979"/>
        <w:jc w:val="both"/>
      </w:pPr>
      <w:r>
        <w:t>Éducation artistique</w:t>
      </w:r>
    </w:p>
    <w:p>
      <w:pPr>
        <w:numPr>
          <w:ilvl w:val="0"/>
          <w:numId w:val="88"/>
        </w:numPr>
        <w:tabs>
          <w:tab w:val="clear" w:pos="1324"/>
          <w:tab w:val="num" w:pos="1979"/>
        </w:tabs>
        <w:spacing w:line="240" w:lineRule="exact"/>
        <w:ind w:left="1979"/>
        <w:jc w:val="both"/>
      </w:pPr>
      <w:r>
        <w:t>Éveil – Formation historique et géographique comprenant la formation à la vie sociale et économique</w:t>
      </w:r>
    </w:p>
    <w:p>
      <w:pPr>
        <w:spacing w:line="250" w:lineRule="exact"/>
        <w:jc w:val="both"/>
      </w:pPr>
      <w:r>
        <w:t xml:space="preserve">Le terme </w:t>
      </w:r>
      <w:r>
        <w:rPr>
          <w:b/>
          <w:u w:val="single"/>
        </w:rPr>
        <w:t>compétence</w:t>
      </w:r>
      <w:r>
        <w:t xml:space="preserve"> est défini comme suit : aptitude à mettre en œuvre un ensemble organisé de savoirs, de savoir-faire et d'attitudes permettant d'accomplir un certain nombre de tâches.</w:t>
      </w:r>
      <w:bookmarkStart w:id="155" w:name="_1.1.4._Activités_obligatoires"/>
      <w:bookmarkStart w:id="156" w:name="_Toc295931942"/>
      <w:bookmarkStart w:id="157" w:name="_Toc295913698"/>
      <w:bookmarkEnd w:id="155"/>
    </w:p>
    <w:p>
      <w:pPr>
        <w:spacing w:line="250" w:lineRule="exact"/>
        <w:jc w:val="both"/>
        <w:rPr>
          <w:sz w:val="16"/>
          <w:szCs w:val="16"/>
        </w:rPr>
      </w:pPr>
    </w:p>
    <w:p>
      <w:pPr>
        <w:spacing w:line="250" w:lineRule="exact"/>
        <w:jc w:val="both"/>
        <w:rPr>
          <w:sz w:val="16"/>
          <w:szCs w:val="16"/>
        </w:rPr>
      </w:pPr>
    </w:p>
    <w:p>
      <w:pPr>
        <w:pStyle w:val="Titre3"/>
      </w:pPr>
      <w:bookmarkStart w:id="158" w:name="_1.1.4._Activités_obligatoires_"/>
      <w:bookmarkStart w:id="159" w:name="_Toc423419951"/>
      <w:bookmarkStart w:id="160" w:name="_Toc450645158"/>
      <w:bookmarkStart w:id="161" w:name="_Toc453942394"/>
      <w:bookmarkStart w:id="162" w:name="_Toc454888011"/>
      <w:bookmarkStart w:id="163" w:name="_Toc486241675"/>
      <w:bookmarkEnd w:id="158"/>
      <w:r>
        <w:t>1.1.4. Activités obligatoires</w:t>
      </w:r>
      <w:bookmarkEnd w:id="156"/>
      <w:bookmarkEnd w:id="157"/>
      <w:bookmarkEnd w:id="159"/>
      <w:bookmarkEnd w:id="160"/>
      <w:bookmarkEnd w:id="161"/>
      <w:bookmarkEnd w:id="162"/>
      <w:bookmarkEnd w:id="163"/>
    </w:p>
    <w:p>
      <w:pPr>
        <w:rPr>
          <w:sz w:val="16"/>
        </w:rPr>
      </w:pPr>
    </w:p>
    <w:p>
      <w:pPr>
        <w:spacing w:line="250" w:lineRule="exact"/>
        <w:jc w:val="both"/>
        <w:rPr>
          <w:spacing w:val="-2"/>
        </w:rPr>
      </w:pPr>
      <w:r>
        <w:rPr>
          <w:spacing w:val="-2"/>
        </w:rPr>
        <w:t>Les socles de compétences accordent la priorité à l'</w:t>
      </w:r>
      <w:r>
        <w:rPr>
          <w:b/>
          <w:spacing w:val="-2"/>
        </w:rPr>
        <w:t>apprentissage de la lecture</w:t>
      </w:r>
      <w:r>
        <w:rPr>
          <w:spacing w:val="-2"/>
        </w:rPr>
        <w:t xml:space="preserve"> centrée sur la maîtrise du sens, à la </w:t>
      </w:r>
      <w:r>
        <w:rPr>
          <w:b/>
          <w:spacing w:val="-2"/>
        </w:rPr>
        <w:t>production d'écrits</w:t>
      </w:r>
      <w:r>
        <w:rPr>
          <w:spacing w:val="-2"/>
        </w:rPr>
        <w:t xml:space="preserve"> et à la </w:t>
      </w:r>
      <w:r>
        <w:rPr>
          <w:b/>
          <w:spacing w:val="-2"/>
        </w:rPr>
        <w:t>communication orale</w:t>
      </w:r>
      <w:r>
        <w:rPr>
          <w:spacing w:val="-2"/>
        </w:rPr>
        <w:t xml:space="preserve"> ainsi qu'à la </w:t>
      </w:r>
      <w:r>
        <w:rPr>
          <w:b/>
          <w:spacing w:val="-2"/>
        </w:rPr>
        <w:t xml:space="preserve">maîtrise des outils mathématiques de base </w:t>
      </w:r>
      <w:r>
        <w:rPr>
          <w:spacing w:val="-2"/>
        </w:rPr>
        <w:t>dans le cadre de la</w:t>
      </w:r>
      <w:r>
        <w:rPr>
          <w:b/>
          <w:spacing w:val="-2"/>
        </w:rPr>
        <w:t xml:space="preserve"> résolution de problèmes</w:t>
      </w:r>
      <w:r>
        <w:rPr>
          <w:spacing w:val="-2"/>
        </w:rPr>
        <w:t xml:space="preserve">. Ils définissent également les </w:t>
      </w:r>
      <w:r>
        <w:rPr>
          <w:b/>
          <w:spacing w:val="-2"/>
        </w:rPr>
        <w:t>compétences communicatives</w:t>
      </w:r>
      <w:r>
        <w:rPr>
          <w:spacing w:val="-2"/>
        </w:rPr>
        <w:t xml:space="preserve"> dans une langue autre que le français.</w:t>
      </w:r>
    </w:p>
    <w:p>
      <w:pPr>
        <w:jc w:val="both"/>
        <w:rPr>
          <w:sz w:val="12"/>
        </w:rPr>
      </w:pPr>
    </w:p>
    <w:p>
      <w:pPr>
        <w:spacing w:line="250" w:lineRule="exact"/>
        <w:jc w:val="both"/>
      </w:pPr>
      <w:r>
        <w:rPr>
          <w:b/>
        </w:rPr>
        <w:t>Les autres activités éducatives</w:t>
      </w:r>
      <w:r>
        <w:t xml:space="preserve"> s'inscrivent dans les objectifs généraux énoncés ci-dessus. Elles font partie de la formation commune obligatoire où s'exercent les compétences retenues: la structuration du temps et de l'espace, l'éducation psychomotrice et corporelle, l'éveil puis l'initiation à l'histoire et à la géographie, l'éducation artistique, l'éducation par la technologie, l'initiation scientifique, la découverte de l'environnement, l'éducation aux médias, l'apprentissage de comportements sociaux et de la citoyenneté.</w:t>
      </w:r>
    </w:p>
    <w:p>
      <w:pPr>
        <w:pStyle w:val="Corpsdetexte2"/>
        <w:spacing w:line="120" w:lineRule="auto"/>
        <w:rPr>
          <w:szCs w:val="22"/>
        </w:rPr>
      </w:pPr>
    </w:p>
    <w:p>
      <w:pPr>
        <w:pStyle w:val="Corpsdetexte2"/>
        <w:spacing w:line="120" w:lineRule="auto"/>
        <w:rPr>
          <w:szCs w:val="22"/>
        </w:rPr>
      </w:pPr>
    </w:p>
    <w:p>
      <w:pPr>
        <w:pStyle w:val="Titre3"/>
      </w:pPr>
      <w:bookmarkStart w:id="164" w:name="_1.1.5._Projets_éducatif,"/>
      <w:bookmarkStart w:id="165" w:name="_Toc295931943"/>
      <w:bookmarkStart w:id="166" w:name="_Toc295913699"/>
      <w:bookmarkStart w:id="167" w:name="_Toc423419952"/>
      <w:bookmarkStart w:id="168" w:name="_Toc450645159"/>
      <w:bookmarkStart w:id="169" w:name="_Toc453942395"/>
      <w:bookmarkStart w:id="170" w:name="_Toc454888012"/>
      <w:bookmarkStart w:id="171" w:name="_Toc486241676"/>
      <w:bookmarkEnd w:id="164"/>
      <w:r>
        <w:t>1.1.5. Projets éducatif, pédagogique, d'établissement et programmes d'études</w:t>
      </w:r>
      <w:bookmarkEnd w:id="165"/>
      <w:bookmarkEnd w:id="166"/>
      <w:bookmarkEnd w:id="167"/>
      <w:bookmarkEnd w:id="168"/>
      <w:bookmarkEnd w:id="169"/>
      <w:bookmarkEnd w:id="170"/>
      <w:bookmarkEnd w:id="171"/>
    </w:p>
    <w:p>
      <w:pPr>
        <w:jc w:val="both"/>
        <w:rPr>
          <w:b/>
          <w:sz w:val="16"/>
          <w:lang w:val="fr-BE"/>
        </w:rPr>
      </w:pPr>
    </w:p>
    <w:p>
      <w:pPr>
        <w:pStyle w:val="Corpsdetexte"/>
        <w:rPr>
          <w:spacing w:val="-4"/>
        </w:rPr>
      </w:pPr>
      <w:r>
        <w:rPr>
          <w:spacing w:val="-4"/>
        </w:rPr>
        <w:t xml:space="preserve">Dans le respect des objectifs du Décret-Missions, chaque Pouvoir organisateur définit son </w:t>
      </w:r>
      <w:r>
        <w:rPr>
          <w:b/>
          <w:bCs/>
          <w:spacing w:val="-4"/>
        </w:rPr>
        <w:t>projet éducatif</w:t>
      </w:r>
      <w:r>
        <w:rPr>
          <w:spacing w:val="-4"/>
        </w:rPr>
        <w:t xml:space="preserve"> et son </w:t>
      </w:r>
      <w:r>
        <w:rPr>
          <w:b/>
          <w:bCs/>
          <w:spacing w:val="-4"/>
        </w:rPr>
        <w:t>projet pédagogique</w:t>
      </w:r>
      <w:r>
        <w:rPr>
          <w:spacing w:val="-4"/>
        </w:rPr>
        <w:t xml:space="preserve">. Chaque école élabore quant à elle son </w:t>
      </w:r>
      <w:r>
        <w:rPr>
          <w:b/>
          <w:bCs/>
          <w:spacing w:val="-4"/>
        </w:rPr>
        <w:t>projet d'établissement</w:t>
      </w:r>
      <w:r>
        <w:rPr>
          <w:spacing w:val="-4"/>
        </w:rPr>
        <w:t xml:space="preserve">. </w:t>
      </w:r>
    </w:p>
    <w:p>
      <w:pPr>
        <w:jc w:val="both"/>
        <w:rPr>
          <w:sz w:val="12"/>
        </w:rPr>
      </w:pPr>
    </w:p>
    <w:p>
      <w:pPr>
        <w:pStyle w:val="Corpsdetexte"/>
        <w:rPr>
          <w:spacing w:val="-2"/>
        </w:rPr>
      </w:pPr>
      <w:r>
        <w:rPr>
          <w:spacing w:val="-2"/>
        </w:rPr>
        <w:t xml:space="preserve">Chaque Pouvoir organisateur est en outre tenu d'indiquer clairement le programme d'études auquel leurs enseignants se réfèrent. Le </w:t>
      </w:r>
      <w:r>
        <w:rPr>
          <w:b/>
          <w:bCs/>
          <w:spacing w:val="-2"/>
        </w:rPr>
        <w:t>programme d'études</w:t>
      </w:r>
      <w:r>
        <w:rPr>
          <w:spacing w:val="-2"/>
        </w:rPr>
        <w:t xml:space="preserve"> est un référentiel de contenus, de situations d'apprentissage et d'orientations méthodologiques pour atteindre les socles de compétences. </w:t>
      </w:r>
    </w:p>
    <w:p>
      <w:pPr>
        <w:jc w:val="both"/>
        <w:rPr>
          <w:sz w:val="12"/>
        </w:rPr>
      </w:pPr>
    </w:p>
    <w:p>
      <w:pPr>
        <w:pStyle w:val="Corpsdetexte"/>
        <w:spacing w:after="120"/>
        <w:rPr>
          <w:spacing w:val="0"/>
        </w:rPr>
      </w:pPr>
      <w:r>
        <w:t xml:space="preserve">Le tableau ci-après, structuré en </w:t>
      </w:r>
      <w:r>
        <w:rPr>
          <w:u w:val="single"/>
        </w:rPr>
        <w:t>3 niveaux</w:t>
      </w:r>
      <w:r>
        <w:t>, représente l'économie générale de ce dispositif:</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74"/>
        <w:gridCol w:w="1614"/>
        <w:gridCol w:w="3224"/>
        <w:gridCol w:w="545"/>
        <w:gridCol w:w="2663"/>
      </w:tblGrid>
      <w:tr>
        <w:trPr>
          <w:trHeight w:val="2221"/>
        </w:trPr>
        <w:tc>
          <w:tcPr>
            <w:tcW w:w="1874" w:type="dxa"/>
            <w:tcBorders>
              <w:bottom w:val="single" w:sz="4" w:space="0" w:color="auto"/>
            </w:tcBorders>
            <w:vAlign w:val="center"/>
          </w:tcPr>
          <w:p>
            <w:pPr>
              <w:jc w:val="center"/>
            </w:pPr>
            <w:r>
              <w:t>Au niveau de</w:t>
            </w:r>
          </w:p>
          <w:p>
            <w:pPr>
              <w:jc w:val="center"/>
            </w:pPr>
            <w:r>
              <w:t>l'ensemble de</w:t>
            </w:r>
            <w:r>
              <w:br/>
            </w:r>
            <w:smartTag w:uri="urn:schemas-microsoft-com:office:smarttags" w:element="PersonName">
              <w:smartTagPr>
                <w:attr w:name="ProductID" w:val="la Communaut￩"/>
              </w:smartTagPr>
              <w:r>
                <w:t>la Communauté</w:t>
              </w:r>
            </w:smartTag>
          </w:p>
          <w:p>
            <w:pPr>
              <w:jc w:val="center"/>
            </w:pPr>
            <w:r>
              <w:t>française</w:t>
            </w:r>
          </w:p>
        </w:tc>
        <w:tc>
          <w:tcPr>
            <w:tcW w:w="1614" w:type="dxa"/>
            <w:tcBorders>
              <w:bottom w:val="single" w:sz="4" w:space="0" w:color="auto"/>
            </w:tcBorders>
            <w:vAlign w:val="center"/>
          </w:tcPr>
          <w:p>
            <w:pPr>
              <w:jc w:val="center"/>
              <w:rPr>
                <w:b/>
              </w:rPr>
            </w:pPr>
            <w:r>
              <w:rPr>
                <w:b/>
              </w:rPr>
              <w:t>Le cadre</w:t>
            </w:r>
          </w:p>
          <w:p>
            <w:pPr>
              <w:jc w:val="center"/>
              <w:rPr>
                <w:b/>
              </w:rPr>
            </w:pPr>
            <w:r>
              <w:rPr>
                <w:b/>
              </w:rPr>
              <w:t>commun</w:t>
            </w:r>
          </w:p>
        </w:tc>
        <w:tc>
          <w:tcPr>
            <w:tcW w:w="3224" w:type="dxa"/>
            <w:tcBorders>
              <w:bottom w:val="single" w:sz="4" w:space="0" w:color="auto"/>
            </w:tcBorders>
            <w:vAlign w:val="center"/>
          </w:tcPr>
          <w:p>
            <w:pPr>
              <w:jc w:val="center"/>
            </w:pPr>
            <w:r>
              <w:t xml:space="preserve">° Les </w:t>
            </w:r>
            <w:r>
              <w:rPr>
                <w:b/>
              </w:rPr>
              <w:t>objectifs généraux</w:t>
            </w:r>
            <w:r>
              <w:t xml:space="preserve"> de :</w:t>
            </w:r>
          </w:p>
          <w:p>
            <w:pPr>
              <w:jc w:val="center"/>
            </w:pPr>
            <w:r>
              <w:t>- l'enseignement fondamental</w:t>
            </w:r>
          </w:p>
          <w:p>
            <w:pPr>
              <w:jc w:val="center"/>
            </w:pPr>
            <w:r>
              <w:t>- l'enseignement secondaire</w:t>
            </w:r>
          </w:p>
          <w:p>
            <w:pPr>
              <w:jc w:val="center"/>
            </w:pPr>
          </w:p>
          <w:p>
            <w:pPr>
              <w:jc w:val="center"/>
            </w:pPr>
            <w:r>
              <w:t xml:space="preserve">° Les </w:t>
            </w:r>
            <w:r>
              <w:rPr>
                <w:b/>
              </w:rPr>
              <w:t>objectifs particuliers</w:t>
            </w:r>
            <w:r>
              <w:rPr>
                <w:b/>
              </w:rPr>
              <w:br/>
              <w:t xml:space="preserve">         communs</w:t>
            </w:r>
            <w:r>
              <w:t xml:space="preserve"> à/au :</w:t>
            </w:r>
          </w:p>
          <w:p>
            <w:pPr>
              <w:jc w:val="center"/>
            </w:pPr>
            <w:r>
              <w:t>- l'enseignement fondamental</w:t>
            </w:r>
          </w:p>
          <w:p>
            <w:pPr>
              <w:jc w:val="center"/>
            </w:pPr>
            <w:r>
              <w:t>- 1</w:t>
            </w:r>
            <w:r>
              <w:rPr>
                <w:vertAlign w:val="superscript"/>
              </w:rPr>
              <w:t>er</w:t>
            </w:r>
            <w:r>
              <w:t xml:space="preserve"> degré du secondaire</w:t>
            </w:r>
          </w:p>
        </w:tc>
        <w:tc>
          <w:tcPr>
            <w:tcW w:w="545" w:type="dxa"/>
            <w:tcBorders>
              <w:bottom w:val="single" w:sz="4" w:space="0" w:color="auto"/>
            </w:tcBorders>
            <w:vAlign w:val="center"/>
          </w:tcPr>
          <w:p>
            <w:pPr>
              <w:jc w:val="center"/>
            </w:pPr>
            <w:r>
              <w:t>→</w:t>
            </w:r>
          </w:p>
        </w:tc>
        <w:tc>
          <w:tcPr>
            <w:tcW w:w="2663" w:type="dxa"/>
            <w:tcBorders>
              <w:bottom w:val="single" w:sz="4" w:space="0" w:color="auto"/>
            </w:tcBorders>
            <w:vAlign w:val="center"/>
          </w:tcPr>
          <w:p>
            <w:pPr>
              <w:jc w:val="center"/>
            </w:pPr>
            <w:r>
              <w:t xml:space="preserve">Les </w:t>
            </w:r>
            <w:r>
              <w:rPr>
                <w:b/>
              </w:rPr>
              <w:t>socles de compétences</w:t>
            </w:r>
          </w:p>
          <w:p>
            <w:pPr>
              <w:jc w:val="center"/>
            </w:pPr>
            <w:r>
              <w:t>nécessaires à</w:t>
            </w:r>
          </w:p>
          <w:p>
            <w:pPr>
              <w:jc w:val="center"/>
            </w:pPr>
            <w:r>
              <w:t>► l'insertion sociale</w:t>
            </w:r>
          </w:p>
          <w:p>
            <w:pPr>
              <w:jc w:val="center"/>
            </w:pPr>
            <w:r>
              <w:t>des élèves</w:t>
            </w:r>
          </w:p>
          <w:p>
            <w:pPr>
              <w:jc w:val="center"/>
            </w:pPr>
            <w:r>
              <w:t>► la poursuite de</w:t>
            </w:r>
          </w:p>
          <w:p>
            <w:pPr>
              <w:jc w:val="center"/>
            </w:pPr>
            <w:r>
              <w:t>leurs études</w:t>
            </w:r>
          </w:p>
        </w:tc>
      </w:tr>
      <w:tr>
        <w:tc>
          <w:tcPr>
            <w:tcW w:w="1874" w:type="dxa"/>
            <w:tcBorders>
              <w:top w:val="single" w:sz="4" w:space="0" w:color="auto"/>
              <w:left w:val="nil"/>
              <w:bottom w:val="single" w:sz="4" w:space="0" w:color="auto"/>
              <w:right w:val="nil"/>
            </w:tcBorders>
            <w:vAlign w:val="center"/>
          </w:tcPr>
          <w:p>
            <w:pPr>
              <w:spacing w:line="240" w:lineRule="exact"/>
              <w:jc w:val="center"/>
            </w:pPr>
          </w:p>
        </w:tc>
        <w:tc>
          <w:tcPr>
            <w:tcW w:w="1614" w:type="dxa"/>
            <w:tcBorders>
              <w:top w:val="single" w:sz="4" w:space="0" w:color="auto"/>
              <w:left w:val="nil"/>
              <w:bottom w:val="single" w:sz="4" w:space="0" w:color="auto"/>
              <w:right w:val="nil"/>
            </w:tcBorders>
            <w:vAlign w:val="center"/>
          </w:tcPr>
          <w:p>
            <w:pPr>
              <w:spacing w:line="240" w:lineRule="exact"/>
              <w:jc w:val="center"/>
            </w:pPr>
          </w:p>
        </w:tc>
        <w:tc>
          <w:tcPr>
            <w:tcW w:w="3224" w:type="dxa"/>
            <w:tcBorders>
              <w:top w:val="single" w:sz="4" w:space="0" w:color="auto"/>
              <w:left w:val="nil"/>
              <w:bottom w:val="single" w:sz="4" w:space="0" w:color="auto"/>
              <w:right w:val="nil"/>
            </w:tcBorders>
            <w:vAlign w:val="center"/>
          </w:tcPr>
          <w:p>
            <w:pPr>
              <w:spacing w:line="240" w:lineRule="exact"/>
              <w:jc w:val="center"/>
            </w:pPr>
            <w:r>
              <w:t>↓</w:t>
            </w:r>
          </w:p>
        </w:tc>
        <w:tc>
          <w:tcPr>
            <w:tcW w:w="545" w:type="dxa"/>
            <w:tcBorders>
              <w:top w:val="single" w:sz="4" w:space="0" w:color="auto"/>
              <w:left w:val="nil"/>
              <w:bottom w:val="single" w:sz="4" w:space="0" w:color="auto"/>
              <w:right w:val="nil"/>
            </w:tcBorders>
            <w:vAlign w:val="center"/>
          </w:tcPr>
          <w:p>
            <w:pPr>
              <w:spacing w:line="240" w:lineRule="exact"/>
              <w:jc w:val="center"/>
            </w:pPr>
          </w:p>
        </w:tc>
        <w:tc>
          <w:tcPr>
            <w:tcW w:w="2663" w:type="dxa"/>
            <w:tcBorders>
              <w:top w:val="single" w:sz="4" w:space="0" w:color="auto"/>
              <w:left w:val="nil"/>
              <w:bottom w:val="single" w:sz="4" w:space="0" w:color="auto"/>
              <w:right w:val="nil"/>
            </w:tcBorders>
            <w:vAlign w:val="center"/>
          </w:tcPr>
          <w:p>
            <w:pPr>
              <w:spacing w:line="240" w:lineRule="exact"/>
              <w:jc w:val="center"/>
            </w:pPr>
            <w:r>
              <w:t>↓</w:t>
            </w:r>
          </w:p>
        </w:tc>
      </w:tr>
      <w:tr>
        <w:trPr>
          <w:trHeight w:val="2250"/>
        </w:trPr>
        <w:tc>
          <w:tcPr>
            <w:tcW w:w="1874" w:type="dxa"/>
            <w:tcBorders>
              <w:top w:val="single" w:sz="4" w:space="0" w:color="auto"/>
              <w:bottom w:val="single" w:sz="4" w:space="0" w:color="auto"/>
            </w:tcBorders>
            <w:vAlign w:val="center"/>
          </w:tcPr>
          <w:p>
            <w:pPr>
              <w:spacing w:line="240" w:lineRule="exact"/>
              <w:ind w:left="-110" w:right="-93"/>
              <w:jc w:val="center"/>
            </w:pPr>
            <w:r>
              <w:t>Au niveau de chaque Pouvoir</w:t>
            </w:r>
          </w:p>
          <w:p>
            <w:pPr>
              <w:spacing w:line="240" w:lineRule="exact"/>
              <w:ind w:left="-110" w:right="-93"/>
              <w:jc w:val="center"/>
            </w:pPr>
            <w:r>
              <w:t>Organisateur</w:t>
            </w:r>
          </w:p>
          <w:p>
            <w:pPr>
              <w:spacing w:line="240" w:lineRule="exact"/>
              <w:ind w:left="-110" w:right="-93"/>
              <w:jc w:val="center"/>
              <w:rPr>
                <w:sz w:val="16"/>
              </w:rPr>
            </w:pPr>
          </w:p>
          <w:p>
            <w:pPr>
              <w:spacing w:line="240" w:lineRule="exact"/>
              <w:ind w:left="-110" w:right="-93"/>
              <w:jc w:val="center"/>
            </w:pPr>
            <w:r>
              <w:t>Au niveau de chaque organe</w:t>
            </w:r>
          </w:p>
          <w:p>
            <w:pPr>
              <w:spacing w:line="240" w:lineRule="exact"/>
              <w:ind w:left="-110" w:right="-93"/>
              <w:jc w:val="center"/>
            </w:pPr>
            <w:r>
              <w:t>de représentation</w:t>
            </w:r>
            <w:r>
              <w:br/>
              <w:t>et de coordination</w:t>
            </w:r>
          </w:p>
        </w:tc>
        <w:tc>
          <w:tcPr>
            <w:tcW w:w="1614" w:type="dxa"/>
            <w:tcBorders>
              <w:top w:val="single" w:sz="4" w:space="0" w:color="auto"/>
              <w:bottom w:val="single" w:sz="4" w:space="0" w:color="auto"/>
            </w:tcBorders>
            <w:vAlign w:val="center"/>
          </w:tcPr>
          <w:p>
            <w:pPr>
              <w:spacing w:line="240" w:lineRule="exact"/>
              <w:jc w:val="center"/>
              <w:rPr>
                <w:b/>
              </w:rPr>
            </w:pPr>
            <w:r>
              <w:rPr>
                <w:b/>
              </w:rPr>
              <w:t>Des choix</w:t>
            </w:r>
          </w:p>
          <w:p>
            <w:pPr>
              <w:spacing w:line="240" w:lineRule="exact"/>
              <w:jc w:val="center"/>
            </w:pPr>
            <w:r>
              <w:rPr>
                <w:b/>
              </w:rPr>
              <w:t>spécifiques</w:t>
            </w:r>
          </w:p>
        </w:tc>
        <w:tc>
          <w:tcPr>
            <w:tcW w:w="3224" w:type="dxa"/>
            <w:tcBorders>
              <w:top w:val="single" w:sz="4" w:space="0" w:color="auto"/>
              <w:bottom w:val="single" w:sz="4" w:space="0" w:color="auto"/>
            </w:tcBorders>
            <w:vAlign w:val="center"/>
          </w:tcPr>
          <w:p>
            <w:pPr>
              <w:spacing w:after="40" w:line="240" w:lineRule="exact"/>
              <w:jc w:val="center"/>
            </w:pPr>
            <w:r>
              <w:t xml:space="preserve">° Le </w:t>
            </w:r>
            <w:r>
              <w:rPr>
                <w:b/>
              </w:rPr>
              <w:t xml:space="preserve">projet éducatif </w:t>
            </w:r>
            <w:r>
              <w:t>:</w:t>
            </w:r>
          </w:p>
          <w:p>
            <w:pPr>
              <w:spacing w:line="240" w:lineRule="exact"/>
              <w:jc w:val="center"/>
            </w:pPr>
            <w:r>
              <w:t>- les valeurs</w:t>
            </w:r>
          </w:p>
          <w:p>
            <w:pPr>
              <w:spacing w:line="240" w:lineRule="exact"/>
              <w:jc w:val="center"/>
            </w:pPr>
            <w:r>
              <w:t>- les choix de société</w:t>
            </w:r>
          </w:p>
          <w:p>
            <w:pPr>
              <w:spacing w:line="240" w:lineRule="exact"/>
              <w:jc w:val="center"/>
            </w:pPr>
            <w:r>
              <w:t>- les références</w:t>
            </w:r>
          </w:p>
          <w:p>
            <w:pPr>
              <w:jc w:val="center"/>
              <w:rPr>
                <w:sz w:val="16"/>
              </w:rPr>
            </w:pPr>
          </w:p>
          <w:p>
            <w:pPr>
              <w:spacing w:after="40" w:line="240" w:lineRule="exact"/>
              <w:jc w:val="center"/>
            </w:pPr>
            <w:r>
              <w:t xml:space="preserve">° Le </w:t>
            </w:r>
            <w:r>
              <w:rPr>
                <w:b/>
              </w:rPr>
              <w:t>projet pédagogique</w:t>
            </w:r>
            <w:r>
              <w:t>:</w:t>
            </w:r>
          </w:p>
          <w:p>
            <w:pPr>
              <w:spacing w:line="240" w:lineRule="exact"/>
              <w:jc w:val="center"/>
            </w:pPr>
            <w:r>
              <w:t>- les visées pédagogiques</w:t>
            </w:r>
          </w:p>
          <w:p>
            <w:pPr>
              <w:spacing w:line="240" w:lineRule="exact"/>
              <w:jc w:val="center"/>
            </w:pPr>
            <w:r>
              <w:t>- les choix méthodologiques</w:t>
            </w:r>
          </w:p>
        </w:tc>
        <w:tc>
          <w:tcPr>
            <w:tcW w:w="545" w:type="dxa"/>
            <w:tcBorders>
              <w:top w:val="single" w:sz="4" w:space="0" w:color="auto"/>
              <w:bottom w:val="single" w:sz="4" w:space="0" w:color="auto"/>
            </w:tcBorders>
            <w:vAlign w:val="center"/>
          </w:tcPr>
          <w:p>
            <w:pPr>
              <w:spacing w:line="240" w:lineRule="exact"/>
              <w:jc w:val="center"/>
            </w:pPr>
          </w:p>
          <w:p>
            <w:pPr>
              <w:spacing w:line="240" w:lineRule="exact"/>
              <w:jc w:val="center"/>
            </w:pPr>
          </w:p>
          <w:p>
            <w:pPr>
              <w:spacing w:line="240" w:lineRule="exact"/>
              <w:jc w:val="center"/>
            </w:pPr>
          </w:p>
          <w:p>
            <w:pPr>
              <w:spacing w:line="240" w:lineRule="exact"/>
              <w:jc w:val="center"/>
            </w:pPr>
          </w:p>
          <w:p>
            <w:pPr>
              <w:spacing w:line="240" w:lineRule="exact"/>
              <w:jc w:val="center"/>
            </w:pPr>
            <w:r>
              <w:t>→</w:t>
            </w:r>
          </w:p>
        </w:tc>
        <w:tc>
          <w:tcPr>
            <w:tcW w:w="2663" w:type="dxa"/>
            <w:tcBorders>
              <w:top w:val="single" w:sz="4" w:space="0" w:color="auto"/>
              <w:bottom w:val="single" w:sz="4" w:space="0" w:color="auto"/>
            </w:tcBorders>
            <w:vAlign w:val="center"/>
          </w:tcPr>
          <w:p>
            <w:pPr>
              <w:spacing w:after="80" w:line="240" w:lineRule="exact"/>
              <w:jc w:val="center"/>
            </w:pPr>
            <w:r>
              <w:t xml:space="preserve">Le </w:t>
            </w:r>
            <w:r>
              <w:rPr>
                <w:b/>
              </w:rPr>
              <w:t>programme</w:t>
            </w:r>
            <w:r>
              <w:t>:</w:t>
            </w:r>
          </w:p>
          <w:p>
            <w:pPr>
              <w:spacing w:line="240" w:lineRule="exact"/>
              <w:jc w:val="center"/>
            </w:pPr>
            <w:r>
              <w:t>► les situations</w:t>
            </w:r>
          </w:p>
          <w:p>
            <w:pPr>
              <w:spacing w:line="240" w:lineRule="exact"/>
              <w:jc w:val="center"/>
            </w:pPr>
            <w:r>
              <w:t>d'apprentissage</w:t>
            </w:r>
          </w:p>
          <w:p>
            <w:pPr>
              <w:spacing w:line="240" w:lineRule="exact"/>
              <w:jc w:val="center"/>
            </w:pPr>
            <w:r>
              <w:t>► les contenus</w:t>
            </w:r>
          </w:p>
          <w:p>
            <w:pPr>
              <w:spacing w:line="240" w:lineRule="exact"/>
              <w:jc w:val="center"/>
            </w:pPr>
            <w:r>
              <w:t>d'apprentissage</w:t>
            </w:r>
          </w:p>
          <w:p>
            <w:pPr>
              <w:spacing w:line="240" w:lineRule="exact"/>
              <w:jc w:val="center"/>
            </w:pPr>
            <w:r>
              <w:t>► les orientations</w:t>
            </w:r>
          </w:p>
          <w:p>
            <w:pPr>
              <w:spacing w:line="240" w:lineRule="exact"/>
              <w:jc w:val="center"/>
            </w:pPr>
            <w:r>
              <w:t>méthodologiques</w:t>
            </w:r>
          </w:p>
        </w:tc>
      </w:tr>
      <w:tr>
        <w:tc>
          <w:tcPr>
            <w:tcW w:w="1874" w:type="dxa"/>
            <w:tcBorders>
              <w:top w:val="single" w:sz="4" w:space="0" w:color="auto"/>
              <w:left w:val="nil"/>
              <w:bottom w:val="single" w:sz="4" w:space="0" w:color="auto"/>
              <w:right w:val="nil"/>
            </w:tcBorders>
            <w:vAlign w:val="center"/>
          </w:tcPr>
          <w:p>
            <w:pPr>
              <w:spacing w:line="240" w:lineRule="exact"/>
              <w:jc w:val="center"/>
            </w:pPr>
          </w:p>
        </w:tc>
        <w:tc>
          <w:tcPr>
            <w:tcW w:w="1614" w:type="dxa"/>
            <w:tcBorders>
              <w:top w:val="single" w:sz="4" w:space="0" w:color="auto"/>
              <w:left w:val="nil"/>
              <w:bottom w:val="single" w:sz="4" w:space="0" w:color="auto"/>
              <w:right w:val="nil"/>
            </w:tcBorders>
            <w:vAlign w:val="center"/>
          </w:tcPr>
          <w:p>
            <w:pPr>
              <w:spacing w:line="240" w:lineRule="exact"/>
              <w:jc w:val="center"/>
            </w:pPr>
          </w:p>
        </w:tc>
        <w:tc>
          <w:tcPr>
            <w:tcW w:w="3224" w:type="dxa"/>
            <w:tcBorders>
              <w:top w:val="single" w:sz="4" w:space="0" w:color="auto"/>
              <w:left w:val="nil"/>
              <w:bottom w:val="single" w:sz="4" w:space="0" w:color="auto"/>
              <w:right w:val="nil"/>
            </w:tcBorders>
            <w:vAlign w:val="center"/>
          </w:tcPr>
          <w:p>
            <w:pPr>
              <w:spacing w:line="240" w:lineRule="exact"/>
              <w:jc w:val="center"/>
            </w:pPr>
            <w:r>
              <w:t>↓</w:t>
            </w:r>
          </w:p>
        </w:tc>
        <w:tc>
          <w:tcPr>
            <w:tcW w:w="545" w:type="dxa"/>
            <w:tcBorders>
              <w:top w:val="single" w:sz="4" w:space="0" w:color="auto"/>
              <w:left w:val="nil"/>
              <w:bottom w:val="single" w:sz="4" w:space="0" w:color="auto"/>
              <w:right w:val="nil"/>
            </w:tcBorders>
            <w:vAlign w:val="center"/>
          </w:tcPr>
          <w:p>
            <w:pPr>
              <w:spacing w:line="240" w:lineRule="exact"/>
              <w:jc w:val="center"/>
            </w:pPr>
          </w:p>
        </w:tc>
        <w:tc>
          <w:tcPr>
            <w:tcW w:w="2663" w:type="dxa"/>
            <w:tcBorders>
              <w:top w:val="single" w:sz="4" w:space="0" w:color="auto"/>
              <w:left w:val="nil"/>
              <w:bottom w:val="thinThickSmallGap" w:sz="24" w:space="0" w:color="auto"/>
              <w:right w:val="nil"/>
            </w:tcBorders>
            <w:vAlign w:val="center"/>
          </w:tcPr>
          <w:p>
            <w:pPr>
              <w:spacing w:line="240" w:lineRule="exact"/>
              <w:jc w:val="center"/>
            </w:pPr>
            <w:r>
              <w:t>↓</w:t>
            </w:r>
          </w:p>
        </w:tc>
      </w:tr>
      <w:tr>
        <w:trPr>
          <w:cantSplit/>
        </w:trPr>
        <w:tc>
          <w:tcPr>
            <w:tcW w:w="1874" w:type="dxa"/>
            <w:tcBorders>
              <w:top w:val="single" w:sz="4" w:space="0" w:color="auto"/>
              <w:bottom w:val="dashSmallGap" w:sz="4" w:space="0" w:color="auto"/>
            </w:tcBorders>
            <w:vAlign w:val="center"/>
          </w:tcPr>
          <w:p>
            <w:pPr>
              <w:spacing w:line="240" w:lineRule="exact"/>
              <w:jc w:val="center"/>
            </w:pPr>
            <w:r>
              <w:t>Au niveau de</w:t>
            </w:r>
          </w:p>
          <w:p>
            <w:pPr>
              <w:spacing w:line="240" w:lineRule="exact"/>
              <w:jc w:val="center"/>
            </w:pPr>
            <w:r>
              <w:t>chaque équipe éducative</w:t>
            </w:r>
          </w:p>
        </w:tc>
        <w:tc>
          <w:tcPr>
            <w:tcW w:w="1614" w:type="dxa"/>
            <w:vMerge w:val="restart"/>
            <w:tcBorders>
              <w:top w:val="single" w:sz="4" w:space="0" w:color="auto"/>
            </w:tcBorders>
            <w:vAlign w:val="center"/>
          </w:tcPr>
          <w:p>
            <w:pPr>
              <w:spacing w:line="240" w:lineRule="exact"/>
              <w:ind w:left="-104" w:right="-106"/>
              <w:jc w:val="center"/>
            </w:pPr>
            <w:r>
              <w:rPr>
                <w:b/>
              </w:rPr>
              <w:t>La concrétisation</w:t>
            </w:r>
          </w:p>
        </w:tc>
        <w:tc>
          <w:tcPr>
            <w:tcW w:w="3224" w:type="dxa"/>
            <w:tcBorders>
              <w:top w:val="single" w:sz="4" w:space="0" w:color="auto"/>
              <w:bottom w:val="dashSmallGap" w:sz="4" w:space="0" w:color="auto"/>
            </w:tcBorders>
            <w:vAlign w:val="center"/>
          </w:tcPr>
          <w:p>
            <w:pPr>
              <w:spacing w:line="240" w:lineRule="exact"/>
              <w:jc w:val="center"/>
            </w:pPr>
            <w:r>
              <w:t xml:space="preserve">° Le </w:t>
            </w:r>
            <w:r>
              <w:rPr>
                <w:b/>
              </w:rPr>
              <w:t xml:space="preserve">projet d'établissement </w:t>
            </w:r>
            <w:r>
              <w:t>:</w:t>
            </w:r>
          </w:p>
          <w:p>
            <w:pPr>
              <w:spacing w:line="240" w:lineRule="exact"/>
              <w:jc w:val="center"/>
            </w:pPr>
            <w:r>
              <w:t>- les choix pédagogiques</w:t>
            </w:r>
          </w:p>
          <w:p>
            <w:pPr>
              <w:spacing w:line="240" w:lineRule="exact"/>
              <w:jc w:val="center"/>
            </w:pPr>
            <w:r>
              <w:t>- les actions concrètes</w:t>
            </w:r>
          </w:p>
          <w:p>
            <w:pPr>
              <w:spacing w:line="240" w:lineRule="exact"/>
              <w:jc w:val="center"/>
            </w:pPr>
            <w:r>
              <w:t>particulières</w:t>
            </w:r>
          </w:p>
        </w:tc>
        <w:tc>
          <w:tcPr>
            <w:tcW w:w="545" w:type="dxa"/>
            <w:vMerge w:val="restart"/>
            <w:tcBorders>
              <w:top w:val="single" w:sz="4" w:space="0" w:color="auto"/>
              <w:right w:val="thinThickSmallGap" w:sz="24" w:space="0" w:color="auto"/>
            </w:tcBorders>
            <w:vAlign w:val="center"/>
          </w:tcPr>
          <w:p>
            <w:pPr>
              <w:spacing w:line="240" w:lineRule="exact"/>
              <w:jc w:val="center"/>
            </w:pPr>
          </w:p>
          <w:p>
            <w:pPr>
              <w:spacing w:line="240" w:lineRule="exact"/>
              <w:jc w:val="center"/>
            </w:pPr>
            <w:r>
              <w:t>→</w:t>
            </w:r>
          </w:p>
          <w:p>
            <w:pPr>
              <w:spacing w:line="240" w:lineRule="exact"/>
              <w:jc w:val="center"/>
            </w:pPr>
          </w:p>
          <w:p>
            <w:pPr>
              <w:spacing w:line="240" w:lineRule="exact"/>
              <w:jc w:val="center"/>
            </w:pPr>
          </w:p>
          <w:p>
            <w:pPr>
              <w:spacing w:line="240" w:lineRule="exact"/>
              <w:jc w:val="center"/>
            </w:pPr>
          </w:p>
          <w:p>
            <w:pPr>
              <w:spacing w:line="240" w:lineRule="exact"/>
              <w:jc w:val="center"/>
            </w:pPr>
            <w:r>
              <w:t>→</w:t>
            </w:r>
          </w:p>
        </w:tc>
        <w:tc>
          <w:tcPr>
            <w:tcW w:w="2663" w:type="dxa"/>
            <w:vMerge w:val="restart"/>
            <w:tcBorders>
              <w:top w:val="thinThickSmallGap" w:sz="24" w:space="0" w:color="auto"/>
              <w:left w:val="thinThickSmallGap" w:sz="24" w:space="0" w:color="auto"/>
              <w:bottom w:val="thickThinSmallGap" w:sz="24" w:space="0" w:color="auto"/>
              <w:right w:val="thickThinSmallGap" w:sz="24" w:space="0" w:color="auto"/>
            </w:tcBorders>
            <w:vAlign w:val="center"/>
          </w:tcPr>
          <w:p>
            <w:pPr>
              <w:spacing w:line="240" w:lineRule="exact"/>
              <w:jc w:val="center"/>
            </w:pPr>
            <w:r>
              <w:t>L'appropriation et la mise en œuvre effective</w:t>
            </w:r>
          </w:p>
          <w:p>
            <w:pPr>
              <w:spacing w:line="240" w:lineRule="exact"/>
              <w:jc w:val="center"/>
            </w:pPr>
            <w:r>
              <w:t>- des socles</w:t>
            </w:r>
          </w:p>
          <w:p>
            <w:pPr>
              <w:spacing w:line="240" w:lineRule="exact"/>
              <w:ind w:right="-86"/>
              <w:jc w:val="center"/>
            </w:pPr>
            <w:r>
              <w:t>- des programmes</w:t>
            </w:r>
            <w:r>
              <w:br/>
            </w:r>
            <w:r>
              <w:rPr>
                <w:spacing w:val="-14"/>
              </w:rPr>
              <w:t>par chaque équipe éducative et par chaque enseignant</w:t>
            </w:r>
          </w:p>
        </w:tc>
      </w:tr>
      <w:tr>
        <w:trPr>
          <w:cantSplit/>
          <w:trHeight w:val="762"/>
        </w:trPr>
        <w:tc>
          <w:tcPr>
            <w:tcW w:w="1874" w:type="dxa"/>
            <w:tcBorders>
              <w:top w:val="dashSmallGap" w:sz="4" w:space="0" w:color="auto"/>
            </w:tcBorders>
            <w:vAlign w:val="center"/>
          </w:tcPr>
          <w:p>
            <w:pPr>
              <w:spacing w:line="240" w:lineRule="exact"/>
              <w:jc w:val="center"/>
            </w:pPr>
            <w:r>
              <w:t>Au niveau de</w:t>
            </w:r>
          </w:p>
          <w:p>
            <w:pPr>
              <w:spacing w:line="240" w:lineRule="exact"/>
              <w:jc w:val="center"/>
              <w:rPr>
                <w:spacing w:val="-12"/>
              </w:rPr>
            </w:pPr>
            <w:r>
              <w:rPr>
                <w:spacing w:val="-12"/>
              </w:rPr>
              <w:t>chaque enseignant</w:t>
            </w:r>
          </w:p>
        </w:tc>
        <w:tc>
          <w:tcPr>
            <w:tcW w:w="1614" w:type="dxa"/>
            <w:vMerge/>
            <w:vAlign w:val="center"/>
          </w:tcPr>
          <w:p>
            <w:pPr>
              <w:spacing w:line="240" w:lineRule="exact"/>
              <w:jc w:val="center"/>
            </w:pPr>
          </w:p>
        </w:tc>
        <w:tc>
          <w:tcPr>
            <w:tcW w:w="3224" w:type="dxa"/>
            <w:tcBorders>
              <w:top w:val="dashSmallGap" w:sz="4" w:space="0" w:color="auto"/>
            </w:tcBorders>
            <w:vAlign w:val="center"/>
          </w:tcPr>
          <w:p>
            <w:pPr>
              <w:spacing w:line="240" w:lineRule="exact"/>
              <w:jc w:val="center"/>
            </w:pPr>
            <w:r>
              <w:t xml:space="preserve">° La mise en œuvre des  </w:t>
            </w:r>
            <w:r>
              <w:br/>
              <w:t xml:space="preserve">   </w:t>
            </w:r>
            <w:r>
              <w:rPr>
                <w:b/>
              </w:rPr>
              <w:t>activités  d'apprentissage</w:t>
            </w:r>
          </w:p>
        </w:tc>
        <w:tc>
          <w:tcPr>
            <w:tcW w:w="545" w:type="dxa"/>
            <w:vMerge/>
            <w:tcBorders>
              <w:right w:val="thinThickSmallGap" w:sz="24" w:space="0" w:color="auto"/>
            </w:tcBorders>
          </w:tcPr>
          <w:p>
            <w:pPr>
              <w:spacing w:line="240" w:lineRule="exact"/>
              <w:jc w:val="both"/>
            </w:pPr>
          </w:p>
        </w:tc>
        <w:tc>
          <w:tcPr>
            <w:tcW w:w="2663" w:type="dxa"/>
            <w:vMerge/>
            <w:tcBorders>
              <w:top w:val="dashSmallGap" w:sz="4" w:space="0" w:color="auto"/>
              <w:left w:val="thinThickSmallGap" w:sz="24" w:space="0" w:color="auto"/>
              <w:bottom w:val="thickThinSmallGap" w:sz="24" w:space="0" w:color="auto"/>
              <w:right w:val="thickThinSmallGap" w:sz="24" w:space="0" w:color="auto"/>
            </w:tcBorders>
          </w:tcPr>
          <w:p>
            <w:pPr>
              <w:spacing w:line="240" w:lineRule="exact"/>
              <w:jc w:val="both"/>
            </w:pPr>
          </w:p>
        </w:tc>
      </w:tr>
    </w:tbl>
    <w:p>
      <w:bookmarkStart w:id="172" w:name="_Toc295931944"/>
      <w:bookmarkStart w:id="173" w:name="_Toc295913700"/>
    </w:p>
    <w:p>
      <w:pPr>
        <w:pStyle w:val="Titre3"/>
      </w:pPr>
      <w:bookmarkStart w:id="174" w:name="_Toc423419953"/>
      <w:bookmarkStart w:id="175" w:name="_Toc450645160"/>
      <w:bookmarkStart w:id="176" w:name="_Toc453942396"/>
      <w:bookmarkStart w:id="177" w:name="_Toc454888013"/>
      <w:bookmarkStart w:id="178" w:name="_Toc486241677"/>
      <w:r>
        <w:t>1.1.6. Outils pédagogiques et outils d'évaluation</w:t>
      </w:r>
      <w:bookmarkEnd w:id="172"/>
      <w:bookmarkEnd w:id="173"/>
      <w:bookmarkEnd w:id="174"/>
      <w:bookmarkEnd w:id="175"/>
      <w:bookmarkEnd w:id="176"/>
      <w:bookmarkEnd w:id="177"/>
      <w:bookmarkEnd w:id="178"/>
    </w:p>
    <w:p>
      <w:pPr>
        <w:jc w:val="both"/>
        <w:rPr>
          <w:b/>
          <w:sz w:val="16"/>
        </w:rPr>
      </w:pPr>
    </w:p>
    <w:p>
      <w:pPr>
        <w:pStyle w:val="Corpsdetexte"/>
        <w:spacing w:line="240" w:lineRule="exact"/>
      </w:pPr>
      <w:smartTag w:uri="urn:schemas-microsoft-com:office:smarttags" w:element="PersonName">
        <w:smartTagPr>
          <w:attr w:name="ProductID" w:val="la Commission"/>
        </w:smartTagPr>
        <w:r>
          <w:t>La Commission</w:t>
        </w:r>
      </w:smartTag>
      <w:r>
        <w:t xml:space="preserve"> de pilotage créée par le </w:t>
      </w:r>
      <w:hyperlink r:id="rId26" w:history="1">
        <w:r>
          <w:rPr>
            <w:rStyle w:val="Lienhypertexte"/>
            <w:color w:val="auto"/>
          </w:rPr>
          <w:t xml:space="preserve">Décret du 27/03/2002 </w:t>
        </w:r>
      </w:hyperlink>
      <w:r>
        <w:t xml:space="preserve">relatif au pilotage du système éducatif de </w:t>
      </w:r>
      <w:smartTag w:uri="urn:schemas-microsoft-com:office:smarttags" w:element="PersonName">
        <w:smartTagPr>
          <w:attr w:name="ProductID" w:val="la Communaut￩"/>
        </w:smartTagPr>
        <w:r>
          <w:t>la Communauté</w:t>
        </w:r>
      </w:smartTag>
      <w:r>
        <w:t xml:space="preserve"> française, est notamment chargée d'une série de missions destinées à faciliter le travail des enseignants au quotidien.</w:t>
      </w:r>
    </w:p>
    <w:p>
      <w:pPr>
        <w:spacing w:line="240" w:lineRule="exact"/>
        <w:rPr>
          <w:spacing w:val="-8"/>
        </w:rPr>
      </w:pPr>
      <w:r>
        <w:rPr>
          <w:spacing w:val="-8"/>
        </w:rPr>
        <w:t xml:space="preserve">Divers outils pédagogiques et des outils d'évaluation sont diffusés sur le site: </w:t>
      </w:r>
      <w:hyperlink r:id="rId27" w:history="1">
        <w:r>
          <w:rPr>
            <w:rStyle w:val="Lienhypertexte"/>
            <w:color w:val="auto"/>
            <w:spacing w:val="-8"/>
          </w:rPr>
          <w:t>http://www.enseignement.be</w:t>
        </w:r>
      </w:hyperlink>
    </w:p>
    <w:p>
      <w:pPr>
        <w:pStyle w:val="Titre2"/>
      </w:pPr>
      <w:bookmarkStart w:id="179" w:name="_Chapitre_1.2._Ecole"/>
      <w:bookmarkEnd w:id="179"/>
      <w:r>
        <w:br w:type="page"/>
      </w:r>
      <w:bookmarkStart w:id="180" w:name="_Chapitre_1.2._Ecole_"/>
      <w:bookmarkStart w:id="181" w:name="_Toc295931945"/>
      <w:bookmarkStart w:id="182" w:name="_Toc295913701"/>
      <w:bookmarkStart w:id="183" w:name="_Toc423419954"/>
      <w:bookmarkStart w:id="184" w:name="_Toc450645161"/>
      <w:bookmarkStart w:id="185" w:name="_Toc453942397"/>
      <w:bookmarkStart w:id="186" w:name="_Toc454888014"/>
      <w:bookmarkStart w:id="187" w:name="_Toc486241678"/>
      <w:bookmarkEnd w:id="180"/>
      <w:r>
        <w:t>Chapitre 1.2. Ecole de la réussite et organisation en cycles</w:t>
      </w:r>
      <w:bookmarkEnd w:id="181"/>
      <w:bookmarkEnd w:id="182"/>
      <w:bookmarkEnd w:id="183"/>
      <w:bookmarkEnd w:id="184"/>
      <w:bookmarkEnd w:id="185"/>
      <w:bookmarkEnd w:id="186"/>
      <w:bookmarkEnd w:id="187"/>
    </w:p>
    <w:p>
      <w:pPr>
        <w:pStyle w:val="Titre40"/>
        <w:spacing w:after="0"/>
        <w:rPr>
          <w:smallCaps w:val="0"/>
          <w:spacing w:val="0"/>
          <w:szCs w:val="22"/>
          <w:lang w:val="fr-FR"/>
        </w:rPr>
      </w:pPr>
    </w:p>
    <w:p>
      <w:pPr>
        <w:spacing w:before="60"/>
        <w:ind w:left="1870" w:hanging="1871"/>
        <w:rPr>
          <w:i/>
        </w:rPr>
      </w:pPr>
      <w:r>
        <w:rPr>
          <w:b/>
          <w:i/>
          <w:u w:val="single"/>
        </w:rPr>
        <w:t>Bases légales</w:t>
      </w:r>
      <w:r>
        <w:rPr>
          <w:b/>
          <w:i/>
        </w:rPr>
        <w:t>:</w:t>
      </w:r>
      <w:r>
        <w:rPr>
          <w:b/>
          <w:i/>
        </w:rPr>
        <w:tab/>
      </w:r>
      <w:hyperlink r:id="rId28" w:history="1">
        <w:r>
          <w:rPr>
            <w:rStyle w:val="Lienhypertexte"/>
            <w:i/>
            <w:color w:val="auto"/>
          </w:rPr>
          <w:t>Décret du 14/03/1995 relatif à la promotion d’une école de la réussite dans l’enseignement fondamental (Décret "Ecole de la réussite"), articles 1 à 4</w:t>
        </w:r>
      </w:hyperlink>
      <w:r>
        <w:rPr>
          <w:i/>
        </w:rPr>
        <w:t xml:space="preserve"> ;</w:t>
      </w:r>
    </w:p>
    <w:p>
      <w:pPr>
        <w:ind w:left="1870"/>
        <w:rPr>
          <w:i/>
        </w:rPr>
      </w:pPr>
      <w:hyperlink r:id="rId29" w:history="1">
        <w:r>
          <w:rPr>
            <w:rStyle w:val="Lienhypertexte"/>
            <w:i/>
            <w:color w:val="auto"/>
          </w:rPr>
          <w:t>Décret-Missions du 24/07/1997, articles 13 à 15</w:t>
        </w:r>
      </w:hyperlink>
      <w:r>
        <w:rPr>
          <w:i/>
        </w:rPr>
        <w:t>.</w:t>
      </w:r>
    </w:p>
    <w:p>
      <w:pPr>
        <w:pStyle w:val="En-tte"/>
        <w:tabs>
          <w:tab w:val="clear" w:pos="4536"/>
          <w:tab w:val="clear" w:pos="9072"/>
        </w:tabs>
        <w:rPr>
          <w:sz w:val="24"/>
        </w:rPr>
      </w:pPr>
    </w:p>
    <w:p>
      <w:pPr>
        <w:jc w:val="both"/>
        <w:rPr>
          <w:spacing w:val="2"/>
        </w:rPr>
      </w:pPr>
      <w:r>
        <w:rPr>
          <w:spacing w:val="2"/>
        </w:rPr>
        <w:t>Ces 2 décrets se veulent des instruments pour relever un défi de taille: une Ecole ambitieuse qui deviendrait une Ecole de la réussite pour chacun. Il s'agit d'assurer à tous les enfants la maîtrise des fondements des compétences essentielles pour vivre et se développer dans la société du XXI</w:t>
      </w:r>
      <w:r>
        <w:rPr>
          <w:spacing w:val="2"/>
          <w:vertAlign w:val="superscript"/>
        </w:rPr>
        <w:t xml:space="preserve">e </w:t>
      </w:r>
      <w:r>
        <w:rPr>
          <w:spacing w:val="2"/>
        </w:rPr>
        <w:t>siècle.</w:t>
      </w:r>
    </w:p>
    <w:p>
      <w:pPr>
        <w:rPr>
          <w:szCs w:val="22"/>
        </w:rPr>
      </w:pPr>
    </w:p>
    <w:p>
      <w:pPr>
        <w:pStyle w:val="Titre3"/>
      </w:pPr>
      <w:bookmarkStart w:id="188" w:name="_Toc295931946"/>
      <w:bookmarkStart w:id="189" w:name="_Toc295913702"/>
      <w:bookmarkStart w:id="190" w:name="_Toc423419955"/>
      <w:bookmarkStart w:id="191" w:name="_Toc450645162"/>
      <w:bookmarkStart w:id="192" w:name="_Toc453942398"/>
      <w:bookmarkStart w:id="193" w:name="_Toc454888015"/>
      <w:bookmarkStart w:id="194" w:name="_Toc486241679"/>
      <w:r>
        <w:t>1.2.1. Les axes pédagogiques de l'école de la réussite</w:t>
      </w:r>
      <w:bookmarkEnd w:id="188"/>
      <w:bookmarkEnd w:id="189"/>
      <w:bookmarkEnd w:id="190"/>
      <w:bookmarkEnd w:id="191"/>
      <w:bookmarkEnd w:id="192"/>
      <w:bookmarkEnd w:id="193"/>
      <w:bookmarkEnd w:id="194"/>
    </w:p>
    <w:p>
      <w:pPr>
        <w:rPr>
          <w:szCs w:val="22"/>
        </w:rPr>
      </w:pPr>
    </w:p>
    <w:p>
      <w:pPr>
        <w:jc w:val="both"/>
      </w:pPr>
      <w:r>
        <w:rPr>
          <w:u w:val="single"/>
        </w:rPr>
        <w:t>3 axes principaux</w:t>
      </w:r>
      <w:r>
        <w:t xml:space="preserve"> doivent traverser toutes les situations d'enseignement :</w:t>
      </w:r>
    </w:p>
    <w:p>
      <w:pPr>
        <w:rPr>
          <w:sz w:val="16"/>
          <w:szCs w:val="16"/>
        </w:rPr>
      </w:pPr>
    </w:p>
    <w:p>
      <w:pPr>
        <w:numPr>
          <w:ilvl w:val="0"/>
          <w:numId w:val="6"/>
        </w:numPr>
        <w:tabs>
          <w:tab w:val="left" w:pos="720"/>
        </w:tabs>
        <w:spacing w:after="160"/>
        <w:ind w:left="713" w:hanging="357"/>
        <w:jc w:val="both"/>
        <w:rPr>
          <w:b/>
          <w:u w:val="single"/>
        </w:rPr>
      </w:pPr>
      <w:r>
        <w:rPr>
          <w:b/>
          <w:u w:val="single"/>
        </w:rPr>
        <w:t>La continuité des apprentissages</w:t>
      </w:r>
    </w:p>
    <w:p>
      <w:pPr>
        <w:pStyle w:val="Retraitcorpsdetexte"/>
        <w:tabs>
          <w:tab w:val="left" w:pos="720"/>
        </w:tabs>
        <w:ind w:left="719" w:hanging="360"/>
        <w:rPr>
          <w:spacing w:val="2"/>
          <w:sz w:val="16"/>
          <w:szCs w:val="16"/>
        </w:rPr>
      </w:pPr>
      <w:r>
        <w:tab/>
        <w:t xml:space="preserve">Les socles de compétences montrent à suffisance que celles-ci se construisent par paliers de maîtrise successifs, chacun intégrant les précédents pour développer les suivants. Accorder la primauté à la construction de compétences impose donc d'assurer la continuité des apprentissages au sein des classes et entre les différentes classes de l'établissement. </w:t>
      </w:r>
    </w:p>
    <w:p>
      <w:pPr>
        <w:pStyle w:val="Retraitcorpsdetexte"/>
        <w:tabs>
          <w:tab w:val="left" w:pos="720"/>
        </w:tabs>
        <w:ind w:left="719" w:hanging="360"/>
        <w:rPr>
          <w:spacing w:val="2"/>
        </w:rPr>
      </w:pPr>
      <w:r>
        <w:rPr>
          <w:spacing w:val="2"/>
          <w:sz w:val="16"/>
          <w:szCs w:val="16"/>
        </w:rPr>
        <w:tab/>
      </w:r>
      <w:r>
        <w:rPr>
          <w:spacing w:val="2"/>
        </w:rPr>
        <w:t>La concertation (</w:t>
      </w:r>
      <w:hyperlink r:id="rId30" w:history="1">
        <w:r>
          <w:rPr>
            <w:rStyle w:val="Lienhypertexte"/>
            <w:color w:val="auto"/>
            <w:spacing w:val="2"/>
          </w:rPr>
          <w:t>Décret-Cadre du 13/07/1998, articles 24-25</w:t>
        </w:r>
      </w:hyperlink>
      <w:r>
        <w:rPr>
          <w:spacing w:val="2"/>
        </w:rPr>
        <w:t>) peut être un outil à cet effet.</w:t>
      </w:r>
    </w:p>
    <w:p>
      <w:pPr>
        <w:tabs>
          <w:tab w:val="num" w:pos="330"/>
          <w:tab w:val="left" w:pos="720"/>
        </w:tabs>
        <w:ind w:left="719" w:hanging="360"/>
        <w:jc w:val="both"/>
        <w:rPr>
          <w:szCs w:val="22"/>
        </w:rPr>
      </w:pPr>
    </w:p>
    <w:p>
      <w:pPr>
        <w:numPr>
          <w:ilvl w:val="0"/>
          <w:numId w:val="6"/>
        </w:numPr>
        <w:tabs>
          <w:tab w:val="left" w:pos="720"/>
        </w:tabs>
        <w:spacing w:after="160"/>
        <w:ind w:left="713" w:hanging="357"/>
        <w:jc w:val="both"/>
        <w:rPr>
          <w:b/>
          <w:u w:val="single"/>
        </w:rPr>
      </w:pPr>
      <w:r>
        <w:rPr>
          <w:b/>
          <w:u w:val="single"/>
        </w:rPr>
        <w:t>La pédagogie différenciée</w:t>
      </w:r>
    </w:p>
    <w:p>
      <w:pPr>
        <w:pStyle w:val="Retraitcorpsdetexte"/>
        <w:tabs>
          <w:tab w:val="left" w:pos="720"/>
        </w:tabs>
        <w:ind w:left="719" w:hanging="360"/>
        <w:rPr>
          <w:spacing w:val="2"/>
        </w:rPr>
      </w:pPr>
      <w:r>
        <w:rPr>
          <w:spacing w:val="2"/>
        </w:rPr>
        <w:tab/>
        <w:t xml:space="preserve">Différencier, c'est considérer qu'il faut respecter le rythme de chacun en cherchant un équilibre entre la prise en compte des caractéristiques de l'apprenant et du groupe-classe, et la nécessité de les faire progresser. </w:t>
      </w:r>
    </w:p>
    <w:p>
      <w:pPr>
        <w:pStyle w:val="Retraitcorpsdetexte"/>
        <w:tabs>
          <w:tab w:val="left" w:pos="720"/>
        </w:tabs>
        <w:ind w:left="719" w:hanging="360"/>
        <w:rPr>
          <w:spacing w:val="2"/>
        </w:rPr>
      </w:pPr>
      <w:r>
        <w:rPr>
          <w:spacing w:val="2"/>
          <w:sz w:val="16"/>
          <w:szCs w:val="16"/>
        </w:rPr>
        <w:tab/>
      </w:r>
      <w:r>
        <w:rPr>
          <w:spacing w:val="2"/>
          <w:sz w:val="16"/>
          <w:szCs w:val="16"/>
        </w:rPr>
        <w:br/>
      </w:r>
      <w:r>
        <w:rPr>
          <w:spacing w:val="2"/>
        </w:rPr>
        <w:t>Il ne peut s'agir d'adapter le niveau d'exigence des études visé par les "Socles de compétences", qui constituent le niveau de maîtrise que tous les élèves doivent atteindre.</w:t>
      </w:r>
    </w:p>
    <w:p>
      <w:pPr>
        <w:tabs>
          <w:tab w:val="num" w:pos="330"/>
          <w:tab w:val="left" w:pos="720"/>
        </w:tabs>
        <w:ind w:left="719" w:hanging="360"/>
        <w:jc w:val="both"/>
        <w:rPr>
          <w:szCs w:val="22"/>
        </w:rPr>
      </w:pPr>
    </w:p>
    <w:p>
      <w:pPr>
        <w:numPr>
          <w:ilvl w:val="0"/>
          <w:numId w:val="6"/>
        </w:numPr>
        <w:tabs>
          <w:tab w:val="left" w:pos="720"/>
        </w:tabs>
        <w:spacing w:after="160"/>
        <w:ind w:left="713" w:hanging="357"/>
        <w:jc w:val="both"/>
        <w:rPr>
          <w:b/>
          <w:u w:val="single"/>
        </w:rPr>
      </w:pPr>
      <w:r>
        <w:rPr>
          <w:b/>
          <w:u w:val="single"/>
        </w:rPr>
        <w:t>L'évaluation formative</w:t>
      </w:r>
    </w:p>
    <w:p>
      <w:pPr>
        <w:pStyle w:val="Retraitcorpsdetexte"/>
        <w:tabs>
          <w:tab w:val="left" w:pos="720"/>
        </w:tabs>
        <w:ind w:left="719" w:hanging="360"/>
        <w:rPr>
          <w:spacing w:val="2"/>
        </w:rPr>
      </w:pPr>
      <w:r>
        <w:rPr>
          <w:spacing w:val="2"/>
        </w:rPr>
        <w:tab/>
        <w:t xml:space="preserve">L'évaluation fait partie intégrante du processus d'apprentissage. Elle a pour fonction de le réguler en amenant l'élève à prendre conscience lui-même de son avancement, de ses réussites et de la façon de les atteindre, des obstacles qu'il a encore à franchir et de la manière de surmonter les difficultés. </w:t>
      </w:r>
    </w:p>
    <w:p>
      <w:pPr>
        <w:pStyle w:val="Retraitcorpsdetexte"/>
        <w:tabs>
          <w:tab w:val="left" w:pos="720"/>
        </w:tabs>
        <w:ind w:left="719" w:hanging="360"/>
        <w:rPr>
          <w:spacing w:val="2"/>
        </w:rPr>
      </w:pPr>
      <w:r>
        <w:rPr>
          <w:spacing w:val="2"/>
          <w:sz w:val="16"/>
          <w:szCs w:val="16"/>
        </w:rPr>
        <w:br/>
      </w:r>
      <w:r>
        <w:rPr>
          <w:spacing w:val="2"/>
        </w:rPr>
        <w:t>Ainsi conçue, elle permet aux enseignants d'observer l'effet, sur chaque élève, des stratégies didactiques mises en place et, dès lors, de les ajuster. Cette forme d'évaluation sert évidemment les pratiques de différenciation.</w:t>
      </w:r>
    </w:p>
    <w:p>
      <w:pPr>
        <w:pStyle w:val="Retraitcorpsdetexte"/>
        <w:tabs>
          <w:tab w:val="left" w:pos="720"/>
        </w:tabs>
        <w:ind w:left="719" w:hanging="360"/>
        <w:rPr>
          <w:spacing w:val="2"/>
          <w:sz w:val="16"/>
          <w:szCs w:val="16"/>
        </w:rPr>
      </w:pPr>
    </w:p>
    <w:p>
      <w:pPr>
        <w:pStyle w:val="Retraitcorpsdetexte"/>
        <w:tabs>
          <w:tab w:val="left" w:pos="720"/>
        </w:tabs>
        <w:ind w:left="719" w:hanging="360"/>
        <w:rPr>
          <w:spacing w:val="2"/>
          <w:sz w:val="16"/>
          <w:szCs w:val="16"/>
        </w:rPr>
      </w:pPr>
    </w:p>
    <w:p>
      <w:pPr>
        <w:pStyle w:val="Titre3"/>
      </w:pPr>
      <w:bookmarkStart w:id="195" w:name="_1.2.2._L'organisation_en"/>
      <w:bookmarkStart w:id="196" w:name="_Toc295931947"/>
      <w:bookmarkStart w:id="197" w:name="_Toc295913703"/>
      <w:bookmarkStart w:id="198" w:name="_Toc423419956"/>
      <w:bookmarkStart w:id="199" w:name="_Toc450645163"/>
      <w:bookmarkStart w:id="200" w:name="_Toc453942399"/>
      <w:bookmarkStart w:id="201" w:name="_Toc454888016"/>
      <w:bookmarkStart w:id="202" w:name="_Toc486241680"/>
      <w:bookmarkEnd w:id="195"/>
      <w:r>
        <w:t>1.2.2. L'organisation en étapes et en cycles</w:t>
      </w:r>
      <w:bookmarkEnd w:id="196"/>
      <w:bookmarkEnd w:id="197"/>
      <w:bookmarkEnd w:id="198"/>
      <w:bookmarkEnd w:id="199"/>
      <w:bookmarkEnd w:id="200"/>
      <w:bookmarkEnd w:id="201"/>
      <w:bookmarkEnd w:id="202"/>
    </w:p>
    <w:p>
      <w:pPr>
        <w:jc w:val="both"/>
        <w:rPr>
          <w:sz w:val="16"/>
          <w:szCs w:val="16"/>
        </w:rPr>
      </w:pPr>
    </w:p>
    <w:p>
      <w:pPr>
        <w:pStyle w:val="Corpsdetexte2"/>
        <w:rPr>
          <w:spacing w:val="-4"/>
          <w:sz w:val="16"/>
          <w:szCs w:val="16"/>
        </w:rPr>
      </w:pPr>
      <w:r>
        <w:rPr>
          <w:spacing w:val="-4"/>
        </w:rPr>
        <w:t xml:space="preserve">L'organisation s'intègre dans un continuum pédagogique structuré en </w:t>
      </w:r>
      <w:r>
        <w:rPr>
          <w:b/>
          <w:bCs/>
          <w:spacing w:val="-4"/>
          <w:u w:val="single"/>
        </w:rPr>
        <w:t>3 étapes</w:t>
      </w:r>
      <w:r>
        <w:rPr>
          <w:spacing w:val="-4"/>
        </w:rPr>
        <w:t xml:space="preserve">, divisées en </w:t>
      </w:r>
      <w:r>
        <w:rPr>
          <w:b/>
          <w:bCs/>
          <w:spacing w:val="-4"/>
          <w:u w:val="single"/>
        </w:rPr>
        <w:t>cycles</w:t>
      </w:r>
      <w:r>
        <w:rPr>
          <w:spacing w:val="-4"/>
        </w:rPr>
        <w:t xml:space="preserve">. </w:t>
      </w:r>
      <w:r>
        <w:rPr>
          <w:spacing w:val="-4"/>
        </w:rPr>
        <w:br/>
      </w:r>
    </w:p>
    <w:p>
      <w:pPr>
        <w:pStyle w:val="Corpsdetexte2"/>
      </w:pPr>
      <w:r>
        <w:t>Ces termes évoquent un dispositif pédagogique regroupant plusieurs années d'études afin de permettre à chaque enfant :</w:t>
      </w:r>
    </w:p>
    <w:p>
      <w:pPr>
        <w:pStyle w:val="Corpsdetexte2"/>
        <w:rPr>
          <w:sz w:val="16"/>
          <w:szCs w:val="16"/>
        </w:rPr>
      </w:pPr>
    </w:p>
    <w:p>
      <w:pPr>
        <w:pStyle w:val="Corpsdetexte2"/>
        <w:numPr>
          <w:ilvl w:val="0"/>
          <w:numId w:val="81"/>
        </w:numPr>
        <w:tabs>
          <w:tab w:val="clear" w:pos="720"/>
          <w:tab w:val="num" w:pos="539"/>
        </w:tabs>
        <w:ind w:left="537" w:hanging="357"/>
      </w:pPr>
      <w:r>
        <w:t xml:space="preserve">de parcourir sa scolarité de manière continue, à son rythme et sans redoublement, </w:t>
      </w:r>
      <w:r>
        <w:rPr>
          <w:b/>
          <w:bCs/>
          <w:i/>
          <w:iCs/>
        </w:rPr>
        <w:t>de l'entrée en maternelle à la fin de la 2</w:t>
      </w:r>
      <w:r>
        <w:rPr>
          <w:b/>
          <w:bCs/>
          <w:i/>
          <w:iCs/>
          <w:vertAlign w:val="superscript"/>
        </w:rPr>
        <w:t>e</w:t>
      </w:r>
      <w:r>
        <w:rPr>
          <w:b/>
          <w:bCs/>
          <w:i/>
          <w:iCs/>
        </w:rPr>
        <w:t xml:space="preserve"> année primaire (Etape 1)</w:t>
      </w:r>
      <w:r>
        <w:t xml:space="preserve">, et de réaliser sur ces périodes les apprentissages indispensables en référence aux socles de compétences définissant le niveau requis des études (voir </w:t>
      </w:r>
      <w:hyperlink w:anchor="_1.1.3._Socles_de" w:history="1">
        <w:r>
          <w:rPr>
            <w:rStyle w:val="Lienhypertexte"/>
            <w:color w:val="auto"/>
          </w:rPr>
          <w:t>section 1.1.3.</w:t>
        </w:r>
      </w:hyperlink>
      <w:r>
        <w:t>).</w:t>
      </w:r>
    </w:p>
    <w:p>
      <w:pPr>
        <w:pStyle w:val="Corpsdetexte2"/>
        <w:numPr>
          <w:ilvl w:val="0"/>
          <w:numId w:val="81"/>
        </w:numPr>
        <w:tabs>
          <w:tab w:val="clear" w:pos="720"/>
          <w:tab w:val="num" w:pos="539"/>
        </w:tabs>
        <w:ind w:left="537" w:hanging="357"/>
        <w:rPr>
          <w:bCs/>
          <w:i/>
          <w:iCs/>
          <w:sz w:val="20"/>
        </w:rPr>
      </w:pPr>
      <w:r>
        <w:t xml:space="preserve">de parcourir sa scolarité de manière continue, à son rythme et sans redoublement, </w:t>
      </w:r>
      <w:r>
        <w:rPr>
          <w:b/>
          <w:bCs/>
          <w:i/>
          <w:iCs/>
        </w:rPr>
        <w:t>de la 3</w:t>
      </w:r>
      <w:r>
        <w:rPr>
          <w:b/>
          <w:bCs/>
          <w:i/>
          <w:iCs/>
          <w:vertAlign w:val="superscript"/>
        </w:rPr>
        <w:t>e</w:t>
      </w:r>
      <w:r>
        <w:rPr>
          <w:b/>
          <w:bCs/>
          <w:i/>
          <w:iCs/>
        </w:rPr>
        <w:t xml:space="preserve"> à la 6</w:t>
      </w:r>
      <w:r>
        <w:rPr>
          <w:b/>
          <w:bCs/>
          <w:i/>
          <w:iCs/>
          <w:vertAlign w:val="superscript"/>
        </w:rPr>
        <w:t>e</w:t>
      </w:r>
      <w:r>
        <w:rPr>
          <w:b/>
          <w:bCs/>
          <w:i/>
          <w:iCs/>
        </w:rPr>
        <w:t xml:space="preserve"> année primaire (Etape 2)</w:t>
      </w:r>
      <w:r>
        <w:t xml:space="preserve">, et de réaliser sur ces périodes les apprentissages indispensables en référence aux socles de compétences définissant le niveau requis des études (voir </w:t>
      </w:r>
      <w:hyperlink w:anchor="_1.1.3._Socles_de" w:history="1">
        <w:r>
          <w:rPr>
            <w:rStyle w:val="Lienhypertexte"/>
            <w:color w:val="auto"/>
          </w:rPr>
          <w:t>section 1.1.3.</w:t>
        </w:r>
      </w:hyperlink>
      <w:r>
        <w:t xml:space="preserve">). </w:t>
      </w:r>
    </w:p>
    <w:p>
      <w:pPr>
        <w:pStyle w:val="Corpsdetexte2"/>
        <w:rPr>
          <w:bCs/>
          <w:i/>
          <w:iCs/>
          <w:sz w:val="16"/>
          <w:szCs w:val="16"/>
        </w:rPr>
      </w:pPr>
    </w:p>
    <w:tbl>
      <w:tblPr>
        <w:tblW w:w="0" w:type="auto"/>
        <w:tblInd w:w="70" w:type="dxa"/>
        <w:tblBorders>
          <w:top w:val="single" w:sz="8" w:space="0" w:color="auto"/>
          <w:left w:val="single" w:sz="8" w:space="0" w:color="auto"/>
          <w:bottom w:val="single" w:sz="8" w:space="0" w:color="auto"/>
          <w:right w:val="single" w:sz="8" w:space="0" w:color="auto"/>
        </w:tblBorders>
        <w:tblLayout w:type="fixed"/>
        <w:tblCellMar>
          <w:left w:w="70" w:type="dxa"/>
          <w:right w:w="70" w:type="dxa"/>
        </w:tblCellMar>
        <w:tblLook w:val="01E0" w:firstRow="1" w:lastRow="1" w:firstColumn="1" w:lastColumn="1" w:noHBand="0" w:noVBand="0"/>
      </w:tblPr>
      <w:tblGrid>
        <w:gridCol w:w="990"/>
        <w:gridCol w:w="1430"/>
        <w:gridCol w:w="6652"/>
      </w:tblGrid>
      <w:tr>
        <w:trPr>
          <w:cantSplit/>
          <w:trHeight w:val="454"/>
        </w:trPr>
        <w:tc>
          <w:tcPr>
            <w:tcW w:w="990" w:type="dxa"/>
            <w:vMerge w:val="restart"/>
            <w:tcBorders>
              <w:top w:val="single" w:sz="12" w:space="0" w:color="auto"/>
              <w:left w:val="single" w:sz="12" w:space="0" w:color="auto"/>
              <w:bottom w:val="single" w:sz="12" w:space="0" w:color="auto"/>
              <w:right w:val="single" w:sz="12" w:space="0" w:color="auto"/>
            </w:tcBorders>
            <w:vAlign w:val="center"/>
          </w:tcPr>
          <w:p>
            <w:pPr>
              <w:ind w:right="-198"/>
              <w:rPr>
                <w:b/>
              </w:rPr>
            </w:pPr>
            <w:r>
              <w:rPr>
                <w:b/>
              </w:rPr>
              <w:t>Etape 1</w:t>
            </w:r>
          </w:p>
        </w:tc>
        <w:tc>
          <w:tcPr>
            <w:tcW w:w="1430" w:type="dxa"/>
            <w:tcBorders>
              <w:top w:val="single" w:sz="12" w:space="0" w:color="auto"/>
              <w:left w:val="single" w:sz="12" w:space="0" w:color="auto"/>
              <w:bottom w:val="single" w:sz="8" w:space="0" w:color="auto"/>
              <w:right w:val="single" w:sz="8" w:space="0" w:color="auto"/>
            </w:tcBorders>
            <w:vAlign w:val="center"/>
          </w:tcPr>
          <w:p>
            <w:pPr>
              <w:tabs>
                <w:tab w:val="num" w:pos="360"/>
              </w:tabs>
              <w:spacing w:before="40" w:after="40"/>
              <w:ind w:right="-108"/>
            </w:pPr>
            <w:r>
              <w:t>1</w:t>
            </w:r>
            <w:r>
              <w:rPr>
                <w:vertAlign w:val="superscript"/>
              </w:rPr>
              <w:t>er</w:t>
            </w:r>
            <w:r>
              <w:t xml:space="preserve"> cycle</w:t>
            </w:r>
          </w:p>
        </w:tc>
        <w:tc>
          <w:tcPr>
            <w:tcW w:w="6652" w:type="dxa"/>
            <w:tcBorders>
              <w:top w:val="single" w:sz="12" w:space="0" w:color="auto"/>
              <w:left w:val="single" w:sz="8" w:space="0" w:color="auto"/>
              <w:bottom w:val="single" w:sz="8" w:space="0" w:color="auto"/>
              <w:right w:val="single" w:sz="8" w:space="0" w:color="auto"/>
            </w:tcBorders>
            <w:vAlign w:val="center"/>
          </w:tcPr>
          <w:p>
            <w:pPr>
              <w:numPr>
                <w:ilvl w:val="0"/>
                <w:numId w:val="7"/>
              </w:numPr>
              <w:spacing w:before="40" w:after="40"/>
              <w:ind w:left="332" w:right="-108" w:hanging="220"/>
            </w:pPr>
            <w:r>
              <w:t>de l'entrée en maternelle à l'âge de 5 ans</w:t>
            </w:r>
          </w:p>
        </w:tc>
      </w:tr>
      <w:tr>
        <w:trPr>
          <w:cantSplit/>
          <w:trHeight w:val="454"/>
        </w:trPr>
        <w:tc>
          <w:tcPr>
            <w:tcW w:w="990" w:type="dxa"/>
            <w:vMerge/>
            <w:tcBorders>
              <w:top w:val="single" w:sz="12" w:space="0" w:color="auto"/>
              <w:left w:val="single" w:sz="12" w:space="0" w:color="auto"/>
              <w:bottom w:val="single" w:sz="12" w:space="0" w:color="auto"/>
              <w:right w:val="single" w:sz="12" w:space="0" w:color="auto"/>
            </w:tcBorders>
            <w:vAlign w:val="center"/>
          </w:tcPr>
          <w:p>
            <w:pPr>
              <w:spacing w:before="40" w:after="40"/>
              <w:ind w:right="-108"/>
              <w:rPr>
                <w:b/>
              </w:rPr>
            </w:pPr>
          </w:p>
        </w:tc>
        <w:tc>
          <w:tcPr>
            <w:tcW w:w="1430" w:type="dxa"/>
            <w:tcBorders>
              <w:top w:val="single" w:sz="8" w:space="0" w:color="auto"/>
              <w:left w:val="single" w:sz="12" w:space="0" w:color="auto"/>
              <w:bottom w:val="single" w:sz="12" w:space="0" w:color="auto"/>
              <w:right w:val="single" w:sz="8" w:space="0" w:color="auto"/>
            </w:tcBorders>
            <w:vAlign w:val="center"/>
          </w:tcPr>
          <w:p>
            <w:pPr>
              <w:spacing w:before="40" w:after="40"/>
              <w:ind w:right="-108"/>
            </w:pPr>
            <w:r>
              <w:t>2</w:t>
            </w:r>
            <w:r>
              <w:rPr>
                <w:vertAlign w:val="superscript"/>
              </w:rPr>
              <w:t>e</w:t>
            </w:r>
            <w:r>
              <w:t xml:space="preserve"> cycle</w:t>
            </w:r>
          </w:p>
        </w:tc>
        <w:tc>
          <w:tcPr>
            <w:tcW w:w="6652" w:type="dxa"/>
            <w:tcBorders>
              <w:top w:val="single" w:sz="8" w:space="0" w:color="auto"/>
              <w:left w:val="single" w:sz="8" w:space="0" w:color="auto"/>
              <w:bottom w:val="single" w:sz="12" w:space="0" w:color="auto"/>
              <w:right w:val="single" w:sz="8" w:space="0" w:color="auto"/>
            </w:tcBorders>
            <w:vAlign w:val="center"/>
          </w:tcPr>
          <w:p>
            <w:pPr>
              <w:numPr>
                <w:ilvl w:val="0"/>
                <w:numId w:val="7"/>
              </w:numPr>
              <w:spacing w:before="40" w:after="40"/>
              <w:ind w:left="332" w:right="-108" w:hanging="220"/>
            </w:pPr>
            <w:r>
              <w:t>de l'âge de 5 ans à la fin de la 2</w:t>
            </w:r>
            <w:r>
              <w:rPr>
                <w:vertAlign w:val="superscript"/>
              </w:rPr>
              <w:t>e</w:t>
            </w:r>
            <w:r>
              <w:t xml:space="preserve"> primaire</w:t>
            </w:r>
          </w:p>
        </w:tc>
      </w:tr>
      <w:tr>
        <w:trPr>
          <w:cantSplit/>
          <w:trHeight w:val="454"/>
        </w:trPr>
        <w:tc>
          <w:tcPr>
            <w:tcW w:w="990" w:type="dxa"/>
            <w:vMerge w:val="restart"/>
            <w:tcBorders>
              <w:top w:val="single" w:sz="12" w:space="0" w:color="auto"/>
              <w:left w:val="single" w:sz="12" w:space="0" w:color="auto"/>
              <w:bottom w:val="single" w:sz="12" w:space="0" w:color="auto"/>
              <w:right w:val="single" w:sz="12" w:space="0" w:color="auto"/>
            </w:tcBorders>
            <w:vAlign w:val="center"/>
          </w:tcPr>
          <w:p>
            <w:pPr>
              <w:spacing w:before="40" w:after="40"/>
              <w:ind w:right="-108"/>
              <w:rPr>
                <w:b/>
              </w:rPr>
            </w:pPr>
            <w:r>
              <w:rPr>
                <w:b/>
              </w:rPr>
              <w:t>Etape 2</w:t>
            </w:r>
          </w:p>
        </w:tc>
        <w:tc>
          <w:tcPr>
            <w:tcW w:w="1430" w:type="dxa"/>
            <w:tcBorders>
              <w:top w:val="single" w:sz="12" w:space="0" w:color="auto"/>
              <w:left w:val="single" w:sz="12" w:space="0" w:color="auto"/>
              <w:bottom w:val="single" w:sz="8" w:space="0" w:color="auto"/>
              <w:right w:val="single" w:sz="8" w:space="0" w:color="auto"/>
            </w:tcBorders>
            <w:vAlign w:val="center"/>
          </w:tcPr>
          <w:p>
            <w:pPr>
              <w:spacing w:before="40" w:after="40"/>
              <w:ind w:right="-108"/>
            </w:pPr>
            <w:r>
              <w:t>3</w:t>
            </w:r>
            <w:r>
              <w:rPr>
                <w:vertAlign w:val="superscript"/>
              </w:rPr>
              <w:t>e</w:t>
            </w:r>
            <w:r>
              <w:t xml:space="preserve"> cycle</w:t>
            </w:r>
          </w:p>
        </w:tc>
        <w:tc>
          <w:tcPr>
            <w:tcW w:w="6652" w:type="dxa"/>
            <w:tcBorders>
              <w:top w:val="single" w:sz="12" w:space="0" w:color="auto"/>
              <w:left w:val="single" w:sz="8" w:space="0" w:color="auto"/>
              <w:bottom w:val="single" w:sz="8" w:space="0" w:color="auto"/>
              <w:right w:val="single" w:sz="8" w:space="0" w:color="auto"/>
            </w:tcBorders>
            <w:vAlign w:val="center"/>
          </w:tcPr>
          <w:p>
            <w:pPr>
              <w:numPr>
                <w:ilvl w:val="0"/>
                <w:numId w:val="7"/>
              </w:numPr>
              <w:spacing w:before="40" w:after="40"/>
              <w:ind w:left="332" w:right="-108" w:hanging="220"/>
            </w:pPr>
            <w:r>
              <w:t>3</w:t>
            </w:r>
            <w:r>
              <w:rPr>
                <w:vertAlign w:val="superscript"/>
              </w:rPr>
              <w:t>e</w:t>
            </w:r>
            <w:r>
              <w:t xml:space="preserve"> et 4</w:t>
            </w:r>
            <w:r>
              <w:rPr>
                <w:vertAlign w:val="superscript"/>
              </w:rPr>
              <w:t>e</w:t>
            </w:r>
            <w:r>
              <w:t xml:space="preserve"> années primaires</w:t>
            </w:r>
          </w:p>
        </w:tc>
      </w:tr>
      <w:tr>
        <w:trPr>
          <w:cantSplit/>
          <w:trHeight w:val="454"/>
        </w:trPr>
        <w:tc>
          <w:tcPr>
            <w:tcW w:w="990" w:type="dxa"/>
            <w:vMerge/>
            <w:tcBorders>
              <w:top w:val="single" w:sz="12" w:space="0" w:color="auto"/>
              <w:left w:val="single" w:sz="12" w:space="0" w:color="auto"/>
              <w:bottom w:val="single" w:sz="12" w:space="0" w:color="auto"/>
              <w:right w:val="single" w:sz="12" w:space="0" w:color="auto"/>
            </w:tcBorders>
            <w:vAlign w:val="center"/>
          </w:tcPr>
          <w:p>
            <w:pPr>
              <w:spacing w:before="40" w:after="40"/>
              <w:ind w:right="-108"/>
              <w:rPr>
                <w:b/>
              </w:rPr>
            </w:pPr>
          </w:p>
        </w:tc>
        <w:tc>
          <w:tcPr>
            <w:tcW w:w="1430" w:type="dxa"/>
            <w:tcBorders>
              <w:top w:val="single" w:sz="8" w:space="0" w:color="auto"/>
              <w:left w:val="single" w:sz="12" w:space="0" w:color="auto"/>
              <w:bottom w:val="single" w:sz="12" w:space="0" w:color="auto"/>
              <w:right w:val="single" w:sz="8" w:space="0" w:color="auto"/>
            </w:tcBorders>
            <w:vAlign w:val="center"/>
          </w:tcPr>
          <w:p>
            <w:pPr>
              <w:tabs>
                <w:tab w:val="num" w:pos="855"/>
              </w:tabs>
              <w:spacing w:before="40" w:after="40"/>
              <w:ind w:right="-108"/>
            </w:pPr>
            <w:r>
              <w:t>4</w:t>
            </w:r>
            <w:r>
              <w:rPr>
                <w:vertAlign w:val="superscript"/>
              </w:rPr>
              <w:t>e</w:t>
            </w:r>
            <w:r>
              <w:t xml:space="preserve"> cycle</w:t>
            </w:r>
          </w:p>
        </w:tc>
        <w:tc>
          <w:tcPr>
            <w:tcW w:w="6652" w:type="dxa"/>
            <w:tcBorders>
              <w:top w:val="single" w:sz="8" w:space="0" w:color="auto"/>
              <w:left w:val="single" w:sz="8" w:space="0" w:color="auto"/>
              <w:bottom w:val="single" w:sz="12" w:space="0" w:color="auto"/>
              <w:right w:val="single" w:sz="8" w:space="0" w:color="auto"/>
            </w:tcBorders>
            <w:vAlign w:val="center"/>
          </w:tcPr>
          <w:p>
            <w:pPr>
              <w:numPr>
                <w:ilvl w:val="0"/>
                <w:numId w:val="7"/>
              </w:numPr>
              <w:spacing w:before="40" w:after="40"/>
              <w:ind w:left="332" w:right="-108" w:hanging="220"/>
            </w:pPr>
            <w:r>
              <w:t>5</w:t>
            </w:r>
            <w:r>
              <w:rPr>
                <w:vertAlign w:val="superscript"/>
              </w:rPr>
              <w:t>e</w:t>
            </w:r>
            <w:r>
              <w:t xml:space="preserve"> et 6</w:t>
            </w:r>
            <w:r>
              <w:rPr>
                <w:vertAlign w:val="superscript"/>
              </w:rPr>
              <w:t>e</w:t>
            </w:r>
            <w:r>
              <w:t xml:space="preserve"> années primaires</w:t>
            </w:r>
          </w:p>
        </w:tc>
      </w:tr>
      <w:tr>
        <w:trPr>
          <w:trHeight w:val="454"/>
        </w:trPr>
        <w:tc>
          <w:tcPr>
            <w:tcW w:w="990" w:type="dxa"/>
            <w:tcBorders>
              <w:top w:val="single" w:sz="12" w:space="0" w:color="auto"/>
              <w:left w:val="single" w:sz="12" w:space="0" w:color="auto"/>
              <w:bottom w:val="single" w:sz="12" w:space="0" w:color="auto"/>
              <w:right w:val="single" w:sz="12" w:space="0" w:color="auto"/>
            </w:tcBorders>
            <w:vAlign w:val="center"/>
          </w:tcPr>
          <w:p>
            <w:pPr>
              <w:spacing w:before="40" w:after="40"/>
              <w:ind w:right="-108"/>
              <w:rPr>
                <w:b/>
              </w:rPr>
            </w:pPr>
            <w:r>
              <w:rPr>
                <w:b/>
              </w:rPr>
              <w:t>Etape 3</w:t>
            </w:r>
          </w:p>
        </w:tc>
        <w:tc>
          <w:tcPr>
            <w:tcW w:w="1430" w:type="dxa"/>
            <w:tcBorders>
              <w:top w:val="single" w:sz="12" w:space="0" w:color="auto"/>
              <w:left w:val="single" w:sz="12" w:space="0" w:color="auto"/>
              <w:bottom w:val="single" w:sz="12" w:space="0" w:color="auto"/>
              <w:right w:val="single" w:sz="8" w:space="0" w:color="auto"/>
            </w:tcBorders>
            <w:vAlign w:val="center"/>
          </w:tcPr>
          <w:p>
            <w:pPr>
              <w:tabs>
                <w:tab w:val="num" w:pos="855"/>
              </w:tabs>
              <w:spacing w:before="40" w:after="40"/>
              <w:ind w:right="-108"/>
            </w:pPr>
            <w:r>
              <w:t>5</w:t>
            </w:r>
            <w:r>
              <w:rPr>
                <w:vertAlign w:val="superscript"/>
              </w:rPr>
              <w:t>e</w:t>
            </w:r>
            <w:r>
              <w:t xml:space="preserve"> cycle</w:t>
            </w:r>
          </w:p>
        </w:tc>
        <w:tc>
          <w:tcPr>
            <w:tcW w:w="6652" w:type="dxa"/>
            <w:tcBorders>
              <w:top w:val="single" w:sz="12" w:space="0" w:color="auto"/>
              <w:left w:val="single" w:sz="8" w:space="0" w:color="auto"/>
              <w:bottom w:val="single" w:sz="12" w:space="0" w:color="auto"/>
              <w:right w:val="single" w:sz="8" w:space="0" w:color="auto"/>
            </w:tcBorders>
            <w:vAlign w:val="center"/>
          </w:tcPr>
          <w:p>
            <w:pPr>
              <w:numPr>
                <w:ilvl w:val="0"/>
                <w:numId w:val="7"/>
              </w:numPr>
              <w:spacing w:before="40" w:after="40"/>
              <w:ind w:left="332" w:right="-108" w:hanging="220"/>
            </w:pPr>
            <w:r>
              <w:t>1</w:t>
            </w:r>
            <w:r>
              <w:rPr>
                <w:vertAlign w:val="superscript"/>
              </w:rPr>
              <w:t>ère</w:t>
            </w:r>
            <w:r>
              <w:t xml:space="preserve"> et 2</w:t>
            </w:r>
            <w:r>
              <w:rPr>
                <w:vertAlign w:val="superscript"/>
              </w:rPr>
              <w:t>e</w:t>
            </w:r>
            <w:r>
              <w:t xml:space="preserve"> années secondaires</w:t>
            </w:r>
          </w:p>
        </w:tc>
      </w:tr>
    </w:tbl>
    <w:p>
      <w:pPr>
        <w:pStyle w:val="Notedebasdepage"/>
        <w:jc w:val="both"/>
        <w:rPr>
          <w:sz w:val="22"/>
          <w:szCs w:val="22"/>
        </w:rPr>
      </w:pPr>
    </w:p>
    <w:p>
      <w:pPr>
        <w:pStyle w:val="Notedebasdepage"/>
        <w:jc w:val="both"/>
        <w:rPr>
          <w:sz w:val="22"/>
          <w:szCs w:val="22"/>
        </w:rPr>
      </w:pPr>
      <w:r>
        <w:rPr>
          <w:sz w:val="22"/>
          <w:szCs w:val="22"/>
        </w:rPr>
        <w:t xml:space="preserve">Il importe de ne pas confondre le concept de </w:t>
      </w:r>
      <w:r>
        <w:rPr>
          <w:b/>
          <w:bCs/>
          <w:sz w:val="22"/>
          <w:szCs w:val="22"/>
        </w:rPr>
        <w:t>cycle</w:t>
      </w:r>
      <w:r>
        <w:rPr>
          <w:sz w:val="22"/>
          <w:szCs w:val="22"/>
        </w:rPr>
        <w:t xml:space="preserve"> avec celui de </w:t>
      </w:r>
      <w:r>
        <w:rPr>
          <w:b/>
          <w:bCs/>
          <w:sz w:val="22"/>
          <w:szCs w:val="22"/>
        </w:rPr>
        <w:t>groupement d’élèves</w:t>
      </w:r>
      <w:r>
        <w:rPr>
          <w:sz w:val="22"/>
          <w:szCs w:val="22"/>
        </w:rPr>
        <w:t>.</w:t>
      </w:r>
    </w:p>
    <w:p>
      <w:pPr>
        <w:pStyle w:val="Notedebasdepage"/>
        <w:jc w:val="both"/>
        <w:rPr>
          <w:sz w:val="22"/>
          <w:szCs w:val="22"/>
        </w:rPr>
      </w:pPr>
    </w:p>
    <w:p>
      <w:pPr>
        <w:pStyle w:val="Notedebasdepage"/>
        <w:jc w:val="both"/>
        <w:rPr>
          <w:sz w:val="22"/>
          <w:szCs w:val="22"/>
        </w:rPr>
      </w:pPr>
      <w:r>
        <w:rPr>
          <w:sz w:val="22"/>
          <w:szCs w:val="22"/>
        </w:rPr>
        <w:t xml:space="preserve">Le </w:t>
      </w:r>
      <w:r>
        <w:rPr>
          <w:b/>
          <w:sz w:val="22"/>
          <w:szCs w:val="22"/>
          <w:u w:val="single"/>
        </w:rPr>
        <w:t>cycle</w:t>
      </w:r>
      <w:r>
        <w:rPr>
          <w:sz w:val="22"/>
          <w:szCs w:val="22"/>
        </w:rPr>
        <w:t>, imposé à l'ensemble des écoles, permet d’assurer la continuité des apprentissages et la pratique d’une pédagogie différenciée.</w:t>
      </w:r>
    </w:p>
    <w:p>
      <w:pPr>
        <w:pStyle w:val="Notedebasdepage"/>
        <w:jc w:val="both"/>
        <w:rPr>
          <w:sz w:val="22"/>
          <w:szCs w:val="22"/>
        </w:rPr>
      </w:pPr>
    </w:p>
    <w:p>
      <w:pPr>
        <w:pStyle w:val="Notedebasdepage"/>
        <w:jc w:val="both"/>
        <w:rPr>
          <w:sz w:val="22"/>
          <w:szCs w:val="22"/>
        </w:rPr>
      </w:pPr>
      <w:r>
        <w:rPr>
          <w:sz w:val="22"/>
          <w:szCs w:val="22"/>
        </w:rPr>
        <w:t xml:space="preserve">Les </w:t>
      </w:r>
      <w:r>
        <w:rPr>
          <w:b/>
          <w:sz w:val="22"/>
          <w:szCs w:val="22"/>
          <w:u w:val="single"/>
        </w:rPr>
        <w:t>groupements d'élèves</w:t>
      </w:r>
      <w:r>
        <w:rPr>
          <w:sz w:val="22"/>
          <w:szCs w:val="22"/>
        </w:rPr>
        <w:t xml:space="preserve"> sont propres à chaque école et relèvent de l’organisation structurelle que celle-ci met en place pour atteindre ces objectifs.</w:t>
      </w:r>
    </w:p>
    <w:p>
      <w:pPr>
        <w:pStyle w:val="Notedebasdepage"/>
        <w:rPr>
          <w:sz w:val="22"/>
          <w:szCs w:val="22"/>
        </w:rPr>
      </w:pPr>
    </w:p>
    <w:p>
      <w:pPr>
        <w:pStyle w:val="Corpsdetexte2"/>
        <w:rPr>
          <w:spacing w:val="-2"/>
          <w:szCs w:val="22"/>
        </w:rPr>
      </w:pPr>
      <w:r>
        <w:rPr>
          <w:spacing w:val="-2"/>
          <w:szCs w:val="22"/>
        </w:rPr>
        <w:t xml:space="preserve">Diverses modalités d'organisation peuvent être observées : </w:t>
      </w:r>
    </w:p>
    <w:p>
      <w:pPr>
        <w:pStyle w:val="Corpsdetexte2"/>
        <w:rPr>
          <w:spacing w:val="-2"/>
          <w:szCs w:val="22"/>
        </w:rPr>
      </w:pPr>
    </w:p>
    <w:p>
      <w:pPr>
        <w:pStyle w:val="Corpsdetexte2"/>
        <w:numPr>
          <w:ilvl w:val="0"/>
          <w:numId w:val="89"/>
        </w:numPr>
        <w:tabs>
          <w:tab w:val="clear" w:pos="2460"/>
          <w:tab w:val="num" w:pos="719"/>
        </w:tabs>
        <w:spacing w:after="80"/>
        <w:ind w:left="713" w:hanging="357"/>
        <w:rPr>
          <w:spacing w:val="-2"/>
          <w:szCs w:val="22"/>
        </w:rPr>
      </w:pPr>
      <w:r>
        <w:rPr>
          <w:spacing w:val="-2"/>
          <w:szCs w:val="22"/>
        </w:rPr>
        <w:t>enfants du même âge accompagnés par un titulaire pendant plus d'une année ;</w:t>
      </w:r>
    </w:p>
    <w:p>
      <w:pPr>
        <w:pStyle w:val="Corpsdetexte2"/>
        <w:numPr>
          <w:ilvl w:val="0"/>
          <w:numId w:val="89"/>
        </w:numPr>
        <w:tabs>
          <w:tab w:val="clear" w:pos="2460"/>
          <w:tab w:val="num" w:pos="719"/>
        </w:tabs>
        <w:spacing w:after="80"/>
        <w:ind w:left="713" w:hanging="357"/>
        <w:rPr>
          <w:spacing w:val="-2"/>
          <w:szCs w:val="22"/>
        </w:rPr>
      </w:pPr>
      <w:r>
        <w:rPr>
          <w:spacing w:val="-2"/>
          <w:szCs w:val="22"/>
        </w:rPr>
        <w:t xml:space="preserve">enfants d'âges différents </w:t>
      </w:r>
      <w:r>
        <w:rPr>
          <w:szCs w:val="22"/>
        </w:rPr>
        <w:t>pris en charge par un seul enseignant ou par plusieurs, ceux-ci encadrant le groupe simultanément ou alternativement ;</w:t>
      </w:r>
    </w:p>
    <w:p>
      <w:pPr>
        <w:pStyle w:val="Notedebasdepage"/>
        <w:numPr>
          <w:ilvl w:val="0"/>
          <w:numId w:val="89"/>
        </w:numPr>
        <w:tabs>
          <w:tab w:val="clear" w:pos="2460"/>
          <w:tab w:val="num" w:pos="719"/>
        </w:tabs>
        <w:spacing w:after="80"/>
        <w:ind w:left="713" w:hanging="357"/>
        <w:jc w:val="both"/>
        <w:rPr>
          <w:sz w:val="22"/>
          <w:szCs w:val="22"/>
        </w:rPr>
      </w:pPr>
      <w:r>
        <w:rPr>
          <w:sz w:val="22"/>
          <w:szCs w:val="22"/>
        </w:rPr>
        <w:t>enfants de même âge pris en charge chaque année par un titulaire différent, la continuité nécessitant dans ce cas une concertation étroite entre les enseignants concernés ;</w:t>
      </w:r>
    </w:p>
    <w:p>
      <w:pPr>
        <w:pStyle w:val="Notedebasdepage"/>
        <w:numPr>
          <w:ilvl w:val="0"/>
          <w:numId w:val="89"/>
        </w:numPr>
        <w:tabs>
          <w:tab w:val="clear" w:pos="2460"/>
          <w:tab w:val="num" w:pos="719"/>
        </w:tabs>
        <w:spacing w:before="6"/>
        <w:ind w:left="713" w:hanging="357"/>
        <w:jc w:val="both"/>
        <w:rPr>
          <w:sz w:val="22"/>
          <w:szCs w:val="22"/>
        </w:rPr>
      </w:pPr>
      <w:r>
        <w:rPr>
          <w:sz w:val="22"/>
          <w:szCs w:val="22"/>
        </w:rPr>
        <w:t>…</w:t>
      </w:r>
    </w:p>
    <w:p>
      <w:pPr>
        <w:pStyle w:val="Corpsdetexte2"/>
        <w:rPr>
          <w:spacing w:val="-2"/>
          <w:szCs w:val="22"/>
        </w:rPr>
      </w:pPr>
    </w:p>
    <w:p>
      <w:pPr>
        <w:pStyle w:val="Corpsdetexte2"/>
        <w:rPr>
          <w:szCs w:val="22"/>
        </w:rPr>
      </w:pPr>
      <w:r>
        <w:rPr>
          <w:szCs w:val="22"/>
        </w:rPr>
        <w:t>Une souplesse fonctionnelle est requise pour tenir compte des besoins des élèves dans une harmonie alliant les différentes structures: classes, cycles, établissement.</w:t>
      </w:r>
    </w:p>
    <w:p>
      <w:pPr>
        <w:pStyle w:val="Corpsdetexte2"/>
        <w:rPr>
          <w:szCs w:val="22"/>
        </w:rPr>
      </w:pPr>
    </w:p>
    <w:p>
      <w:pPr>
        <w:pStyle w:val="Corpsdetexte2"/>
        <w:rPr>
          <w:szCs w:val="22"/>
        </w:rPr>
      </w:pPr>
    </w:p>
    <w:p>
      <w:pPr>
        <w:pStyle w:val="Titre3"/>
        <w:rPr>
          <w:sz w:val="22"/>
          <w:szCs w:val="22"/>
        </w:rPr>
      </w:pPr>
      <w:bookmarkStart w:id="203" w:name="_1.2.3._L'année_complémentaire"/>
      <w:bookmarkStart w:id="204" w:name="_Toc295931948"/>
      <w:bookmarkStart w:id="205" w:name="_Toc295913704"/>
      <w:bookmarkStart w:id="206" w:name="_Toc423419957"/>
      <w:bookmarkStart w:id="207" w:name="_Toc450645164"/>
      <w:bookmarkStart w:id="208" w:name="_Toc453942400"/>
      <w:bookmarkStart w:id="209" w:name="_Toc454888017"/>
      <w:bookmarkStart w:id="210" w:name="_Toc486241681"/>
      <w:bookmarkEnd w:id="203"/>
      <w:r>
        <w:rPr>
          <w:sz w:val="22"/>
          <w:szCs w:val="22"/>
        </w:rPr>
        <w:t>1.2.3. L'année complémentaire</w:t>
      </w:r>
      <w:bookmarkEnd w:id="204"/>
      <w:bookmarkEnd w:id="205"/>
      <w:bookmarkEnd w:id="206"/>
      <w:bookmarkEnd w:id="207"/>
      <w:bookmarkEnd w:id="208"/>
      <w:bookmarkEnd w:id="209"/>
      <w:bookmarkEnd w:id="210"/>
    </w:p>
    <w:p>
      <w:pPr>
        <w:jc w:val="both"/>
        <w:rPr>
          <w:b/>
          <w:szCs w:val="22"/>
        </w:rPr>
      </w:pPr>
    </w:p>
    <w:p>
      <w:pPr>
        <w:jc w:val="both"/>
        <w:rPr>
          <w:szCs w:val="22"/>
        </w:rPr>
      </w:pPr>
      <w:r>
        <w:rPr>
          <w:szCs w:val="22"/>
        </w:rPr>
        <w:t>Pour certains élèves, un temps plus long que le parcours scolaire normal pourra s'avérer nécessaire pour acquérir les socles de compétences requis au terme de chacune des 2 premières étapes décrites ci-dessus (</w:t>
      </w:r>
      <w:hyperlink w:anchor="_1.2.2._L'organisation_en" w:history="1">
        <w:r>
          <w:rPr>
            <w:rStyle w:val="Lienhypertexte"/>
            <w:color w:val="auto"/>
            <w:szCs w:val="22"/>
          </w:rPr>
          <w:t>section 1.2.2.</w:t>
        </w:r>
      </w:hyperlink>
      <w:r>
        <w:rPr>
          <w:szCs w:val="22"/>
        </w:rPr>
        <w:t>).</w:t>
      </w:r>
    </w:p>
    <w:p>
      <w:pPr>
        <w:jc w:val="both"/>
        <w:rPr>
          <w:szCs w:val="22"/>
        </w:rPr>
      </w:pPr>
    </w:p>
    <w:p>
      <w:pPr>
        <w:jc w:val="both"/>
        <w:rPr>
          <w:szCs w:val="22"/>
        </w:rPr>
      </w:pPr>
      <w:r>
        <w:rPr>
          <w:szCs w:val="22"/>
        </w:rPr>
        <w:t>Afin de tenir compte des rythmes d’apprentissage propres à chaque enfant, les écoles ont la possibilité de faire bénéficier un élève d'</w:t>
      </w:r>
      <w:r>
        <w:rPr>
          <w:b/>
          <w:bCs/>
          <w:szCs w:val="22"/>
        </w:rPr>
        <w:t>une année complémentaire au maximum par étape</w:t>
      </w:r>
      <w:r>
        <w:rPr>
          <w:szCs w:val="22"/>
        </w:rPr>
        <w:t xml:space="preserve">. </w:t>
      </w:r>
    </w:p>
    <w:p>
      <w:pPr>
        <w:jc w:val="both"/>
        <w:rPr>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40"/>
        <w:gridCol w:w="8268"/>
      </w:tblGrid>
      <w:tr>
        <w:trPr>
          <w:cantSplit/>
          <w:trHeight w:val="454"/>
        </w:trPr>
        <w:tc>
          <w:tcPr>
            <w:tcW w:w="1440" w:type="dxa"/>
            <w:vMerge w:val="restart"/>
            <w:tcBorders>
              <w:top w:val="nil"/>
              <w:left w:val="nil"/>
              <w:bottom w:val="nil"/>
              <w:right w:val="nil"/>
            </w:tcBorders>
            <w:vAlign w:val="center"/>
          </w:tcPr>
          <w:p>
            <w:pPr>
              <w:ind w:left="-70"/>
              <w:jc w:val="both"/>
              <w:rPr>
                <w:szCs w:val="22"/>
              </w:rPr>
            </w:pPr>
            <w:r>
              <w:rPr>
                <w:szCs w:val="22"/>
              </w:rPr>
              <w:t>Cette mesure</w:t>
            </w:r>
          </w:p>
        </w:tc>
        <w:tc>
          <w:tcPr>
            <w:tcW w:w="8269" w:type="dxa"/>
            <w:tcBorders>
              <w:top w:val="nil"/>
              <w:left w:val="nil"/>
              <w:bottom w:val="nil"/>
              <w:right w:val="nil"/>
            </w:tcBorders>
            <w:vAlign w:val="center"/>
          </w:tcPr>
          <w:p>
            <w:pPr>
              <w:numPr>
                <w:ilvl w:val="0"/>
                <w:numId w:val="87"/>
              </w:numPr>
              <w:tabs>
                <w:tab w:val="clear" w:pos="2460"/>
                <w:tab w:val="num" w:pos="290"/>
              </w:tabs>
              <w:ind w:left="290" w:hanging="290"/>
              <w:jc w:val="both"/>
              <w:rPr>
                <w:szCs w:val="22"/>
              </w:rPr>
            </w:pPr>
            <w:r>
              <w:rPr>
                <w:szCs w:val="22"/>
              </w:rPr>
              <w:t>ne peut toutefois être qu'exceptionnelle ;</w:t>
            </w:r>
          </w:p>
        </w:tc>
      </w:tr>
      <w:tr>
        <w:trPr>
          <w:cantSplit/>
          <w:trHeight w:val="454"/>
        </w:trPr>
        <w:tc>
          <w:tcPr>
            <w:tcW w:w="1440" w:type="dxa"/>
            <w:vMerge/>
            <w:tcBorders>
              <w:top w:val="nil"/>
              <w:left w:val="nil"/>
              <w:bottom w:val="nil"/>
              <w:right w:val="nil"/>
            </w:tcBorders>
            <w:vAlign w:val="center"/>
          </w:tcPr>
          <w:p>
            <w:pPr>
              <w:jc w:val="both"/>
              <w:rPr>
                <w:szCs w:val="22"/>
              </w:rPr>
            </w:pPr>
          </w:p>
        </w:tc>
        <w:tc>
          <w:tcPr>
            <w:tcW w:w="8269" w:type="dxa"/>
            <w:tcBorders>
              <w:top w:val="nil"/>
              <w:left w:val="nil"/>
              <w:bottom w:val="nil"/>
              <w:right w:val="nil"/>
            </w:tcBorders>
            <w:vAlign w:val="center"/>
          </w:tcPr>
          <w:p>
            <w:pPr>
              <w:numPr>
                <w:ilvl w:val="0"/>
                <w:numId w:val="87"/>
              </w:numPr>
              <w:tabs>
                <w:tab w:val="clear" w:pos="2460"/>
                <w:tab w:val="num" w:pos="290"/>
              </w:tabs>
              <w:ind w:left="290" w:hanging="290"/>
              <w:jc w:val="both"/>
              <w:rPr>
                <w:szCs w:val="22"/>
              </w:rPr>
            </w:pPr>
            <w:r>
              <w:rPr>
                <w:szCs w:val="22"/>
              </w:rPr>
              <w:t>ne peut en aucun cas être confondue avec un redoublement ;</w:t>
            </w:r>
          </w:p>
        </w:tc>
      </w:tr>
      <w:tr>
        <w:trPr>
          <w:cantSplit/>
          <w:trHeight w:val="454"/>
        </w:trPr>
        <w:tc>
          <w:tcPr>
            <w:tcW w:w="1440" w:type="dxa"/>
            <w:vMerge/>
            <w:tcBorders>
              <w:top w:val="nil"/>
              <w:left w:val="nil"/>
              <w:bottom w:val="nil"/>
              <w:right w:val="nil"/>
            </w:tcBorders>
            <w:vAlign w:val="center"/>
          </w:tcPr>
          <w:p>
            <w:pPr>
              <w:ind w:left="2100"/>
              <w:jc w:val="both"/>
              <w:rPr>
                <w:szCs w:val="22"/>
              </w:rPr>
            </w:pPr>
          </w:p>
        </w:tc>
        <w:tc>
          <w:tcPr>
            <w:tcW w:w="8269" w:type="dxa"/>
            <w:tcBorders>
              <w:top w:val="nil"/>
              <w:left w:val="nil"/>
              <w:bottom w:val="nil"/>
              <w:right w:val="nil"/>
            </w:tcBorders>
            <w:vAlign w:val="center"/>
          </w:tcPr>
          <w:p>
            <w:pPr>
              <w:numPr>
                <w:ilvl w:val="0"/>
                <w:numId w:val="87"/>
              </w:numPr>
              <w:tabs>
                <w:tab w:val="clear" w:pos="2460"/>
                <w:tab w:val="num" w:pos="290"/>
              </w:tabs>
              <w:ind w:left="290" w:hanging="290"/>
              <w:jc w:val="both"/>
              <w:rPr>
                <w:szCs w:val="22"/>
              </w:rPr>
            </w:pPr>
            <w:r>
              <w:rPr>
                <w:szCs w:val="22"/>
              </w:rPr>
              <w:t>doit s’accompagner de la constitution d’un dossier pédagogique pour chaque élève concerné.</w:t>
            </w:r>
          </w:p>
        </w:tc>
      </w:tr>
    </w:tbl>
    <w:p>
      <w:pPr>
        <w:jc w:val="both"/>
        <w:rPr>
          <w:szCs w:val="22"/>
        </w:rPr>
      </w:pPr>
    </w:p>
    <w:p>
      <w:pPr>
        <w:pStyle w:val="Corpsdetexte2"/>
        <w:rPr>
          <w:szCs w:val="22"/>
        </w:rPr>
      </w:pPr>
      <w:r>
        <w:rPr>
          <w:szCs w:val="22"/>
        </w:rPr>
        <w:t xml:space="preserve">L'équipe éducative, </w:t>
      </w:r>
      <w:r>
        <w:rPr>
          <w:b/>
          <w:szCs w:val="22"/>
        </w:rPr>
        <w:t>en accord avec les parents</w:t>
      </w:r>
      <w:r>
        <w:rPr>
          <w:szCs w:val="22"/>
        </w:rPr>
        <w:t>, choisit le moment le plus opportun pour décider d'y recourir, en fonction de la situation particulière de l'enfant. La mise en place de l'année complémentaire ne doit donc pas nécessairement se situer en fin d'étape.</w:t>
      </w:r>
    </w:p>
    <w:p>
      <w:pPr>
        <w:pStyle w:val="Corpsdetexte2"/>
        <w:rPr>
          <w:szCs w:val="22"/>
        </w:rPr>
      </w:pPr>
    </w:p>
    <w:p>
      <w:pPr>
        <w:pStyle w:val="Corpsdetexte2"/>
        <w:rPr>
          <w:szCs w:val="22"/>
        </w:rPr>
      </w:pPr>
      <w:r>
        <w:rPr>
          <w:b/>
          <w:szCs w:val="22"/>
          <w:u w:val="single"/>
        </w:rPr>
        <w:t xml:space="preserve">En ce qui concerne la </w:t>
      </w:r>
      <w:r>
        <w:rPr>
          <w:b/>
          <w:bCs/>
          <w:szCs w:val="22"/>
          <w:u w:val="single"/>
        </w:rPr>
        <w:t>première étape</w:t>
      </w:r>
      <w:r>
        <w:rPr>
          <w:szCs w:val="22"/>
        </w:rPr>
        <w:t>, un élève peut bénéficier d'une année complémentaire :</w:t>
      </w:r>
    </w:p>
    <w:p>
      <w:pPr>
        <w:pStyle w:val="Corpsdetexte2"/>
        <w:rPr>
          <w:sz w:val="8"/>
        </w:rPr>
      </w:pPr>
    </w:p>
    <w:p>
      <w:pPr>
        <w:pStyle w:val="Corpsdetexte2"/>
        <w:ind w:left="539" w:hanging="180"/>
      </w:pPr>
      <w:r>
        <w:t>-</w:t>
      </w:r>
      <w:r>
        <w:tab/>
        <w:t>soit en maternelle; dans ce cas précis, il sera nécessaire d'obtenir une dérogation pour maintien en maternelle au cours de la 1</w:t>
      </w:r>
      <w:r>
        <w:rPr>
          <w:vertAlign w:val="superscript"/>
        </w:rPr>
        <w:t>ère</w:t>
      </w:r>
      <w:r>
        <w:t xml:space="preserve"> année de la scolarité obligatoire (voir à ce sujet la </w:t>
      </w:r>
      <w:hyperlink w:anchor="_2.2.1._Avancement_en" w:history="1">
        <w:r>
          <w:rPr>
            <w:rStyle w:val="Lienhypertexte"/>
            <w:color w:val="auto"/>
          </w:rPr>
          <w:t>section 2.3.1.</w:t>
        </w:r>
      </w:hyperlink>
      <w:r>
        <w:t xml:space="preserve"> concernant la possibilité de dérogation de maintien en 3</w:t>
      </w:r>
      <w:r>
        <w:rPr>
          <w:vertAlign w:val="superscript"/>
        </w:rPr>
        <w:t>e</w:t>
      </w:r>
      <w:r>
        <w:t xml:space="preserve"> maternelle) ; </w:t>
      </w:r>
    </w:p>
    <w:p>
      <w:pPr>
        <w:pStyle w:val="Corpsdetexte2"/>
        <w:numPr>
          <w:ilvl w:val="0"/>
          <w:numId w:val="86"/>
        </w:numPr>
        <w:tabs>
          <w:tab w:val="clear" w:pos="720"/>
          <w:tab w:val="num" w:pos="539"/>
        </w:tabs>
        <w:spacing w:before="80"/>
        <w:ind w:left="537" w:hanging="181"/>
      </w:pPr>
      <w:r>
        <w:t>soit au terme de la 1</w:t>
      </w:r>
      <w:r>
        <w:rPr>
          <w:vertAlign w:val="superscript"/>
        </w:rPr>
        <w:t>ère</w:t>
      </w:r>
      <w:r>
        <w:t xml:space="preserve"> ou de la 2</w:t>
      </w:r>
      <w:r>
        <w:rPr>
          <w:vertAlign w:val="superscript"/>
        </w:rPr>
        <w:t>ème</w:t>
      </w:r>
      <w:r>
        <w:t xml:space="preserve"> primaire.</w:t>
      </w:r>
    </w:p>
    <w:p>
      <w:pPr>
        <w:pStyle w:val="Corpsdetexte2"/>
      </w:pPr>
      <w:bookmarkStart w:id="211" w:name="Page_22"/>
      <w:bookmarkEnd w:id="211"/>
      <w:r>
        <w:t>Il n'est par contre pas possible de bénéficier de 2 années complémentaires au sein de l'étape. L'élève qui a été maintenu en maternelle la première année de sa scolarité obligatoire (ce qui revient à dire qu'il y a suivi une année complémentaire) ne pourra donc plus bénéficier d'une telle année au terme de la 1</w:t>
      </w:r>
      <w:r>
        <w:rPr>
          <w:vertAlign w:val="superscript"/>
        </w:rPr>
        <w:t>ère</w:t>
      </w:r>
      <w:r>
        <w:t xml:space="preserve"> ou de la 2</w:t>
      </w:r>
      <w:r>
        <w:rPr>
          <w:vertAlign w:val="superscript"/>
        </w:rPr>
        <w:t>ème</w:t>
      </w:r>
      <w:r>
        <w:t xml:space="preserve"> année primaire. </w:t>
      </w:r>
    </w:p>
    <w:p>
      <w:pPr>
        <w:pStyle w:val="Corpsdetexte2"/>
      </w:pPr>
    </w:p>
    <w:p>
      <w:pPr>
        <w:ind w:right="213"/>
        <w:jc w:val="both"/>
        <w:rPr>
          <w:rFonts w:cs="Arial"/>
          <w:snapToGrid w:val="0"/>
          <w:szCs w:val="22"/>
        </w:rPr>
      </w:pPr>
      <w:r>
        <w:rPr>
          <w:rFonts w:cs="Arial"/>
          <w:snapToGrid w:val="0"/>
          <w:szCs w:val="22"/>
        </w:rPr>
        <w:t>Le registre dans lequel l’élève en année complémentaire sera inscrit est celui de la classe dans laquelle il suivra le plus d'activités. Il sera noté, entre parenthèses, dans les renseignements d’ordre pédagogique, dans la ligne "Retard 1 an".</w:t>
      </w:r>
    </w:p>
    <w:p>
      <w:pPr>
        <w:pStyle w:val="Corpsdetexte2"/>
        <w:rPr>
          <w:u w:val="single"/>
        </w:rPr>
      </w:pPr>
    </w:p>
    <w:p>
      <w:pPr>
        <w:pStyle w:val="Corpsdetexte2"/>
      </w:pPr>
      <w:r>
        <w:rPr>
          <w:b/>
          <w:u w:val="single"/>
        </w:rPr>
        <w:t xml:space="preserve">En ce qui concerne la </w:t>
      </w:r>
      <w:r>
        <w:rPr>
          <w:b/>
          <w:bCs/>
          <w:u w:val="single"/>
        </w:rPr>
        <w:t>seconde étape</w:t>
      </w:r>
      <w:r>
        <w:rPr>
          <w:b/>
          <w:bCs/>
        </w:rPr>
        <w:t>,</w:t>
      </w:r>
      <w:r>
        <w:t xml:space="preserve"> l'élève ne peut également y bénéficier que d'une seule année complémentaire, mais celle-ci ne doit pas nécessairement se situer après la 6</w:t>
      </w:r>
      <w:r>
        <w:rPr>
          <w:vertAlign w:val="superscript"/>
        </w:rPr>
        <w:t>e</w:t>
      </w:r>
      <w:r>
        <w:t xml:space="preserve"> primaire.</w:t>
      </w:r>
    </w:p>
    <w:p>
      <w:pPr>
        <w:pStyle w:val="Corpsdetexte2"/>
        <w:rPr>
          <w:sz w:val="16"/>
          <w:szCs w:val="16"/>
        </w:rPr>
      </w:pPr>
    </w:p>
    <w:p>
      <w:pPr>
        <w:pStyle w:val="Corpsdetexte2"/>
      </w:pPr>
      <w:r>
        <w:t>Un élève qui a déjà bénéficié d'une année complémentaire lors de la première étape pourra éventuellement bénéficier d'une nouvelle année complémentaire lors de la seconde étape. Cette possibilité ne doit toutefois être envisagée que dans de très rares cas, dans le seul intérêt de l'enfant. Si la première année complémentaire se situait au terme de la 1</w:t>
      </w:r>
      <w:r>
        <w:rPr>
          <w:vertAlign w:val="superscript"/>
        </w:rPr>
        <w:t>ère</w:t>
      </w:r>
      <w:r>
        <w:t xml:space="preserve"> ou de la 2</w:t>
      </w:r>
      <w:r>
        <w:rPr>
          <w:vertAlign w:val="superscript"/>
        </w:rPr>
        <w:t>e</w:t>
      </w:r>
      <w:r>
        <w:t xml:space="preserve"> primaire, cela signifie que l'élève devra fréquenter l'enseignement primaire durant un total de 8 années. Une dérogation pour maintien en primaire durant 8 années (voir </w:t>
      </w:r>
      <w:hyperlink w:anchor="section2_3_3" w:history="1">
        <w:r>
          <w:rPr>
            <w:rStyle w:val="Lienhypertexte"/>
            <w:color w:val="auto"/>
          </w:rPr>
          <w:t>section 2.3.3.</w:t>
        </w:r>
      </w:hyperlink>
      <w:r>
        <w:t>) sera donc indispensable.</w:t>
      </w:r>
    </w:p>
    <w:p>
      <w:pPr>
        <w:pStyle w:val="Corpsdetexte2"/>
        <w:rPr>
          <w:sz w:val="16"/>
          <w:szCs w:val="16"/>
        </w:rPr>
      </w:pPr>
    </w:p>
    <w:p>
      <w:pPr>
        <w:jc w:val="both"/>
      </w:pPr>
      <w:r>
        <w:t>Le fait qu’un élève bénéficie d’une année complémentaire impose qu’il bénéficie d’un traitement pédagogique adapté. L'élève bénéficiant d'une année complémentaire ne doit dès lors pas faire l'objet d'un registre particulier : il est inscrit dans le registre de la classe où il suit le plus d'activités.</w:t>
      </w:r>
    </w:p>
    <w:p>
      <w:pPr>
        <w:jc w:val="both"/>
        <w:rPr>
          <w:sz w:val="16"/>
          <w:szCs w:val="16"/>
        </w:rPr>
      </w:pPr>
    </w:p>
    <w:p>
      <w:pPr>
        <w:pStyle w:val="Corpsdetexte"/>
        <w:rPr>
          <w:rFonts w:cs="Times New Roman"/>
          <w:spacing w:val="0"/>
        </w:rPr>
      </w:pPr>
      <w:r>
        <w:rPr>
          <w:rFonts w:cs="Times New Roman"/>
          <w:spacing w:val="0"/>
        </w:rPr>
        <w:t>Le projet d'établissement et/ou le règlement des études doit (doivent) mentionner les modalités d'organisation des années complémentaires.</w:t>
      </w:r>
    </w:p>
    <w:p>
      <w:pPr>
        <w:pStyle w:val="MonTitre1"/>
      </w:pPr>
      <w:bookmarkStart w:id="212" w:name="_Toc232818560"/>
      <w:bookmarkStart w:id="213" w:name="_Toc295931949"/>
      <w:bookmarkStart w:id="214" w:name="_Toc295913705"/>
      <w:bookmarkStart w:id="215" w:name="_Toc91294808"/>
      <w:r>
        <w:br w:type="page"/>
      </w:r>
      <w:bookmarkStart w:id="216" w:name="_Toc423419958"/>
      <w:bookmarkStart w:id="217" w:name="_Toc450645165"/>
      <w:bookmarkStart w:id="218" w:name="_Toc453942401"/>
      <w:bookmarkStart w:id="219" w:name="_Toc454888018"/>
      <w:bookmarkStart w:id="220" w:name="_Toc486241682"/>
      <w:r>
        <w:t xml:space="preserve">Titre 2. </w:t>
      </w:r>
      <w:r>
        <w:tab/>
        <w:t>Obligation scolaire, inscriptions et fréquentation</w:t>
      </w:r>
      <w:bookmarkEnd w:id="212"/>
      <w:bookmarkEnd w:id="213"/>
      <w:bookmarkEnd w:id="214"/>
      <w:bookmarkEnd w:id="216"/>
      <w:bookmarkEnd w:id="217"/>
      <w:bookmarkEnd w:id="218"/>
      <w:bookmarkEnd w:id="219"/>
      <w:bookmarkEnd w:id="220"/>
    </w:p>
    <w:p>
      <w:pPr>
        <w:rPr>
          <w:szCs w:val="22"/>
        </w:rPr>
      </w:pPr>
    </w:p>
    <w:p>
      <w:pPr>
        <w:pStyle w:val="Titre2"/>
      </w:pPr>
      <w:bookmarkStart w:id="221" w:name="_Toc232818561"/>
      <w:bookmarkStart w:id="222" w:name="_Toc295931950"/>
      <w:bookmarkStart w:id="223" w:name="_Toc295913706"/>
      <w:bookmarkStart w:id="224" w:name="_Toc423419959"/>
      <w:bookmarkStart w:id="225" w:name="_Toc450645166"/>
      <w:bookmarkStart w:id="226" w:name="_Toc453942402"/>
      <w:bookmarkStart w:id="227" w:name="_Toc454888019"/>
      <w:bookmarkStart w:id="228" w:name="_Toc486241683"/>
      <w:r>
        <w:t>Chapitre 2.1.</w:t>
      </w:r>
      <w:bookmarkEnd w:id="221"/>
      <w:r>
        <w:t xml:space="preserve"> Obligation scolaire</w:t>
      </w:r>
      <w:bookmarkEnd w:id="222"/>
      <w:bookmarkEnd w:id="223"/>
      <w:bookmarkEnd w:id="224"/>
      <w:bookmarkEnd w:id="225"/>
      <w:bookmarkEnd w:id="226"/>
      <w:bookmarkEnd w:id="227"/>
      <w:bookmarkEnd w:id="228"/>
    </w:p>
    <w:p>
      <w:pPr>
        <w:pStyle w:val="Corpsdetexte"/>
        <w:rPr>
          <w:spacing w:val="0"/>
          <w:szCs w:val="22"/>
        </w:rPr>
      </w:pPr>
    </w:p>
    <w:p>
      <w:pPr>
        <w:ind w:left="1619" w:hanging="1620"/>
        <w:rPr>
          <w:rStyle w:val="Lienhypertexte"/>
          <w:i/>
          <w:color w:val="auto"/>
          <w:spacing w:val="-4"/>
          <w:szCs w:val="22"/>
        </w:rPr>
      </w:pPr>
      <w:bookmarkStart w:id="229" w:name="_Toc101153546"/>
      <w:r>
        <w:rPr>
          <w:b/>
          <w:i/>
          <w:spacing w:val="-6"/>
          <w:u w:val="single"/>
        </w:rPr>
        <w:t>Bases légales</w:t>
      </w:r>
      <w:r>
        <w:rPr>
          <w:b/>
          <w:i/>
          <w:spacing w:val="-6"/>
        </w:rPr>
        <w:t>:</w:t>
      </w:r>
      <w:r>
        <w:rPr>
          <w:i/>
          <w:iCs/>
          <w:spacing w:val="-4"/>
        </w:rPr>
        <w:tab/>
      </w:r>
      <w:hyperlink r:id="rId31" w:history="1">
        <w:r>
          <w:rPr>
            <w:rStyle w:val="Lienhypertexte"/>
            <w:i/>
            <w:iCs/>
            <w:color w:val="auto"/>
            <w:spacing w:val="-4"/>
            <w:szCs w:val="22"/>
          </w:rPr>
          <w:t>Lois sur l’enseignement primaire coordonnées le 20/08/1957, articles 8 et 10</w:t>
        </w:r>
      </w:hyperlink>
      <w:r>
        <w:rPr>
          <w:i/>
          <w:iCs/>
          <w:spacing w:val="-4"/>
          <w:szCs w:val="22"/>
        </w:rPr>
        <w:t>;</w:t>
      </w:r>
      <w:r>
        <w:rPr>
          <w:i/>
          <w:iCs/>
          <w:spacing w:val="-4"/>
          <w:szCs w:val="22"/>
        </w:rPr>
        <w:br/>
      </w:r>
      <w:hyperlink r:id="rId32" w:history="1">
        <w:r>
          <w:rPr>
            <w:rStyle w:val="Lienhypertexte"/>
            <w:i/>
            <w:color w:val="auto"/>
            <w:spacing w:val="-4"/>
            <w:szCs w:val="22"/>
          </w:rPr>
          <w:t>Loi concernant l'obligation scolaire du 29/06/1983 articles 1 à 5</w:t>
        </w:r>
      </w:hyperlink>
      <w:r>
        <w:rPr>
          <w:i/>
          <w:spacing w:val="-4"/>
          <w:szCs w:val="22"/>
        </w:rPr>
        <w:t>;</w:t>
      </w:r>
      <w:r>
        <w:rPr>
          <w:i/>
          <w:spacing w:val="-4"/>
          <w:szCs w:val="22"/>
        </w:rPr>
        <w:br/>
      </w:r>
      <w:hyperlink r:id="rId33" w:history="1">
        <w:r>
          <w:rPr>
            <w:rStyle w:val="Lienhypertexte"/>
            <w:i/>
            <w:color w:val="auto"/>
            <w:spacing w:val="-4"/>
            <w:szCs w:val="22"/>
          </w:rPr>
          <w:t>Constitution de la Belgique coordonnée le 17/02/1994, article 24 § 3</w:t>
        </w:r>
      </w:hyperlink>
      <w:r>
        <w:rPr>
          <w:i/>
          <w:spacing w:val="-4"/>
          <w:szCs w:val="22"/>
        </w:rPr>
        <w:t xml:space="preserve">; </w:t>
      </w:r>
      <w:r>
        <w:rPr>
          <w:i/>
          <w:spacing w:val="-4"/>
          <w:szCs w:val="22"/>
        </w:rPr>
        <w:br/>
      </w:r>
      <w:r>
        <w:rPr>
          <w:i/>
          <w:spacing w:val="-4"/>
          <w:szCs w:val="22"/>
        </w:rPr>
        <w:fldChar w:fldCharType="begin"/>
      </w:r>
      <w:r>
        <w:rPr>
          <w:i/>
          <w:spacing w:val="-4"/>
          <w:szCs w:val="22"/>
        </w:rPr>
        <w:instrText>HYPERLINK "http://www.gallilex.cfwb.be/fr/leg_res_01.php?ncda=33036&amp;referant=l01"</w:instrText>
      </w:r>
      <w:r>
        <w:rPr>
          <w:i/>
          <w:spacing w:val="-4"/>
          <w:szCs w:val="22"/>
        </w:rPr>
        <w:fldChar w:fldCharType="separate"/>
      </w:r>
      <w:r>
        <w:rPr>
          <w:rStyle w:val="Lienhypertexte"/>
          <w:i/>
          <w:color w:val="auto"/>
          <w:spacing w:val="-4"/>
          <w:szCs w:val="22"/>
        </w:rPr>
        <w:t xml:space="preserve">Décret du 25/04/2008 fixant les conditions pour pouvoir satisfaire à l’obligation  </w:t>
      </w:r>
    </w:p>
    <w:p>
      <w:pPr>
        <w:ind w:left="1619" w:hanging="1620"/>
        <w:rPr>
          <w:i/>
          <w:spacing w:val="-12"/>
          <w:szCs w:val="22"/>
        </w:rPr>
      </w:pPr>
      <w:r>
        <w:rPr>
          <w:rStyle w:val="Lienhypertexte"/>
          <w:color w:val="auto"/>
          <w:spacing w:val="-6"/>
          <w:u w:val="none"/>
        </w:rPr>
        <w:tab/>
      </w:r>
      <w:r>
        <w:rPr>
          <w:rStyle w:val="Lienhypertexte"/>
          <w:i/>
          <w:color w:val="auto"/>
          <w:spacing w:val="-4"/>
          <w:szCs w:val="22"/>
        </w:rPr>
        <w:t>scolaire en dehors de l’enseignement organisé ou subventionné par la CF</w:t>
      </w:r>
      <w:r>
        <w:rPr>
          <w:i/>
          <w:spacing w:val="-4"/>
          <w:szCs w:val="22"/>
        </w:rPr>
        <w:fldChar w:fldCharType="end"/>
      </w:r>
      <w:r>
        <w:rPr>
          <w:i/>
          <w:spacing w:val="-4"/>
          <w:szCs w:val="22"/>
        </w:rPr>
        <w:t>;</w:t>
      </w:r>
      <w:r>
        <w:rPr>
          <w:i/>
          <w:spacing w:val="-4"/>
          <w:szCs w:val="22"/>
        </w:rPr>
        <w:br/>
      </w:r>
      <w:hyperlink r:id="rId34" w:history="1">
        <w:r>
          <w:rPr>
            <w:rStyle w:val="Lienhypertexte"/>
            <w:i/>
            <w:color w:val="auto"/>
            <w:spacing w:val="-4"/>
            <w:szCs w:val="22"/>
          </w:rPr>
          <w:t xml:space="preserve">Décret du 18/12/1984 organisant l'enseignement à distance </w:t>
        </w:r>
      </w:hyperlink>
      <w:r>
        <w:rPr>
          <w:i/>
          <w:spacing w:val="-4"/>
          <w:szCs w:val="22"/>
        </w:rPr>
        <w:t>;</w:t>
      </w:r>
      <w:r>
        <w:rPr>
          <w:i/>
          <w:spacing w:val="-4"/>
          <w:szCs w:val="22"/>
        </w:rPr>
        <w:tab/>
      </w:r>
      <w:r>
        <w:rPr>
          <w:i/>
          <w:spacing w:val="-4"/>
          <w:szCs w:val="22"/>
        </w:rPr>
        <w:br/>
      </w:r>
      <w:hyperlink r:id="rId35" w:history="1">
        <w:r>
          <w:rPr>
            <w:rStyle w:val="Lienhypertexte"/>
            <w:i/>
            <w:color w:val="auto"/>
            <w:spacing w:val="-4"/>
            <w:szCs w:val="22"/>
          </w:rPr>
          <w:t>Décret du 3/03/2004 organisant l’enseignement spécialisé, chapitre X</w:t>
        </w:r>
      </w:hyperlink>
      <w:r>
        <w:rPr>
          <w:i/>
          <w:spacing w:val="-4"/>
          <w:szCs w:val="22"/>
        </w:rPr>
        <w:t>;</w:t>
      </w:r>
      <w:r>
        <w:rPr>
          <w:i/>
          <w:spacing w:val="-4"/>
          <w:szCs w:val="22"/>
        </w:rPr>
        <w:br/>
      </w:r>
      <w:hyperlink r:id="rId36" w:history="1">
        <w:r>
          <w:rPr>
            <w:rStyle w:val="Lienhypertexte"/>
            <w:i/>
            <w:spacing w:val="-12"/>
            <w:szCs w:val="22"/>
          </w:rPr>
          <w:t>Décret du 15/12/2006 renforçant le dispositif des services d’accrochage scolaire et portant diverses mesures en matière de règles de vie collective au sein des établissements scolaires</w:t>
        </w:r>
      </w:hyperlink>
      <w:r>
        <w:rPr>
          <w:rStyle w:val="Lienhypertexte"/>
          <w:i/>
          <w:color w:val="auto"/>
          <w:spacing w:val="-12"/>
          <w:szCs w:val="22"/>
          <w:u w:val="none"/>
        </w:rPr>
        <w:t> ;</w:t>
      </w:r>
      <w:r>
        <w:rPr>
          <w:i/>
          <w:szCs w:val="22"/>
        </w:rPr>
        <w:br/>
      </w:r>
      <w:hyperlink r:id="rId37" w:history="1">
        <w:r>
          <w:rPr>
            <w:rStyle w:val="Lienhypertexte"/>
            <w:i/>
            <w:color w:val="auto"/>
            <w:spacing w:val="-12"/>
            <w:szCs w:val="22"/>
          </w:rPr>
          <w:t>Arrêté du Gouvernement de la Communauté française du 01/02/2017 fixant les modalités de la scolarisation à temps partiel visée au paragraphe 4bis, 4° de l’article 1</w:t>
        </w:r>
        <w:r>
          <w:rPr>
            <w:rStyle w:val="Lienhypertexte"/>
            <w:i/>
            <w:color w:val="auto"/>
            <w:spacing w:val="-12"/>
            <w:szCs w:val="22"/>
            <w:vertAlign w:val="superscript"/>
          </w:rPr>
          <w:t>er</w:t>
        </w:r>
        <w:r>
          <w:rPr>
            <w:rStyle w:val="Lienhypertexte"/>
            <w:i/>
            <w:color w:val="auto"/>
            <w:spacing w:val="-12"/>
            <w:szCs w:val="22"/>
          </w:rPr>
          <w:t xml:space="preserve"> de la loi du 29 juin 1983 concernant l’obligation scolaire</w:t>
        </w:r>
      </w:hyperlink>
      <w:r>
        <w:rPr>
          <w:i/>
          <w:spacing w:val="-12"/>
          <w:szCs w:val="22"/>
        </w:rPr>
        <w:t>.</w:t>
      </w:r>
    </w:p>
    <w:p>
      <w:pPr>
        <w:ind w:left="1619" w:hanging="1620"/>
        <w:rPr>
          <w:i/>
          <w:spacing w:val="-12"/>
          <w:szCs w:val="22"/>
        </w:rPr>
      </w:pPr>
    </w:p>
    <w:p>
      <w:pPr>
        <w:ind w:left="1619" w:hanging="1620"/>
        <w:rPr>
          <w:i/>
          <w:spacing w:val="-12"/>
          <w:szCs w:val="22"/>
        </w:rPr>
      </w:pPr>
    </w:p>
    <w:p>
      <w:pPr>
        <w:pStyle w:val="Titre3"/>
      </w:pPr>
      <w:bookmarkStart w:id="230" w:name="Section2_1_1"/>
      <w:bookmarkStart w:id="231" w:name="_Toc232818563"/>
      <w:bookmarkStart w:id="232" w:name="_Toc295931951"/>
      <w:bookmarkStart w:id="233" w:name="_Toc295913707"/>
      <w:bookmarkStart w:id="234" w:name="_Toc423419960"/>
      <w:bookmarkStart w:id="235" w:name="_Toc450645167"/>
      <w:bookmarkStart w:id="236" w:name="_Toc453942403"/>
      <w:bookmarkStart w:id="237" w:name="_Toc454888020"/>
      <w:bookmarkStart w:id="238" w:name="_Toc486241684"/>
      <w:r>
        <w:t>2.1.1</w:t>
      </w:r>
      <w:bookmarkEnd w:id="230"/>
      <w:r>
        <w:t>. Durée de l’obligation scolaire</w:t>
      </w:r>
      <w:bookmarkEnd w:id="229"/>
      <w:bookmarkEnd w:id="231"/>
      <w:bookmarkEnd w:id="232"/>
      <w:bookmarkEnd w:id="233"/>
      <w:bookmarkEnd w:id="234"/>
      <w:bookmarkEnd w:id="235"/>
      <w:bookmarkEnd w:id="236"/>
      <w:bookmarkEnd w:id="237"/>
      <w:bookmarkEnd w:id="238"/>
    </w:p>
    <w:p>
      <w:pPr>
        <w:pStyle w:val="Corpsdetexte2"/>
        <w:rPr>
          <w:sz w:val="16"/>
          <w:szCs w:val="16"/>
        </w:rPr>
      </w:pPr>
    </w:p>
    <w:p>
      <w:pPr>
        <w:pStyle w:val="Corpsdetexte2"/>
      </w:pPr>
      <w:r>
        <w:t>La période d'obligation scolaire s'étend sur 12 années et s’adresse uniquement aux mineurs d’âge. Elle commence avec l'année scolaire qui prend cours dans l'année civile durant laquelle l’enfant atteint l'âge de 6 ans et se termine à la fin de l’année scolaire, dans l’année civile au cours de laquelle il atteint l’âge de 18 ans.</w:t>
      </w:r>
    </w:p>
    <w:p>
      <w:pPr>
        <w:pStyle w:val="Corpsdetexte2"/>
        <w:rPr>
          <w:spacing w:val="-4"/>
          <w:sz w:val="12"/>
          <w:szCs w:val="12"/>
        </w:rPr>
      </w:pPr>
    </w:p>
    <w:p>
      <w:pPr>
        <w:pStyle w:val="Corpsdetexte2"/>
        <w:rPr>
          <w:szCs w:val="22"/>
        </w:rPr>
      </w:pPr>
      <w:r>
        <w:t xml:space="preserve">Pour répondre à l’obligation scolaire, les parents, la personne investie de l’autorité parentale ou la personne qui assume la garde de fait de l’enfant doit tout d’abord veiller à ce que l’enfant dont il a </w:t>
      </w:r>
      <w:r>
        <w:rPr>
          <w:szCs w:val="22"/>
        </w:rPr>
        <w:t xml:space="preserve">la responsabilité soit régulièrement inscrit dans l’une des </w:t>
      </w:r>
      <w:r>
        <w:rPr>
          <w:szCs w:val="22"/>
          <w:u w:val="single"/>
        </w:rPr>
        <w:t>4 filières suivantes</w:t>
      </w:r>
      <w:r>
        <w:rPr>
          <w:szCs w:val="22"/>
        </w:rPr>
        <w:t> :</w:t>
      </w:r>
    </w:p>
    <w:p>
      <w:pPr>
        <w:pStyle w:val="Corpsdetexte2"/>
        <w:rPr>
          <w:spacing w:val="-2"/>
          <w:sz w:val="8"/>
          <w:szCs w:val="8"/>
        </w:rPr>
      </w:pPr>
      <w:r>
        <w:rPr>
          <w:spacing w:val="-2"/>
          <w:sz w:val="8"/>
          <w:szCs w:val="8"/>
        </w:rPr>
        <w:t xml:space="preserve"> </w:t>
      </w:r>
    </w:p>
    <w:p>
      <w:pPr>
        <w:pStyle w:val="Corpsdetexte2"/>
        <w:numPr>
          <w:ilvl w:val="0"/>
          <w:numId w:val="103"/>
        </w:numPr>
        <w:ind w:left="719"/>
        <w:rPr>
          <w:spacing w:val="-4"/>
        </w:rPr>
      </w:pPr>
      <w:r>
        <w:rPr>
          <w:spacing w:val="-4"/>
          <w:szCs w:val="22"/>
        </w:rPr>
        <w:t xml:space="preserve">un établissement scolaire organisé ou subventionné par </w:t>
      </w:r>
      <w:smartTag w:uri="urn:schemas-microsoft-com:office:smarttags" w:element="PersonName">
        <w:smartTagPr>
          <w:attr w:name="ProductID" w:val="la F￩d￩ration Wallonie-Bruxelles"/>
        </w:smartTagPr>
        <w:r>
          <w:rPr>
            <w:spacing w:val="-4"/>
            <w:szCs w:val="22"/>
          </w:rPr>
          <w:t>la Fédération Wallonie-Bruxelles</w:t>
        </w:r>
      </w:smartTag>
      <w:r>
        <w:rPr>
          <w:spacing w:val="-4"/>
        </w:rPr>
        <w:t xml:space="preserve"> ou l’une des deux autres Communautés et fréquenter celui-ci régulièrement et assidûment;</w:t>
      </w:r>
    </w:p>
    <w:p>
      <w:pPr>
        <w:pStyle w:val="Corpsdetexte2"/>
        <w:numPr>
          <w:ilvl w:val="0"/>
          <w:numId w:val="103"/>
        </w:numPr>
        <w:ind w:left="719"/>
      </w:pPr>
      <w:r>
        <w:t xml:space="preserve">un établissement scolaire dont la fréquentation soit : </w:t>
      </w:r>
    </w:p>
    <w:p>
      <w:pPr>
        <w:pStyle w:val="Corpsdetexte2"/>
        <w:numPr>
          <w:ilvl w:val="1"/>
          <w:numId w:val="103"/>
        </w:numPr>
        <w:tabs>
          <w:tab w:val="clear" w:pos="1440"/>
          <w:tab w:val="num" w:pos="1079"/>
        </w:tabs>
        <w:ind w:left="1079"/>
      </w:pPr>
      <w:r>
        <w:t>peut mener à l’obtention d’un titre étranger qui bénéficie d’une décision d’équivalence par voie de disposition générale ;</w:t>
      </w:r>
    </w:p>
    <w:p>
      <w:pPr>
        <w:pStyle w:val="Corpsdetexte2"/>
        <w:numPr>
          <w:ilvl w:val="1"/>
          <w:numId w:val="103"/>
        </w:numPr>
        <w:tabs>
          <w:tab w:val="clear" w:pos="1440"/>
          <w:tab w:val="num" w:pos="1079"/>
        </w:tabs>
        <w:ind w:left="1079"/>
      </w:pPr>
      <w:r>
        <w:t xml:space="preserve">peut mener à l’obtention d’un titre étranger et dont l’enseignement est reconnu par le Gouvernement de </w:t>
      </w:r>
      <w:smartTag w:uri="urn:schemas-microsoft-com:office:smarttags" w:element="PersonName">
        <w:smartTagPr>
          <w:attr w:name="ProductID" w:val="la F￩d￩ration Wallonie-Bruxelles"/>
        </w:smartTagPr>
        <w:r>
          <w:t>la Fédération Wallonie-Bruxelles</w:t>
        </w:r>
      </w:smartTag>
      <w:r>
        <w:t xml:space="preserve"> comme satisfaisant à l’obligation scolaire ; </w:t>
      </w:r>
    </w:p>
    <w:p>
      <w:pPr>
        <w:pStyle w:val="Corpsdetexte2"/>
        <w:numPr>
          <w:ilvl w:val="0"/>
          <w:numId w:val="103"/>
        </w:numPr>
        <w:ind w:left="719"/>
      </w:pPr>
      <w:r>
        <w:t>l’enseignement à domicile ;</w:t>
      </w:r>
    </w:p>
    <w:p>
      <w:pPr>
        <w:pStyle w:val="Corpsdetexte2"/>
        <w:numPr>
          <w:ilvl w:val="0"/>
          <w:numId w:val="103"/>
        </w:numPr>
        <w:ind w:left="719"/>
      </w:pPr>
      <w:r>
        <w:t>une institution répondant aux exigences de l’obligation scolaire (ex. : service d’accrochage scolaire).</w:t>
      </w:r>
    </w:p>
    <w:p>
      <w:pPr>
        <w:pStyle w:val="Corpsdetexte2"/>
        <w:ind w:left="899" w:hanging="360"/>
        <w:rPr>
          <w:sz w:val="8"/>
          <w:szCs w:val="8"/>
        </w:rPr>
      </w:pPr>
    </w:p>
    <w:p>
      <w:pPr>
        <w:pStyle w:val="Corpsdetexte2"/>
      </w:pPr>
      <w:r>
        <w:t xml:space="preserve">A la demande des responsables légaux, un enfant souffrant d’un handicap ou d’une maladie ne permettant pas sa scolarisation peut également bénéficier d’une dispense à l’obligation scolaire pour une période déterminée après analyse de la situation par une Commission consultative de l’Enseignement spécialisé. </w:t>
      </w:r>
    </w:p>
    <w:p>
      <w:pPr>
        <w:pStyle w:val="Corpsdetexte2"/>
        <w:rPr>
          <w:spacing w:val="-2"/>
          <w:sz w:val="12"/>
          <w:szCs w:val="12"/>
        </w:rPr>
      </w:pPr>
    </w:p>
    <w:p>
      <w:pPr>
        <w:pStyle w:val="Corpsdetexte2"/>
        <w:rPr>
          <w:spacing w:val="-4"/>
          <w:szCs w:val="22"/>
        </w:rPr>
      </w:pPr>
      <w:r>
        <w:rPr>
          <w:spacing w:val="-4"/>
        </w:rPr>
        <w:t>En outre, le Ministre peut, selon les modalités fixées par le Gouvernement</w:t>
      </w:r>
      <w:r>
        <w:rPr>
          <w:rStyle w:val="Appelnotedebasdep"/>
          <w:spacing w:val="-4"/>
        </w:rPr>
        <w:footnoteReference w:id="3"/>
      </w:r>
      <w:r>
        <w:rPr>
          <w:spacing w:val="-4"/>
        </w:rPr>
        <w:t>, autoriser un mineur à fréquenter à temps partiel une structure subventionnée et agréée par l’AVIQ (anciennement AWIPH), par la Commission Communautaire française (COCOF) ou par l’INAMI. La prise en charge de l’élève par ce type de structure ne peut être supérieure à 4 demi-jours par semaine</w:t>
      </w:r>
      <w:r>
        <w:rPr>
          <w:spacing w:val="-4"/>
          <w:vertAlign w:val="superscript"/>
        </w:rPr>
        <w:footnoteReference w:id="4"/>
      </w:r>
      <w:r>
        <w:rPr>
          <w:spacing w:val="-4"/>
        </w:rPr>
        <w:t>. Pour chaque élève concerné, le projet de scolarisation à temps partiel fera l’objet d’une convention (</w:t>
      </w:r>
      <w:hyperlink w:anchor="Annexe_211" w:history="1">
        <w:r>
          <w:rPr>
            <w:rStyle w:val="Lienhypertexte"/>
            <w:spacing w:val="-4"/>
          </w:rPr>
          <w:t>annexe 2.1.1.</w:t>
        </w:r>
      </w:hyperlink>
      <w:r>
        <w:rPr>
          <w:spacing w:val="-4"/>
        </w:rPr>
        <w:t>) entre l’établissement d’enseignement ordinaire, la structure subventionnée ou agréée par l’AVIQ, par la Commission Communautaire française ou par l’INAMI, le Centre PMS et les parents ou la personne exerçant l’autorité parentale.</w:t>
      </w:r>
    </w:p>
    <w:p>
      <w:pPr>
        <w:pStyle w:val="Corpsdetexte2"/>
        <w:rPr>
          <w:spacing w:val="-4"/>
          <w:szCs w:val="22"/>
        </w:rPr>
      </w:pPr>
    </w:p>
    <w:p>
      <w:pPr>
        <w:pStyle w:val="Corpsdetexte2"/>
        <w:rPr>
          <w:spacing w:val="-4"/>
          <w:szCs w:val="22"/>
        </w:rPr>
      </w:pPr>
      <w:r>
        <w:rPr>
          <w:spacing w:val="-4"/>
          <w:szCs w:val="22"/>
        </w:rPr>
        <w:t>L’</w:t>
      </w:r>
      <w:hyperlink w:anchor="Annexe_211" w:history="1">
        <w:r>
          <w:rPr>
            <w:rStyle w:val="Lienhypertexte"/>
            <w:color w:val="auto"/>
            <w:spacing w:val="-4"/>
            <w:szCs w:val="22"/>
          </w:rPr>
          <w:t>annexe 2.1.1.</w:t>
        </w:r>
      </w:hyperlink>
      <w:r>
        <w:rPr>
          <w:spacing w:val="-4"/>
          <w:szCs w:val="22"/>
        </w:rPr>
        <w:t xml:space="preserve"> est établie en 4 exemplaires destinés respectivement :</w:t>
      </w:r>
    </w:p>
    <w:p>
      <w:pPr>
        <w:pStyle w:val="Corpsdetexte2"/>
        <w:numPr>
          <w:ilvl w:val="0"/>
          <w:numId w:val="86"/>
        </w:numPr>
        <w:rPr>
          <w:spacing w:val="-4"/>
          <w:szCs w:val="22"/>
        </w:rPr>
      </w:pPr>
      <w:r>
        <w:rPr>
          <w:spacing w:val="-4"/>
          <w:szCs w:val="22"/>
        </w:rPr>
        <w:t>au chef d’établissement où l’élève est inscrit ;</w:t>
      </w:r>
    </w:p>
    <w:p>
      <w:pPr>
        <w:pStyle w:val="Corpsdetexte2"/>
        <w:numPr>
          <w:ilvl w:val="0"/>
          <w:numId w:val="86"/>
        </w:numPr>
        <w:rPr>
          <w:spacing w:val="-4"/>
          <w:szCs w:val="22"/>
        </w:rPr>
      </w:pPr>
      <w:r>
        <w:rPr>
          <w:spacing w:val="-4"/>
          <w:szCs w:val="22"/>
        </w:rPr>
        <w:t>à la structure subventionnée et agréée par l’AVIQ, par la COCOF ou par l’INAMI ;</w:t>
      </w:r>
    </w:p>
    <w:p>
      <w:pPr>
        <w:pStyle w:val="Corpsdetexte2"/>
        <w:numPr>
          <w:ilvl w:val="0"/>
          <w:numId w:val="86"/>
        </w:numPr>
        <w:rPr>
          <w:spacing w:val="-4"/>
          <w:szCs w:val="22"/>
        </w:rPr>
      </w:pPr>
      <w:r>
        <w:rPr>
          <w:spacing w:val="-4"/>
          <w:szCs w:val="22"/>
        </w:rPr>
        <w:t>à la direction du Centre PMS ;</w:t>
      </w:r>
    </w:p>
    <w:p>
      <w:pPr>
        <w:pStyle w:val="Corpsdetexte2"/>
        <w:numPr>
          <w:ilvl w:val="0"/>
          <w:numId w:val="86"/>
        </w:numPr>
        <w:rPr>
          <w:spacing w:val="-4"/>
          <w:szCs w:val="22"/>
        </w:rPr>
      </w:pPr>
      <w:r>
        <w:rPr>
          <w:spacing w:val="-4"/>
          <w:szCs w:val="22"/>
        </w:rPr>
        <w:t>aux parents ou à la personne exerçant l’autorité parentale.</w:t>
      </w:r>
    </w:p>
    <w:p>
      <w:pPr>
        <w:pStyle w:val="Corpsdetexte2"/>
        <w:rPr>
          <w:spacing w:val="-4"/>
          <w:szCs w:val="22"/>
        </w:rPr>
      </w:pPr>
    </w:p>
    <w:p>
      <w:pPr>
        <w:pStyle w:val="Corpsdetexte2"/>
        <w:rPr>
          <w:spacing w:val="-4"/>
          <w:szCs w:val="22"/>
        </w:rPr>
      </w:pPr>
      <w:r>
        <w:rPr>
          <w:spacing w:val="-4"/>
          <w:szCs w:val="22"/>
        </w:rPr>
        <w:t>L’</w:t>
      </w:r>
      <w:hyperlink w:anchor="Annexe_211" w:history="1">
        <w:r>
          <w:rPr>
            <w:rStyle w:val="Lienhypertexte"/>
            <w:color w:val="auto"/>
            <w:spacing w:val="-4"/>
            <w:szCs w:val="22"/>
          </w:rPr>
          <w:t>annexe 2.1.1.</w:t>
        </w:r>
      </w:hyperlink>
      <w:r>
        <w:rPr>
          <w:spacing w:val="-4"/>
          <w:szCs w:val="22"/>
        </w:rPr>
        <w:t xml:space="preserve"> doit figurer dans le dossier de l’élève et être tenue à disposition du Service de la Vérification de la Population scolaire.</w:t>
      </w:r>
    </w:p>
    <w:p>
      <w:pPr>
        <w:pStyle w:val="Corpsdetexte2"/>
        <w:rPr>
          <w:spacing w:val="-2"/>
          <w:sz w:val="12"/>
          <w:szCs w:val="12"/>
        </w:rPr>
      </w:pPr>
    </w:p>
    <w:p>
      <w:pPr>
        <w:pStyle w:val="Corpsdetexte2"/>
        <w:rPr>
          <w:spacing w:val="-4"/>
        </w:rPr>
      </w:pPr>
      <w:r>
        <w:rPr>
          <w:spacing w:val="-4"/>
        </w:rPr>
        <w:t xml:space="preserve">Le responsable légal dont l’enfant réside à l’étranger, tout en restant domicilié en Belgique, transmettra au Service du Contrôle de l’Obligation scolaire une preuve écrite de cette situation (c’est-à-dire un document émanant d’une instance officielle comme un Consulat, une Administration communale, etc.). </w:t>
      </w:r>
    </w:p>
    <w:p>
      <w:pPr>
        <w:pStyle w:val="Corpsdetexte2"/>
        <w:rPr>
          <w:spacing w:val="-2"/>
          <w:szCs w:val="22"/>
        </w:rPr>
      </w:pPr>
    </w:p>
    <w:p>
      <w:pPr>
        <w:pStyle w:val="Corpsdetexte2"/>
        <w:rPr>
          <w:spacing w:val="-2"/>
          <w:szCs w:val="22"/>
        </w:rPr>
      </w:pPr>
      <w:r>
        <w:rPr>
          <w:spacing w:val="-2"/>
          <w:szCs w:val="22"/>
          <w:u w:val="single"/>
        </w:rPr>
        <w:t>Remarque :</w:t>
      </w:r>
      <w:r>
        <w:rPr>
          <w:spacing w:val="-2"/>
          <w:szCs w:val="22"/>
        </w:rPr>
        <w:t xml:space="preserve"> </w:t>
      </w:r>
      <w:r>
        <w:t>l’élève avancé en 1</w:t>
      </w:r>
      <w:r>
        <w:rPr>
          <w:vertAlign w:val="superscript"/>
        </w:rPr>
        <w:t>ère</w:t>
      </w:r>
      <w:r>
        <w:t xml:space="preserve"> primaire est considéré comme étant en âge d’obligation scolaire.</w:t>
      </w:r>
    </w:p>
    <w:p>
      <w:pPr>
        <w:pStyle w:val="Corpsdetexte2"/>
        <w:rPr>
          <w:spacing w:val="-2"/>
          <w:szCs w:val="22"/>
        </w:rPr>
      </w:pPr>
    </w:p>
    <w:p>
      <w:pPr>
        <w:pStyle w:val="Titre3"/>
      </w:pPr>
      <w:bookmarkStart w:id="239" w:name="_2.1.1.2._Responsabilité_parentale"/>
      <w:bookmarkStart w:id="240" w:name="_2.1.2._Responsabilité_parentale"/>
      <w:bookmarkStart w:id="241" w:name="_Toc101153547"/>
      <w:bookmarkStart w:id="242" w:name="_Toc232818564"/>
      <w:bookmarkStart w:id="243" w:name="_Toc295931952"/>
      <w:bookmarkStart w:id="244" w:name="_Toc295913708"/>
      <w:bookmarkStart w:id="245" w:name="_Toc423419961"/>
      <w:bookmarkStart w:id="246" w:name="_Toc450645168"/>
      <w:bookmarkStart w:id="247" w:name="_Toc453942404"/>
      <w:bookmarkStart w:id="248" w:name="_Toc454888021"/>
      <w:bookmarkStart w:id="249" w:name="_Toc486241685"/>
      <w:bookmarkEnd w:id="239"/>
      <w:bookmarkEnd w:id="240"/>
      <w:r>
        <w:t>2.1.2. Responsabilité parentale en matière d'obligation scolaire</w:t>
      </w:r>
      <w:bookmarkEnd w:id="241"/>
      <w:bookmarkEnd w:id="242"/>
      <w:bookmarkEnd w:id="243"/>
      <w:bookmarkEnd w:id="244"/>
      <w:bookmarkEnd w:id="245"/>
      <w:bookmarkEnd w:id="246"/>
      <w:bookmarkEnd w:id="247"/>
      <w:bookmarkEnd w:id="248"/>
      <w:bookmarkEnd w:id="249"/>
    </w:p>
    <w:p>
      <w:pPr>
        <w:pStyle w:val="Corpsdetexte2"/>
        <w:rPr>
          <w:sz w:val="8"/>
          <w:szCs w:val="8"/>
          <w:lang w:val="fr-BE"/>
        </w:rPr>
      </w:pPr>
    </w:p>
    <w:p>
      <w:pPr>
        <w:pStyle w:val="Corpsdetexte2"/>
        <w:rPr>
          <w:lang w:val="fr-BE"/>
        </w:rPr>
      </w:pPr>
      <w:r>
        <w:rPr>
          <w:lang w:val="fr-BE"/>
        </w:rPr>
        <w:t>Le respect de l’obligation scolaire incombe aux parents, à la personne investie de l’autorité parentale ou qui assume la garde en fait du mineur. La scolarité obligatoire comporte dans le chef de ces personnes une double obligation :</w:t>
      </w:r>
    </w:p>
    <w:p>
      <w:pPr>
        <w:pStyle w:val="Corpsdetexte2"/>
        <w:rPr>
          <w:sz w:val="8"/>
          <w:szCs w:val="8"/>
          <w:lang w:val="fr-BE"/>
        </w:rPr>
      </w:pPr>
    </w:p>
    <w:p>
      <w:pPr>
        <w:pStyle w:val="Corpsdetexte2"/>
        <w:ind w:left="719" w:hanging="360"/>
        <w:rPr>
          <w:lang w:val="fr-BE"/>
        </w:rPr>
      </w:pPr>
      <w:r>
        <w:rPr>
          <w:lang w:val="fr-BE"/>
        </w:rPr>
        <w:t>•</w:t>
      </w:r>
      <w:r>
        <w:rPr>
          <w:lang w:val="fr-BE"/>
        </w:rPr>
        <w:tab/>
        <w:t xml:space="preserve">veiller à ce que le mineur se trouve dans l’une des 4 situations répondant à l‘obligation scolaire présentées ci-dessus ; </w:t>
      </w:r>
    </w:p>
    <w:p>
      <w:pPr>
        <w:pStyle w:val="Corpsdetexte2"/>
        <w:ind w:left="719" w:hanging="360"/>
        <w:rPr>
          <w:spacing w:val="-2"/>
          <w:lang w:val="fr-BE"/>
        </w:rPr>
      </w:pPr>
      <w:r>
        <w:rPr>
          <w:lang w:val="fr-BE"/>
        </w:rPr>
        <w:t>•</w:t>
      </w:r>
      <w:r>
        <w:rPr>
          <w:lang w:val="fr-BE"/>
        </w:rPr>
        <w:tab/>
      </w:r>
      <w:r>
        <w:rPr>
          <w:spacing w:val="-2"/>
          <w:lang w:val="fr-BE"/>
        </w:rPr>
        <w:t>veiller, dans le cas où le mineur est inscrit dans un établissement scolaire, à ce qu’il fréquente régulièrement et assidûment cet établissement.</w:t>
      </w:r>
    </w:p>
    <w:p>
      <w:pPr>
        <w:pStyle w:val="Corpsdetexte2"/>
        <w:ind w:left="719" w:hanging="360"/>
        <w:rPr>
          <w:sz w:val="8"/>
          <w:szCs w:val="8"/>
          <w:lang w:val="fr-BE"/>
        </w:rPr>
      </w:pPr>
    </w:p>
    <w:p>
      <w:pPr>
        <w:pStyle w:val="Corpsdetexte2"/>
        <w:rPr>
          <w:sz w:val="20"/>
        </w:rPr>
      </w:pPr>
      <w:r>
        <w:rPr>
          <w:lang w:val="fr-BE"/>
        </w:rPr>
        <w:t>Le Ministère public peut saisir le Tribunal de police ainsi que le Tribunal de la jeunesse, en cas d’infractions à la loi relative à l’obligation scolaire commises par les parents, la personne investie de l’autorité parentale, ou le gardien de fait. C</w:t>
      </w:r>
      <w:r>
        <w:t>es infractions sont punissables d’une amende pour chaque mineur en infraction. En cas de récidive, les amendes peuvent être doublées ou une peine d’emprisonnement d’un jour à un mois peut être prononcée.</w:t>
      </w:r>
    </w:p>
    <w:p>
      <w:pPr>
        <w:pStyle w:val="Corpsdetexte2"/>
        <w:rPr>
          <w:sz w:val="8"/>
          <w:szCs w:val="8"/>
        </w:rPr>
      </w:pPr>
    </w:p>
    <w:p>
      <w:pPr>
        <w:pStyle w:val="Corpsdetexte2"/>
        <w:rPr>
          <w:spacing w:val="-4"/>
        </w:rPr>
      </w:pPr>
      <w:r>
        <w:rPr>
          <w:spacing w:val="-4"/>
        </w:rPr>
        <w:t>Le Tribunal de la jeunesse peut ordonner des mesures à l'égard des parents</w:t>
      </w:r>
      <w:r>
        <w:rPr>
          <w:spacing w:val="-4"/>
          <w:lang w:val="fr-BE"/>
        </w:rPr>
        <w:t xml:space="preserve"> ou de la personne investie de l’autorité parentale</w:t>
      </w:r>
      <w:r>
        <w:rPr>
          <w:spacing w:val="-4"/>
        </w:rPr>
        <w:t>, prévues par la loi du 08/04/1965 relative à la protection de la jeunesse.</w:t>
      </w:r>
    </w:p>
    <w:p>
      <w:pPr>
        <w:pStyle w:val="Corpsdetexte2"/>
        <w:rPr>
          <w:spacing w:val="-4"/>
          <w:sz w:val="2"/>
          <w:szCs w:val="2"/>
        </w:rPr>
      </w:pPr>
    </w:p>
    <w:p>
      <w:pPr>
        <w:pStyle w:val="Corpsdetexte2"/>
        <w:rPr>
          <w:spacing w:val="-4"/>
          <w:sz w:val="16"/>
          <w:szCs w:val="16"/>
        </w:rPr>
      </w:pPr>
    </w:p>
    <w:p>
      <w:pPr>
        <w:pStyle w:val="Titre3"/>
      </w:pPr>
      <w:bookmarkStart w:id="250" w:name="Section2_1_3"/>
      <w:bookmarkStart w:id="251" w:name="_Toc232818565"/>
      <w:bookmarkStart w:id="252" w:name="_Toc295931953"/>
      <w:bookmarkStart w:id="253" w:name="_Toc295913709"/>
      <w:bookmarkStart w:id="254" w:name="_Toc423419962"/>
      <w:bookmarkStart w:id="255" w:name="_Toc450645169"/>
      <w:bookmarkStart w:id="256" w:name="_Toc453942405"/>
      <w:bookmarkStart w:id="257" w:name="_Toc454888022"/>
      <w:bookmarkStart w:id="258" w:name="_Toc486241686"/>
      <w:r>
        <w:t xml:space="preserve">2.1.3. </w:t>
      </w:r>
      <w:bookmarkEnd w:id="250"/>
      <w:r>
        <w:t>Enseignement à domicile</w:t>
      </w:r>
      <w:bookmarkEnd w:id="251"/>
      <w:bookmarkEnd w:id="252"/>
      <w:bookmarkEnd w:id="253"/>
      <w:bookmarkEnd w:id="254"/>
      <w:bookmarkEnd w:id="255"/>
      <w:bookmarkEnd w:id="256"/>
      <w:bookmarkEnd w:id="257"/>
      <w:bookmarkEnd w:id="258"/>
    </w:p>
    <w:p>
      <w:pPr>
        <w:pStyle w:val="Corpsdetexte2"/>
        <w:rPr>
          <w:spacing w:val="-5"/>
          <w:sz w:val="8"/>
          <w:szCs w:val="8"/>
          <w:lang w:val="fr-BE"/>
        </w:rPr>
      </w:pPr>
    </w:p>
    <w:p>
      <w:pPr>
        <w:pStyle w:val="Corpsdetexte2"/>
        <w:rPr>
          <w:spacing w:val="-5"/>
          <w:lang w:val="fr-BE"/>
        </w:rPr>
      </w:pPr>
    </w:p>
    <w:p>
      <w:pPr>
        <w:pStyle w:val="Corpsdetexte2"/>
        <w:rPr>
          <w:spacing w:val="-5"/>
          <w:lang w:val="fr-BE"/>
        </w:rPr>
      </w:pPr>
      <w:r>
        <w:rPr>
          <w:spacing w:val="-5"/>
          <w:lang w:val="fr-BE"/>
        </w:rPr>
        <w:t xml:space="preserve">Il ne faut pas confondre </w:t>
      </w:r>
      <w:r>
        <w:rPr>
          <w:spacing w:val="-5"/>
          <w:u w:val="single"/>
          <w:lang w:val="fr-BE"/>
        </w:rPr>
        <w:t>enseignement à domicile</w:t>
      </w:r>
      <w:r>
        <w:rPr>
          <w:spacing w:val="-5"/>
          <w:lang w:val="fr-BE"/>
        </w:rPr>
        <w:t xml:space="preserve"> avec </w:t>
      </w:r>
      <w:r>
        <w:rPr>
          <w:spacing w:val="-5"/>
          <w:u w:val="single"/>
          <w:lang w:val="fr-BE"/>
        </w:rPr>
        <w:t>enseignement à distance</w:t>
      </w:r>
      <w:r>
        <w:rPr>
          <w:rStyle w:val="Appelnotedebasdep"/>
          <w:spacing w:val="-5"/>
          <w:lang w:val="fr-BE"/>
        </w:rPr>
        <w:footnoteReference w:id="5"/>
      </w:r>
      <w:r>
        <w:rPr>
          <w:spacing w:val="-5"/>
          <w:lang w:val="fr-BE"/>
        </w:rPr>
        <w:t xml:space="preserve">. Seul l’enseignement à domicile permet de répondre à l’obligation scolaire. </w:t>
      </w:r>
    </w:p>
    <w:p>
      <w:pPr>
        <w:pStyle w:val="Corpsdetexte2"/>
        <w:rPr>
          <w:sz w:val="8"/>
          <w:szCs w:val="8"/>
          <w:lang w:val="fr-BE"/>
        </w:rPr>
      </w:pPr>
    </w:p>
    <w:p>
      <w:pPr>
        <w:pStyle w:val="Corpsdetexte2"/>
        <w:rPr>
          <w:lang w:val="fr-BE"/>
        </w:rPr>
      </w:pPr>
      <w:r>
        <w:rPr>
          <w:lang w:val="fr-BE"/>
        </w:rPr>
        <w:t>Dans ce cas, les parents ou les personnes responsables</w:t>
      </w:r>
      <w:r>
        <w:rPr>
          <w:color w:val="00B050"/>
          <w:lang w:val="fr-BE"/>
        </w:rPr>
        <w:t xml:space="preserve"> </w:t>
      </w:r>
      <w:r>
        <w:rPr>
          <w:lang w:val="fr-BE"/>
        </w:rPr>
        <w:t xml:space="preserve">de l'enfant envoient directement </w:t>
      </w:r>
      <w:r>
        <w:rPr>
          <w:b/>
          <w:bCs/>
          <w:i/>
          <w:iCs/>
          <w:spacing w:val="-2"/>
          <w:lang w:val="fr-BE"/>
        </w:rPr>
        <w:t xml:space="preserve">au Service de l’enseignement à domicile </w:t>
      </w:r>
      <w:r>
        <w:rPr>
          <w:bCs/>
          <w:iCs/>
          <w:spacing w:val="-2"/>
          <w:lang w:val="fr-BE"/>
        </w:rPr>
        <w:t>(voir contacts ci-après)</w:t>
      </w:r>
      <w:r>
        <w:rPr>
          <w:lang w:val="fr-BE"/>
        </w:rPr>
        <w:t xml:space="preserve">, </w:t>
      </w:r>
      <w:r>
        <w:rPr>
          <w:u w:val="single"/>
          <w:lang w:val="fr-BE"/>
        </w:rPr>
        <w:t>avant le 1</w:t>
      </w:r>
      <w:r>
        <w:rPr>
          <w:u w:val="single"/>
          <w:vertAlign w:val="superscript"/>
          <w:lang w:val="fr-BE"/>
        </w:rPr>
        <w:t>er</w:t>
      </w:r>
      <w:r>
        <w:rPr>
          <w:u w:val="single"/>
          <w:lang w:val="fr-BE"/>
        </w:rPr>
        <w:t xml:space="preserve"> octobre de l’année scolaire en cours</w:t>
      </w:r>
      <w:r>
        <w:rPr>
          <w:lang w:val="fr-BE"/>
        </w:rPr>
        <w:t xml:space="preserve">, une déclaration d’enseignement à domicile ou se déchargent de cette obligation sur le responsable de l’institution d’enseignement choisie, ne relevant pas de </w:t>
      </w:r>
      <w:smartTag w:uri="urn:schemas-microsoft-com:office:smarttags" w:element="PersonName">
        <w:smartTagPr>
          <w:attr w:name="ProductID" w:val="la F￩d￩ration Wallonie-Bruxelles."/>
        </w:smartTagPr>
        <w:r>
          <w:rPr>
            <w:lang w:val="fr-BE"/>
          </w:rPr>
          <w:t>la Fédération Wallonie-Bruxelles.</w:t>
        </w:r>
      </w:smartTag>
      <w:r>
        <w:rPr>
          <w:lang w:val="fr-BE"/>
        </w:rPr>
        <w:t xml:space="preserve"> </w:t>
      </w:r>
    </w:p>
    <w:p>
      <w:pPr>
        <w:pStyle w:val="Corpsdetexte2"/>
        <w:rPr>
          <w:sz w:val="8"/>
          <w:szCs w:val="8"/>
          <w:lang w:val="fr-BE"/>
        </w:rPr>
      </w:pPr>
    </w:p>
    <w:p>
      <w:pPr>
        <w:pStyle w:val="Corpsdetexte2"/>
        <w:rPr>
          <w:lang w:val="fr-BE"/>
        </w:rPr>
      </w:pPr>
      <w:r>
        <w:rPr>
          <w:lang w:val="fr-BE"/>
        </w:rPr>
        <w:t>Au-delà de cette date, une inscription n’est possible que pour les enfants qui fixent leur résidence en Belgique dans le courant de l’année scolaire.</w:t>
      </w:r>
    </w:p>
    <w:p>
      <w:pPr>
        <w:pStyle w:val="Corpsdetexte2"/>
        <w:rPr>
          <w:lang w:val="fr-BE"/>
        </w:rPr>
      </w:pPr>
      <w:r>
        <w:rPr>
          <w:lang w:val="fr-BE"/>
        </w:rPr>
        <w:t>La déclaration doit se faire via le formulaire prévu à cet effet.</w:t>
      </w:r>
    </w:p>
    <w:p>
      <w:pPr>
        <w:pStyle w:val="Corpsdetexte2"/>
        <w:rPr>
          <w:sz w:val="8"/>
          <w:szCs w:val="8"/>
          <w:lang w:val="fr-BE"/>
        </w:rPr>
      </w:pPr>
    </w:p>
    <w:p>
      <w:pPr>
        <w:pStyle w:val="Corpsdetexte2"/>
        <w:rPr>
          <w:lang w:val="fr-BE"/>
        </w:rPr>
      </w:pPr>
      <w:r>
        <w:rPr>
          <w:lang w:val="fr-BE"/>
        </w:rPr>
        <w:t>Outre l’exigence d’information, et sauf exceptions, deux obligations pèsent sur les personnes responsables de l’enfant en obligation scolaire inscrit à l’enseignement à domicile:</w:t>
      </w:r>
    </w:p>
    <w:p>
      <w:pPr>
        <w:pStyle w:val="Corpsdetexte2"/>
        <w:numPr>
          <w:ilvl w:val="0"/>
          <w:numId w:val="154"/>
        </w:numPr>
        <w:rPr>
          <w:lang w:val="fr-BE"/>
        </w:rPr>
      </w:pPr>
      <w:r>
        <w:rPr>
          <w:lang w:val="fr-BE"/>
        </w:rPr>
        <w:t>soumettre l’enfant au contrôle du niveau des études;</w:t>
      </w:r>
    </w:p>
    <w:p>
      <w:pPr>
        <w:pStyle w:val="Corpsdetexte2"/>
        <w:numPr>
          <w:ilvl w:val="0"/>
          <w:numId w:val="154"/>
        </w:numPr>
        <w:rPr>
          <w:lang w:val="fr-BE"/>
        </w:rPr>
      </w:pPr>
      <w:r>
        <w:rPr>
          <w:lang w:val="fr-BE"/>
        </w:rPr>
        <w:t>inscrire l’enfant aux épreuves certificatives.</w:t>
      </w:r>
    </w:p>
    <w:p>
      <w:pPr>
        <w:jc w:val="both"/>
        <w:rPr>
          <w:rFonts w:cs="Arial"/>
          <w:i/>
          <w:sz w:val="8"/>
          <w:szCs w:val="8"/>
          <w:lang w:val="fr-BE"/>
        </w:rPr>
      </w:pPr>
    </w:p>
    <w:p>
      <w:pPr>
        <w:jc w:val="both"/>
        <w:rPr>
          <w:rFonts w:cs="Arial"/>
          <w:lang w:val="fr-BE"/>
        </w:rPr>
      </w:pPr>
      <w:r>
        <w:rPr>
          <w:rFonts w:cs="Arial"/>
          <w:i/>
          <w:lang w:val="fr-BE"/>
        </w:rPr>
        <w:t>Attention: dans certains cas, la fréquentation d’une école qui n’est ni organisée ni subventionnée par la Fédération Wallonie-Bruxelles est assimilée à de l’enseignement à domicile</w:t>
      </w:r>
      <w:r>
        <w:rPr>
          <w:rFonts w:cs="Arial"/>
          <w:lang w:val="fr-BE"/>
        </w:rPr>
        <w:t>.</w:t>
      </w:r>
    </w:p>
    <w:p>
      <w:pPr>
        <w:pStyle w:val="Corpsdetexte2"/>
        <w:rPr>
          <w:sz w:val="2"/>
          <w:szCs w:val="2"/>
          <w:lang w:val="fr-BE"/>
        </w:rPr>
      </w:pPr>
    </w:p>
    <w:tbl>
      <w:tblPr>
        <w:tblW w:w="0" w:type="auto"/>
        <w:tblInd w:w="468" w:type="dxa"/>
        <w:tblCellMar>
          <w:left w:w="0" w:type="dxa"/>
          <w:right w:w="0" w:type="dxa"/>
        </w:tblCellMar>
        <w:tblLook w:val="0000" w:firstRow="0" w:lastRow="0" w:firstColumn="0" w:lastColumn="0" w:noHBand="0" w:noVBand="0"/>
      </w:tblPr>
      <w:tblGrid>
        <w:gridCol w:w="4606"/>
        <w:gridCol w:w="4606"/>
      </w:tblGrid>
      <w:tr>
        <w:tc>
          <w:tcPr>
            <w:tcW w:w="9212"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pPr>
              <w:jc w:val="center"/>
              <w:rPr>
                <w:rFonts w:cs="Arial"/>
                <w:lang w:val="fr-BE"/>
              </w:rPr>
            </w:pPr>
            <w:r>
              <w:rPr>
                <w:rFonts w:cs="Arial"/>
                <w:lang w:val="fr-BE"/>
              </w:rPr>
              <w:t>Service de l’enseignement à domicile</w:t>
            </w:r>
          </w:p>
        </w:tc>
      </w:tr>
      <w:tr>
        <w:tc>
          <w:tcPr>
            <w:tcW w:w="4606" w:type="dxa"/>
            <w:tcBorders>
              <w:top w:val="nil"/>
              <w:left w:val="single" w:sz="8" w:space="0" w:color="auto"/>
              <w:bottom w:val="single" w:sz="8" w:space="0" w:color="auto"/>
              <w:right w:val="single" w:sz="8" w:space="0" w:color="auto"/>
            </w:tcBorders>
            <w:tcMar>
              <w:top w:w="0" w:type="dxa"/>
              <w:left w:w="108" w:type="dxa"/>
              <w:bottom w:w="0" w:type="dxa"/>
              <w:right w:w="108" w:type="dxa"/>
            </w:tcMar>
          </w:tcPr>
          <w:p>
            <w:pPr>
              <w:rPr>
                <w:rFonts w:cs="Arial"/>
                <w:lang w:val="fr-BE"/>
              </w:rPr>
            </w:pPr>
            <w:r>
              <w:rPr>
                <w:rFonts w:cs="Arial"/>
                <w:lang w:val="fr-BE"/>
              </w:rPr>
              <w:t>Adresse postale :</w:t>
            </w:r>
          </w:p>
          <w:p>
            <w:pPr>
              <w:rPr>
                <w:rFonts w:cs="Arial"/>
                <w:lang w:val="fr-BE"/>
              </w:rPr>
            </w:pPr>
            <w:r>
              <w:rPr>
                <w:rFonts w:cs="Arial"/>
                <w:lang w:val="fr-BE"/>
              </w:rPr>
              <w:t>Direction générale de l’enseignement obligatoire</w:t>
            </w:r>
          </w:p>
          <w:p>
            <w:pPr>
              <w:rPr>
                <w:rFonts w:cs="Arial"/>
                <w:lang w:val="fr-BE"/>
              </w:rPr>
            </w:pPr>
            <w:r>
              <w:rPr>
                <w:rFonts w:cs="Arial"/>
                <w:lang w:val="fr-BE"/>
              </w:rPr>
              <w:t>Service des Affaires générales, de l’enseignement à domicile et de la gratuité</w:t>
            </w:r>
          </w:p>
          <w:p>
            <w:pPr>
              <w:rPr>
                <w:rFonts w:cs="Arial"/>
                <w:lang w:val="fr-BE"/>
              </w:rPr>
            </w:pPr>
            <w:r>
              <w:rPr>
                <w:rFonts w:cs="Arial"/>
                <w:lang w:val="fr-BE"/>
              </w:rPr>
              <w:t>Bureau 3F326</w:t>
            </w:r>
          </w:p>
          <w:p>
            <w:pPr>
              <w:rPr>
                <w:rFonts w:cs="Arial"/>
                <w:lang w:val="fr-BE"/>
              </w:rPr>
            </w:pPr>
            <w:r>
              <w:rPr>
                <w:rFonts w:cs="Arial"/>
                <w:lang w:val="fr-BE"/>
              </w:rPr>
              <w:t>Rue A. Lavallée, 1</w:t>
            </w:r>
          </w:p>
          <w:p>
            <w:pPr>
              <w:rPr>
                <w:rFonts w:cs="Arial"/>
                <w:lang w:val="fr-BE"/>
              </w:rPr>
            </w:pPr>
            <w:r>
              <w:rPr>
                <w:rFonts w:cs="Arial"/>
                <w:lang w:val="fr-BE"/>
              </w:rPr>
              <w:t>1080 Bruxelles</w:t>
            </w:r>
          </w:p>
          <w:p>
            <w:pPr>
              <w:rPr>
                <w:rFonts w:cs="Arial"/>
                <w:lang w:val="fr-BE"/>
              </w:rPr>
            </w:pPr>
          </w:p>
          <w:p>
            <w:pPr>
              <w:rPr>
                <w:rFonts w:cs="Arial"/>
                <w:lang w:val="fr-BE"/>
              </w:rPr>
            </w:pPr>
            <w:r>
              <w:rPr>
                <w:rFonts w:cs="Arial"/>
                <w:lang w:val="fr-BE"/>
              </w:rPr>
              <w:t>Tél : +32(0)2/690.86.90</w:t>
            </w:r>
          </w:p>
          <w:p>
            <w:pPr>
              <w:rPr>
                <w:rFonts w:cs="Arial"/>
                <w:lang w:val="fr-BE"/>
              </w:rPr>
            </w:pPr>
            <w:r>
              <w:rPr>
                <w:rFonts w:cs="Arial"/>
                <w:lang w:val="fr-BE"/>
              </w:rPr>
              <w:t>Fax: +32(0)2/600.04.30</w:t>
            </w:r>
          </w:p>
        </w:tc>
        <w:tc>
          <w:tcPr>
            <w:tcW w:w="4606" w:type="dxa"/>
            <w:tcBorders>
              <w:top w:val="nil"/>
              <w:left w:val="nil"/>
              <w:bottom w:val="single" w:sz="8" w:space="0" w:color="auto"/>
              <w:right w:val="single" w:sz="8" w:space="0" w:color="auto"/>
            </w:tcBorders>
            <w:tcMar>
              <w:top w:w="0" w:type="dxa"/>
              <w:left w:w="108" w:type="dxa"/>
              <w:bottom w:w="0" w:type="dxa"/>
              <w:right w:w="108" w:type="dxa"/>
            </w:tcMar>
          </w:tcPr>
          <w:p>
            <w:pPr>
              <w:rPr>
                <w:rFonts w:cs="Arial"/>
                <w:lang w:val="fr-BE"/>
              </w:rPr>
            </w:pPr>
          </w:p>
          <w:p>
            <w:pPr>
              <w:rPr>
                <w:rFonts w:cs="Arial"/>
                <w:lang w:val="fr-BE"/>
              </w:rPr>
            </w:pPr>
            <w:r>
              <w:rPr>
                <w:rFonts w:cs="Arial"/>
                <w:lang w:val="fr-BE"/>
              </w:rPr>
              <w:t xml:space="preserve">Courriel: </w:t>
            </w:r>
            <w:hyperlink r:id="rId38" w:tooltip="blocked::mailto:edep@cfwb.be" w:history="1">
              <w:r>
                <w:rPr>
                  <w:rFonts w:cs="Arial"/>
                  <w:lang w:val="fr-BE"/>
                </w:rPr>
                <w:t>edep@cfwb.be</w:t>
              </w:r>
            </w:hyperlink>
          </w:p>
          <w:p>
            <w:pPr>
              <w:rPr>
                <w:rFonts w:cs="Arial"/>
                <w:lang w:val="fr-BE"/>
              </w:rPr>
            </w:pPr>
          </w:p>
          <w:p>
            <w:pPr>
              <w:rPr>
                <w:rFonts w:cs="Arial"/>
                <w:lang w:val="fr-BE"/>
              </w:rPr>
            </w:pPr>
            <w:r>
              <w:rPr>
                <w:rFonts w:cs="Arial"/>
                <w:lang w:val="fr-BE"/>
              </w:rPr>
              <w:t xml:space="preserve">Personnes de contacts: </w:t>
            </w:r>
          </w:p>
          <w:p>
            <w:pPr>
              <w:rPr>
                <w:rFonts w:cs="Arial"/>
                <w:lang w:val="en-GB"/>
              </w:rPr>
            </w:pPr>
            <w:r>
              <w:rPr>
                <w:rFonts w:cs="Arial"/>
                <w:lang w:val="en-GB"/>
              </w:rPr>
              <w:t>Marianne Claeys +32(0)2/690.87.84</w:t>
            </w:r>
          </w:p>
          <w:p>
            <w:pPr>
              <w:rPr>
                <w:rFonts w:cs="Arial"/>
                <w:lang w:val="en-GB"/>
              </w:rPr>
            </w:pPr>
            <w:r>
              <w:rPr>
                <w:rFonts w:cs="Arial"/>
                <w:lang w:val="en-GB"/>
              </w:rPr>
              <w:t>Thibault Tournay +32(0)2/690.83.31</w:t>
            </w:r>
          </w:p>
        </w:tc>
      </w:tr>
    </w:tbl>
    <w:p>
      <w:pPr>
        <w:pStyle w:val="Titre2"/>
      </w:pPr>
      <w:bookmarkStart w:id="259" w:name="TOC232818566"/>
      <w:bookmarkStart w:id="260" w:name="_Toc295931956"/>
      <w:bookmarkStart w:id="261" w:name="_Toc295913710"/>
      <w:r>
        <w:rPr>
          <w:lang w:val="en-US"/>
        </w:rPr>
        <w:br w:type="page"/>
      </w:r>
      <w:bookmarkStart w:id="262" w:name="Chapitre2_2"/>
      <w:bookmarkStart w:id="263" w:name="_Toc423419963"/>
      <w:bookmarkStart w:id="264" w:name="_Toc450645170"/>
      <w:bookmarkStart w:id="265" w:name="_Toc453942406"/>
      <w:bookmarkStart w:id="266" w:name="_Toc454888023"/>
      <w:bookmarkStart w:id="267" w:name="_Toc486241687"/>
      <w:r>
        <w:t>Chapitre 2.2.</w:t>
      </w:r>
      <w:bookmarkEnd w:id="262"/>
      <w:r>
        <w:t xml:space="preserve"> Inscriptions</w:t>
      </w:r>
      <w:bookmarkEnd w:id="259"/>
      <w:bookmarkEnd w:id="260"/>
      <w:bookmarkEnd w:id="261"/>
      <w:bookmarkEnd w:id="263"/>
      <w:bookmarkEnd w:id="264"/>
      <w:bookmarkEnd w:id="265"/>
      <w:bookmarkEnd w:id="266"/>
      <w:bookmarkEnd w:id="267"/>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ind w:left="1621" w:hanging="1622"/>
        <w:jc w:val="both"/>
        <w:rPr>
          <w:rFonts w:ascii="Arial Italic" w:hAnsi="Arial Italic"/>
          <w:u w:val="single"/>
        </w:rPr>
      </w:pPr>
      <w:bookmarkStart w:id="268" w:name="TOC101153549"/>
      <w:bookmarkEnd w:id="268"/>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799" w:hanging="1800"/>
        <w:jc w:val="both"/>
        <w:rPr>
          <w:rFonts w:cs="Arial"/>
          <w:i/>
        </w:rPr>
      </w:pPr>
      <w:r>
        <w:rPr>
          <w:rFonts w:cs="Arial"/>
          <w:i/>
          <w:u w:val="single"/>
        </w:rPr>
        <w:t>Bases légales</w:t>
      </w:r>
      <w:r>
        <w:rPr>
          <w:rFonts w:cs="Arial"/>
          <w:i/>
        </w:rPr>
        <w:t xml:space="preserve">: </w:t>
      </w:r>
      <w:r>
        <w:rPr>
          <w:rFonts w:cs="Arial"/>
          <w:i/>
        </w:rPr>
        <w:tab/>
      </w:r>
      <w:hyperlink r:id="rId39" w:history="1">
        <w:r>
          <w:rPr>
            <w:rStyle w:val="Lienhypertexte"/>
            <w:rFonts w:cs="Arial"/>
            <w:i/>
            <w:color w:val="auto"/>
          </w:rPr>
          <w:t>Arrêté royal du 20/08/1957 portant coordination des lois sur l’enseignement primaire, article 8</w:t>
        </w:r>
      </w:hyperlink>
      <w:r>
        <w:rPr>
          <w:rFonts w:cs="Arial"/>
          <w:i/>
        </w:rPr>
        <w:t>;</w:t>
      </w:r>
      <w:r>
        <w:rPr>
          <w:rFonts w:cs="Arial"/>
          <w:i/>
        </w:rPr>
        <w:cr/>
      </w:r>
      <w:hyperlink r:id="rId40" w:history="1">
        <w:r>
          <w:rPr>
            <w:rStyle w:val="Lienhypertexte"/>
            <w:rFonts w:cs="Arial"/>
            <w:i/>
            <w:color w:val="auto"/>
          </w:rPr>
          <w:t>Décret-Missions du 24/07/1997 articles 76 à 80, 87 et 88</w:t>
        </w:r>
      </w:hyperlink>
      <w:r>
        <w:rPr>
          <w:rFonts w:cs="Arial"/>
          <w:i/>
        </w:rPr>
        <w:t xml:space="preserve">; </w:t>
      </w:r>
      <w:r>
        <w:rPr>
          <w:rFonts w:cs="Arial"/>
          <w:i/>
        </w:rPr>
        <w:tab/>
      </w:r>
      <w:r>
        <w:rPr>
          <w:rFonts w:cs="Arial"/>
          <w:i/>
        </w:rPr>
        <w:cr/>
      </w:r>
      <w:hyperlink r:id="rId41" w:history="1">
        <w:r>
          <w:rPr>
            <w:rStyle w:val="Lienhypertexte"/>
            <w:rFonts w:cs="Arial"/>
            <w:i/>
            <w:color w:val="auto"/>
          </w:rPr>
          <w:t>Décret-Cadre du 13/07/1998 article 2</w:t>
        </w:r>
      </w:hyperlink>
      <w:r>
        <w:rPr>
          <w:rFonts w:cs="Arial"/>
          <w:i/>
        </w:rPr>
        <w:t xml:space="preserve">; </w:t>
      </w:r>
      <w:r>
        <w:rPr>
          <w:rFonts w:cs="Arial"/>
          <w:i/>
        </w:rPr>
        <w:tab/>
      </w:r>
      <w:r>
        <w:rPr>
          <w:rFonts w:cs="Arial"/>
          <w:i/>
        </w:rPr>
        <w:cr/>
      </w:r>
      <w:hyperlink r:id="rId42" w:history="1">
        <w:r>
          <w:rPr>
            <w:rStyle w:val="Lienhypertexte"/>
            <w:rFonts w:cs="Arial"/>
            <w:i/>
            <w:color w:val="auto"/>
          </w:rPr>
          <w:t>Décret du 18/05/2012 visant la mise en place d’un dispositif d’accueil et de scolarisation des élèves primo-arrivants dans l’enseignement organisé ou subventionné par la Communauté française</w:t>
        </w:r>
      </w:hyperlink>
      <w:r>
        <w:rPr>
          <w:rFonts w:cs="Arial"/>
          <w:i/>
        </w:rPr>
        <w:t>.</w:t>
      </w:r>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799" w:hanging="1800"/>
        <w:rPr>
          <w:rFonts w:cs="Arial"/>
          <w:i/>
        </w:rPr>
      </w:pPr>
    </w:p>
    <w:p>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799" w:hanging="1800"/>
        <w:rPr>
          <w:rFonts w:cs="Arial"/>
          <w:i/>
        </w:rPr>
      </w:pPr>
    </w:p>
    <w:p>
      <w:pPr>
        <w:pStyle w:val="Titre3"/>
      </w:pPr>
      <w:bookmarkStart w:id="269" w:name="TOC272404472"/>
      <w:bookmarkStart w:id="270" w:name="_Toc295931957"/>
      <w:bookmarkStart w:id="271" w:name="_Toc295913711"/>
      <w:bookmarkStart w:id="272" w:name="_Toc423419964"/>
      <w:bookmarkStart w:id="273" w:name="_Toc450645171"/>
      <w:bookmarkStart w:id="274" w:name="_Toc453942407"/>
      <w:bookmarkStart w:id="275" w:name="_Toc454888024"/>
      <w:bookmarkStart w:id="276" w:name="_Toc486241688"/>
      <w:r>
        <w:t>2.2.1. Règles de base</w:t>
      </w:r>
      <w:bookmarkEnd w:id="269"/>
      <w:bookmarkEnd w:id="270"/>
      <w:bookmarkEnd w:id="271"/>
      <w:bookmarkEnd w:id="272"/>
      <w:bookmarkEnd w:id="273"/>
      <w:bookmarkEnd w:id="274"/>
      <w:bookmarkEnd w:id="275"/>
      <w:bookmarkEnd w:id="276"/>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6"/>
        </w:rPr>
      </w:pPr>
      <w:r>
        <w:rPr>
          <w:color w:val="auto"/>
          <w:spacing w:val="-6"/>
        </w:rPr>
        <w:t>Les parents ou la personne investie de l'autorité parentale ont la liberté d'envoyer leurs enfants dans l'école qu’ils choisissent et il est interdit d'user à leur égard d'aucun moyen de pression pour leur imposer une école qui ne serait pas celle de leur choix</w:t>
      </w:r>
      <w:r>
        <w:rPr>
          <w:rStyle w:val="Appelnotedebasdep1"/>
          <w:color w:val="auto"/>
          <w:spacing w:val="-6"/>
        </w:rPr>
        <w:footnoteReference w:id="6"/>
      </w:r>
      <w:r>
        <w:rPr>
          <w:color w:val="auto"/>
          <w:spacing w:val="-6"/>
        </w:rPr>
        <w:t>.</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r>
        <w:rPr>
          <w:color w:val="auto"/>
          <w:spacing w:val="-4"/>
        </w:rPr>
        <w:t>Par l’inscription dans une école, l’élève et ses parents ou la personne investie de l’autorité parentale en acceptent le projet éducatif, le projet pédagogique, le projet d’établissement, le règlement des études et le règlement d’ordre intérieur. Préalablement à l'inscription, le chef d'établissement communique ces documents aux parents ou à la personne investie de l'autorité parentale.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p>
    <w:p>
      <w:pPr>
        <w:pStyle w:val="Titre4"/>
      </w:pPr>
      <w:bookmarkStart w:id="277" w:name="_Toc295931958"/>
      <w:bookmarkStart w:id="278" w:name="_Toc423419965"/>
      <w:bookmarkStart w:id="279" w:name="_Toc450645172"/>
      <w:bookmarkStart w:id="280" w:name="_Toc453942408"/>
      <w:bookmarkStart w:id="281" w:name="_Toc454888025"/>
      <w:bookmarkStart w:id="282" w:name="_Toc486241689"/>
      <w:r>
        <w:t>2.2.1.1. Enseignement maternel</w:t>
      </w:r>
      <w:bookmarkEnd w:id="277"/>
      <w:bookmarkEnd w:id="278"/>
      <w:bookmarkEnd w:id="279"/>
      <w:bookmarkEnd w:id="280"/>
      <w:bookmarkEnd w:id="281"/>
      <w:bookmarkEnd w:id="282"/>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color w:val="auto"/>
          <w:spacing w:val="-4"/>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r>
        <w:rPr>
          <w:color w:val="auto"/>
          <w:spacing w:val="-4"/>
        </w:rPr>
        <w:t>Les parents ou la personne investie de l’autorité parentale peuvent inscrire un enfant dans l’enseignement maternel à tout moment de l’année scolaire pour autant qu’il ait atteint l’âge de 2 ans et 6 mois accomplis. Une exception à ce principe: l’élève né entre le 1</w:t>
      </w:r>
      <w:r>
        <w:rPr>
          <w:color w:val="auto"/>
          <w:spacing w:val="-4"/>
          <w:vertAlign w:val="superscript"/>
        </w:rPr>
        <w:t>er</w:t>
      </w:r>
      <w:r>
        <w:rPr>
          <w:color w:val="auto"/>
          <w:spacing w:val="-4"/>
        </w:rPr>
        <w:t xml:space="preserve"> mars et le 31 mars 2015 peut être inscrit en maternel dès le 1</w:t>
      </w:r>
      <w:r>
        <w:rPr>
          <w:color w:val="auto"/>
          <w:spacing w:val="-4"/>
          <w:vertAlign w:val="superscript"/>
        </w:rPr>
        <w:t>er</w:t>
      </w:r>
      <w:r>
        <w:rPr>
          <w:color w:val="auto"/>
          <w:spacing w:val="-4"/>
        </w:rPr>
        <w:t xml:space="preserve"> septembre 2017.</w:t>
      </w:r>
      <w:r>
        <w:rPr>
          <w:color w:val="auto"/>
          <w:spacing w:val="-4"/>
          <w:highlight w:val="yellow"/>
        </w:rPr>
        <w:t xml:space="preserv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Bold Italic" w:hAnsi="Arial Bold Italic"/>
          <w:color w:val="auto"/>
          <w:u w:val="single"/>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Cs w:val="22"/>
          <w:u w:val="single"/>
        </w:rPr>
      </w:pPr>
      <w:r>
        <w:rPr>
          <w:rFonts w:cs="Arial"/>
          <w:color w:val="auto"/>
          <w:szCs w:val="22"/>
          <w:u w:val="single"/>
        </w:rPr>
        <w:t>Néanmoins, cette disposition doit être lue en regard avec les règles applicables au changement d’école: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ind w:left="708"/>
        <w:rPr>
          <w:rFonts w:cs="Arial"/>
          <w:i/>
          <w:color w:val="auto"/>
          <w:spacing w:val="-6"/>
        </w:rPr>
      </w:pPr>
      <w:r>
        <w:rPr>
          <w:rFonts w:cs="Arial"/>
          <w:i/>
          <w:color w:val="auto"/>
          <w:spacing w:val="-6"/>
          <w:szCs w:val="22"/>
        </w:rPr>
        <w:t xml:space="preserve">Il est interdit à toute école maternelle d’accepter sans raison valable, après le </w:t>
      </w:r>
      <w:r>
        <w:rPr>
          <w:rFonts w:cs="Arial"/>
          <w:i/>
          <w:color w:val="auto"/>
          <w:spacing w:val="-6"/>
          <w:szCs w:val="22"/>
          <w:shd w:val="clear" w:color="auto" w:fill="FFFFFF"/>
        </w:rPr>
        <w:t>15</w:t>
      </w:r>
      <w:r>
        <w:rPr>
          <w:rFonts w:cs="Arial"/>
          <w:i/>
          <w:color w:val="auto"/>
          <w:spacing w:val="-6"/>
          <w:szCs w:val="22"/>
        </w:rPr>
        <w:t xml:space="preserve"> septembre, un élève </w:t>
      </w:r>
      <w:r>
        <w:rPr>
          <w:rFonts w:cs="Arial"/>
          <w:i/>
          <w:color w:val="auto"/>
          <w:spacing w:val="-6"/>
          <w:szCs w:val="22"/>
          <w:u w:val="single"/>
        </w:rPr>
        <w:t>qui était régulièrement inscrit dans une autre école ou dans une autre implantation à comptage séparé</w:t>
      </w:r>
      <w:r>
        <w:rPr>
          <w:rFonts w:cs="Arial"/>
          <w:i/>
          <w:color w:val="auto"/>
          <w:spacing w:val="-6"/>
          <w:szCs w:val="22"/>
        </w:rPr>
        <w:t xml:space="preserve">. Les dispositions dérogatoires prévues par le législateur sont détaillées au </w:t>
      </w:r>
      <w:hyperlink w:anchor="Chapitre2_4" w:history="1">
        <w:r>
          <w:rPr>
            <w:rStyle w:val="Lienhypertexte"/>
            <w:rFonts w:cs="Arial"/>
            <w:i/>
            <w:color w:val="auto"/>
            <w:spacing w:val="-6"/>
            <w:szCs w:val="22"/>
          </w:rPr>
          <w:t>chapitre 2.4.</w:t>
        </w:r>
      </w:hyperlink>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6"/>
        </w:rPr>
      </w:pPr>
    </w:p>
    <w:p>
      <w:pPr>
        <w:pStyle w:val="Titre4"/>
      </w:pPr>
      <w:bookmarkStart w:id="283" w:name="_Toc295931959"/>
      <w:bookmarkStart w:id="284" w:name="_Toc423419966"/>
      <w:bookmarkStart w:id="285" w:name="_Toc450645173"/>
      <w:bookmarkStart w:id="286" w:name="_Toc453942409"/>
      <w:bookmarkStart w:id="287" w:name="_Toc454888026"/>
      <w:bookmarkStart w:id="288" w:name="_Toc486241690"/>
      <w:r>
        <w:t>2.2.1.2. Enseignement Primaire</w:t>
      </w:r>
      <w:bookmarkEnd w:id="283"/>
      <w:bookmarkEnd w:id="284"/>
      <w:bookmarkEnd w:id="285"/>
      <w:bookmarkEnd w:id="286"/>
      <w:bookmarkEnd w:id="287"/>
      <w:bookmarkEnd w:id="288"/>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color w:val="auto"/>
          <w:spacing w:val="-4"/>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color w:val="auto"/>
        </w:rPr>
      </w:pPr>
      <w:r>
        <w:rPr>
          <w:rFonts w:cs="Arial"/>
          <w:b/>
          <w:color w:val="auto"/>
        </w:rPr>
        <w:t>Dans l’enseignement primaire, les parents sont tenus d’inscrire leur enfant dans une école au plus tard le premier jour ouvrable de septembre.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6"/>
        </w:rPr>
      </w:pPr>
    </w:p>
    <w:p>
      <w:pPr>
        <w:pStyle w:val="Titre3"/>
      </w:pPr>
      <w:bookmarkStart w:id="289" w:name="TOC272404473"/>
      <w:bookmarkStart w:id="290" w:name="_Toc295931960"/>
      <w:bookmarkStart w:id="291" w:name="_Toc295913712"/>
      <w:bookmarkStart w:id="292" w:name="_Toc423419967"/>
      <w:bookmarkStart w:id="293" w:name="_Toc450645174"/>
      <w:bookmarkStart w:id="294" w:name="_Toc453942410"/>
      <w:bookmarkStart w:id="295" w:name="_Toc454888027"/>
      <w:bookmarkStart w:id="296" w:name="_Toc486241691"/>
      <w:r>
        <w:t>2.2.2. Inscription jusqu’au 30 septembre dans l'enseignement primaire</w:t>
      </w:r>
      <w:bookmarkEnd w:id="289"/>
      <w:bookmarkEnd w:id="290"/>
      <w:bookmarkEnd w:id="291"/>
      <w:bookmarkEnd w:id="292"/>
      <w:bookmarkEnd w:id="293"/>
      <w:bookmarkEnd w:id="294"/>
      <w:bookmarkEnd w:id="295"/>
      <w:bookmarkEnd w:id="296"/>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Pour des raisons exceptionnelles et motivées, appréciées par le chef d’établissement, l’inscription peut être prise jusqu’au 30 septembre.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Les écoles organisées par </w:t>
      </w:r>
      <w:smartTag w:uri="urn:schemas-microsoft-com:office:smarttags" w:element="PersonName">
        <w:smartTagPr>
          <w:attr w:name="ProductID" w:val="la F￩d￩ration Wallonie-Bruxelles"/>
        </w:smartTagPr>
        <w:r>
          <w:rPr>
            <w:color w:val="auto"/>
          </w:rPr>
          <w:t>la Fédération Wallonie-Bruxelles</w:t>
        </w:r>
      </w:smartTag>
      <w:r>
        <w:rPr>
          <w:color w:val="auto"/>
        </w:rPr>
        <w:t xml:space="preserve"> sont toutefois tenues d’inscrire tout élève dont les parents ou la personne investie de l’autorité parentale en font la demande au plus tard le 30 septembre de l’année scolaire en cours.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z w:val="1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2"/>
        </w:rPr>
      </w:pPr>
      <w:r>
        <w:rPr>
          <w:color w:val="auto"/>
          <w:spacing w:val="-2"/>
        </w:rPr>
        <w:t xml:space="preserve">Tout établissement d’enseignement primaire organisé par les villes et communes est tenu d’inscrire l’élève dont les parents ou la personne investie de l’autorité parentale en font la demande au plus tard le 30 septembre de l’année scolaire en cours pour autant qu’il réunisse les conditions pour être élève régulier, s’il est domicilié sur le territoire de la commune ou s’il est domicilié sur le territoire d’une commune voisine et que l’établissement fréquenté est le plus proche de son domicile.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color w:val="auto"/>
          <w:spacing w:val="-2"/>
          <w:u w:val="single"/>
        </w:rPr>
      </w:pPr>
      <w:r>
        <w:rPr>
          <w:rFonts w:cs="Arial"/>
          <w:b/>
          <w:color w:val="auto"/>
          <w:spacing w:val="-2"/>
          <w:u w:val="single"/>
        </w:rPr>
        <w:t>La règle qui précède doit être lue en regard avec les dispositions applicables au changement d’école en début d’année scolaire ou en cours de cycle:</w:t>
      </w:r>
    </w:p>
    <w:p>
      <w:pPr>
        <w:pStyle w:val="Corpsdetexte21"/>
        <w:numPr>
          <w:ilvl w:val="0"/>
          <w:numId w:val="13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before="120"/>
        <w:rPr>
          <w:i/>
          <w:color w:val="auto"/>
          <w:spacing w:val="-6"/>
        </w:rPr>
      </w:pPr>
      <w:r>
        <w:rPr>
          <w:i/>
          <w:color w:val="auto"/>
          <w:spacing w:val="-6"/>
        </w:rPr>
        <w:t xml:space="preserve">Il est interdit à toute école primaire d’accepter, après le 15 septembre, un élève qui était régulièrement inscrit dans une autre école ou dans une autre implantation à comptage séparé. </w:t>
      </w:r>
    </w:p>
    <w:p>
      <w:pPr>
        <w:pStyle w:val="Corpsdetexte21"/>
        <w:numPr>
          <w:ilvl w:val="0"/>
          <w:numId w:val="130"/>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566"/>
        <w:rPr>
          <w:i/>
          <w:color w:val="auto"/>
          <w:spacing w:val="-6"/>
        </w:rPr>
      </w:pPr>
      <w:r>
        <w:rPr>
          <w:i/>
          <w:color w:val="auto"/>
          <w:spacing w:val="-6"/>
        </w:rPr>
        <w:t xml:space="preserve">Il est interdit à toute école primaire d’inscrire, quelle que soit la date (donc en ce compris pendant la période du 1er au 15 septembre) un élève qui était régulièrement inscrit, au niveau primaire, </w:t>
      </w:r>
      <w:r>
        <w:rPr>
          <w:i/>
          <w:color w:val="auto"/>
          <w:spacing w:val="-6"/>
          <w:u w:val="single"/>
        </w:rPr>
        <w:t>dans le même cycle</w:t>
      </w:r>
      <w:r>
        <w:rPr>
          <w:i/>
          <w:color w:val="auto"/>
          <w:spacing w:val="-6"/>
        </w:rPr>
        <w:t xml:space="preserve"> dans une autre école ou implantation à comptage séparé.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69"/>
        <w:rPr>
          <w:i/>
          <w:color w:val="auto"/>
          <w:spacing w:val="-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69"/>
        <w:rPr>
          <w:i/>
          <w:color w:val="auto"/>
          <w:spacing w:val="-6"/>
        </w:rPr>
      </w:pPr>
      <w:r>
        <w:rPr>
          <w:i/>
          <w:color w:val="auto"/>
          <w:spacing w:val="-6"/>
        </w:rPr>
        <w:t xml:space="preserve">Les dispositions dérogatoires prévues par le législateur sont détaillées au </w:t>
      </w:r>
      <w:hyperlink w:anchor="Chapitre2_4" w:history="1">
        <w:r>
          <w:rPr>
            <w:rStyle w:val="Lienhypertexte"/>
            <w:rFonts w:cs="Arial"/>
            <w:i/>
            <w:color w:val="auto"/>
            <w:spacing w:val="-6"/>
          </w:rPr>
          <w:t>chapitre 2.4.</w:t>
        </w:r>
      </w:hyperlink>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69"/>
        <w:rPr>
          <w:i/>
          <w:color w:val="auto"/>
          <w:spacing w:val="-6"/>
          <w:sz w:val="16"/>
          <w:szCs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169"/>
        <w:rPr>
          <w:i/>
          <w:color w:val="auto"/>
          <w:spacing w:val="-6"/>
          <w:sz w:val="16"/>
          <w:szCs w:val="16"/>
        </w:rPr>
      </w:pPr>
    </w:p>
    <w:p>
      <w:pPr>
        <w:pStyle w:val="Titre3"/>
      </w:pPr>
      <w:bookmarkStart w:id="297" w:name="_2.2.3.__"/>
      <w:bookmarkStart w:id="298" w:name="TOC272404474"/>
      <w:bookmarkStart w:id="299" w:name="_Toc295931961"/>
      <w:bookmarkStart w:id="300" w:name="_Toc295913713"/>
      <w:bookmarkStart w:id="301" w:name="_Toc423419968"/>
      <w:bookmarkStart w:id="302" w:name="_Toc450645175"/>
      <w:bookmarkStart w:id="303" w:name="_Toc453942411"/>
      <w:bookmarkStart w:id="304" w:name="_Toc454888028"/>
      <w:bookmarkStart w:id="305" w:name="_Toc486241692"/>
      <w:bookmarkEnd w:id="297"/>
      <w:r>
        <w:t>2.2.3. Inscription au-delà du 30 septembr</w:t>
      </w:r>
      <w:bookmarkEnd w:id="298"/>
      <w:r>
        <w:t>e dans l'enseignement primaire</w:t>
      </w:r>
      <w:bookmarkEnd w:id="299"/>
      <w:bookmarkEnd w:id="300"/>
      <w:bookmarkEnd w:id="301"/>
      <w:bookmarkEnd w:id="302"/>
      <w:bookmarkEnd w:id="303"/>
      <w:bookmarkEnd w:id="304"/>
      <w:bookmarkEnd w:id="305"/>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Bold Italic" w:hAnsi="Arial Bold Italic"/>
          <w:color w:val="auto"/>
        </w:rPr>
      </w:pPr>
      <w:r>
        <w:rPr>
          <w:rFonts w:cs="Arial"/>
          <w:color w:val="auto"/>
        </w:rPr>
        <w:t>Au-delà du 30 septembre, si pour des raisons exceptionnelles et motivées un élève n’est pas</w:t>
      </w:r>
      <w:r>
        <w:rPr>
          <w:color w:val="auto"/>
        </w:rPr>
        <w:t xml:space="preserve"> régulièrement inscrit dans une école, les parents ou la personne investie de l’autorité parentale peuvent introduire une demande de dérogation (</w:t>
      </w:r>
      <w:hyperlink w:anchor="Annexe_223" w:history="1">
        <w:r>
          <w:rPr>
            <w:rStyle w:val="Lienhypertexte1"/>
            <w:color w:val="auto"/>
          </w:rPr>
          <w:t>annexe 2.2.3.</w:t>
        </w:r>
      </w:hyperlink>
      <w:r>
        <w:rPr>
          <w:color w:val="auto"/>
        </w:rPr>
        <w:t xml:space="preserve">). Dès réception de la dérogation, ceux-ci sollicitent une inscription auprès d’une école organisée ou subventionnée par </w:t>
      </w:r>
      <w:smartTag w:uri="urn:schemas-microsoft-com:office:smarttags" w:element="PersonName">
        <w:smartTagPr>
          <w:attr w:name="ProductID" w:val="la F￩d￩ration Wallonie-Bruxelles."/>
        </w:smartTagPr>
        <w:r>
          <w:rPr>
            <w:color w:val="auto"/>
          </w:rPr>
          <w:t>la Fédération Wallonie-Bruxelles.</w:t>
        </w:r>
      </w:smartTag>
      <w:r>
        <w:rPr>
          <w:color w:val="auto"/>
        </w:rPr>
        <w:t xml:space="preserve"> Cette demande peut aussi être faite par le chef d’établissement : dans ce cas elle doit se faire endéans les 5 jours d’ouverture d’école qui suivent l’inscription de l’élève. Cette disposition est applicable pour tous les élèves, y compris ceux qui arrivent de </w:t>
      </w:r>
      <w:smartTag w:uri="urn:schemas-microsoft-com:office:smarttags" w:element="PersonName">
        <w:smartTagPr>
          <w:attr w:name="ProductID" w:val="la Communaut￩"/>
        </w:smartTagPr>
        <w:r>
          <w:rPr>
            <w:color w:val="auto"/>
          </w:rPr>
          <w:t>la Communauté</w:t>
        </w:r>
      </w:smartTag>
      <w:r>
        <w:rPr>
          <w:color w:val="auto"/>
        </w:rPr>
        <w:t xml:space="preserve"> flamande, de </w:t>
      </w:r>
      <w:smartTag w:uri="urn:schemas-microsoft-com:office:smarttags" w:element="PersonName">
        <w:smartTagPr>
          <w:attr w:name="ProductID" w:val="la Communaut￩"/>
        </w:smartTagPr>
        <w:r>
          <w:rPr>
            <w:color w:val="auto"/>
          </w:rPr>
          <w:t>la Communauté</w:t>
        </w:r>
      </w:smartTag>
      <w:r>
        <w:rPr>
          <w:color w:val="auto"/>
        </w:rPr>
        <w:t xml:space="preserve"> germanophone ou de l'étranger, même s'ils y étaient scolarisés jusqu'à leur inscription dans une école en Fédération Wallonie-Bruxelles</w:t>
      </w:r>
      <w:r>
        <w:rPr>
          <w:rFonts w:ascii="Arial Bold Italic" w:hAnsi="Arial Bold Italic"/>
          <w:color w:val="auto"/>
        </w:rPr>
        <w:t>.</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Bold Italic" w:hAnsi="Arial Bold Italic"/>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color w:val="auto"/>
        </w:rPr>
        <w:t>L’</w:t>
      </w:r>
      <w:hyperlink w:anchor="Annexe_223" w:history="1">
        <w:r>
          <w:rPr>
            <w:rStyle w:val="Lienhypertexte"/>
            <w:rFonts w:cs="Arial"/>
            <w:color w:val="auto"/>
          </w:rPr>
          <w:t>annexe 2.2.3</w:t>
        </w:r>
      </w:hyperlink>
      <w:r>
        <w:rPr>
          <w:rFonts w:cs="Arial"/>
          <w:color w:val="auto"/>
        </w:rPr>
        <w:t xml:space="preserve"> doit être transmise soit par courrier, soit par mail, soit par fax à </w:t>
      </w:r>
      <w:smartTag w:uri="urn:schemas-microsoft-com:office:smarttags" w:element="PersonName">
        <w:smartTagPr>
          <w:attr w:name="ProductID" w:val="la Direction"/>
        </w:smartTagPr>
        <w:r>
          <w:rPr>
            <w:rFonts w:cs="Arial"/>
            <w:color w:val="auto"/>
          </w:rPr>
          <w:t>la Direction</w:t>
        </w:r>
      </w:smartTag>
      <w:r>
        <w:rPr>
          <w:rFonts w:cs="Arial"/>
          <w:color w:val="auto"/>
        </w:rPr>
        <w:t xml:space="preserve">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999"/>
      </w:tblGrid>
      <w:tr>
        <w:tc>
          <w:tcPr>
            <w:tcW w:w="5211"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color w:val="auto"/>
                <w:u w:val="single"/>
              </w:rPr>
            </w:pPr>
            <w:r>
              <w:rPr>
                <w:rFonts w:cs="Arial"/>
                <w:b/>
                <w:color w:val="auto"/>
                <w:u w:val="single"/>
              </w:rPr>
              <w:t>Adresse d’envoi</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color w:val="auto"/>
              </w:rPr>
              <w:t xml:space="preserve">Ministère de </w:t>
            </w:r>
            <w:smartTag w:uri="urn:schemas-microsoft-com:office:smarttags" w:element="PersonName">
              <w:smartTagPr>
                <w:attr w:name="ProductID" w:val="la F￩d￩ration Wallonie-Bruxelles"/>
              </w:smartTagPr>
              <w:r>
                <w:rPr>
                  <w:rFonts w:cs="Arial"/>
                  <w:color w:val="auto"/>
                </w:rPr>
                <w:t>la Fédération Wallonie-Bruxelles</w:t>
              </w:r>
            </w:smartTag>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color w:val="auto"/>
              </w:rPr>
              <w:t>Direction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color w:val="auto"/>
              </w:rPr>
              <w:t xml:space="preserve">Bureau </w:t>
            </w:r>
            <w:smartTag w:uri="urn:schemas-microsoft-com:office:smarttags" w:element="metricconverter">
              <w:smartTagPr>
                <w:attr w:name="ProductID" w:val="2.F"/>
              </w:smartTagPr>
              <w:r>
                <w:rPr>
                  <w:rFonts w:cs="Arial"/>
                  <w:color w:val="auto"/>
                </w:rPr>
                <w:t>2.F</w:t>
              </w:r>
            </w:smartTag>
            <w:r>
              <w:rPr>
                <w:rFonts w:cs="Arial"/>
                <w:color w:val="auto"/>
              </w:rPr>
              <w:t>.211</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color w:val="auto"/>
              </w:rPr>
              <w:t>Rue Adolphe Lavallée, 1</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color w:val="auto"/>
              </w:rPr>
              <w:t>1080 Bruxelles</w:t>
            </w:r>
          </w:p>
        </w:tc>
        <w:tc>
          <w:tcPr>
            <w:tcW w:w="3999"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b/>
                <w:color w:val="auto"/>
                <w:u w:val="single"/>
              </w:rPr>
            </w:pPr>
            <w:r>
              <w:rPr>
                <w:rFonts w:cs="Arial"/>
                <w:b/>
                <w:color w:val="auto"/>
                <w:u w:val="single"/>
              </w:rPr>
              <w:t>Courriel</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color w:val="auto"/>
              </w:rPr>
              <w:t>giuseppina.cellauro@cfwb.be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rPr>
            </w:pPr>
            <w:r>
              <w:rPr>
                <w:rFonts w:cs="Arial"/>
                <w:b/>
                <w:color w:val="auto"/>
                <w:u w:val="single"/>
              </w:rPr>
              <w:t>Fax :</w:t>
            </w:r>
            <w:r>
              <w:rPr>
                <w:rFonts w:cs="Arial"/>
                <w:color w:val="auto"/>
              </w:rPr>
              <w:t xml:space="preserve"> 02/690.85.77</w:t>
            </w:r>
          </w:p>
        </w:tc>
      </w:tr>
    </w:tbl>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i/>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ascii="Arial Bold Italic" w:hAnsi="Arial Bold Italic"/>
          <w:i/>
          <w:color w:val="auto"/>
        </w:rPr>
      </w:pPr>
    </w:p>
    <w:p>
      <w:pPr>
        <w:pStyle w:val="Titre3"/>
      </w:pPr>
      <w:bookmarkStart w:id="306" w:name="Section2_2_4"/>
      <w:bookmarkStart w:id="307" w:name="TOC272404475"/>
      <w:bookmarkStart w:id="308" w:name="_Toc295931962"/>
      <w:bookmarkStart w:id="309" w:name="_Toc295913714"/>
      <w:bookmarkStart w:id="310" w:name="_Toc423419969"/>
      <w:bookmarkStart w:id="311" w:name="_Toc450645176"/>
      <w:bookmarkStart w:id="312" w:name="_Toc453942412"/>
      <w:bookmarkStart w:id="313" w:name="_Toc454888029"/>
      <w:bookmarkStart w:id="314" w:name="_Toc486241693"/>
      <w:r>
        <w:t>2.2.4.</w:t>
      </w:r>
      <w:bookmarkEnd w:id="306"/>
      <w:r>
        <w:t xml:space="preserve"> Le refus d’inscription ou de réinscription de l’élève</w:t>
      </w:r>
      <w:bookmarkEnd w:id="307"/>
      <w:bookmarkEnd w:id="308"/>
      <w:bookmarkEnd w:id="309"/>
      <w:bookmarkEnd w:id="310"/>
      <w:bookmarkEnd w:id="311"/>
      <w:bookmarkEnd w:id="312"/>
      <w:bookmarkEnd w:id="313"/>
      <w:bookmarkEnd w:id="314"/>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rFonts w:cs="Arial"/>
          <w:color w:val="auto"/>
        </w:rPr>
        <w:t>1</w:t>
      </w:r>
      <w:r>
        <w:rPr>
          <w:rFonts w:ascii="Arial Bold" w:hAnsi="Arial Bold"/>
          <w:color w:val="auto"/>
        </w:rPr>
        <w:t>.</w:t>
      </w:r>
      <w:r>
        <w:rPr>
          <w:color w:val="auto"/>
        </w:rPr>
        <w:t xml:space="preserve"> Quel que soit le moment de l’année, le chef d’établissement qui ne peut inscrire un élève qui en fait la demande est tenu de lui remettre une attestation de demande d’inscription (annexes </w:t>
      </w:r>
      <w:hyperlink w:anchor="Annexe_224A" w:history="1">
        <w:r>
          <w:rPr>
            <w:rStyle w:val="Lienhypertexte1"/>
            <w:color w:val="auto"/>
            <w:sz w:val="22"/>
            <w:szCs w:val="22"/>
          </w:rPr>
          <w:t>2.2.4.A.</w:t>
        </w:r>
      </w:hyperlink>
      <w:r>
        <w:rPr>
          <w:color w:val="auto"/>
          <w:szCs w:val="22"/>
        </w:rPr>
        <w:t xml:space="preserve">, </w:t>
      </w:r>
      <w:hyperlink w:anchor="Annexe_224B" w:history="1">
        <w:r>
          <w:rPr>
            <w:rStyle w:val="Lienhypertexte1"/>
            <w:color w:val="auto"/>
            <w:sz w:val="22"/>
            <w:szCs w:val="22"/>
          </w:rPr>
          <w:t>2.2.4.B.</w:t>
        </w:r>
      </w:hyperlink>
      <w:r>
        <w:rPr>
          <w:color w:val="auto"/>
          <w:szCs w:val="22"/>
        </w:rPr>
        <w:t xml:space="preserve">, </w:t>
      </w:r>
      <w:hyperlink w:anchor="Annexe_224C" w:history="1">
        <w:r>
          <w:rPr>
            <w:rStyle w:val="Lienhypertexte1"/>
            <w:color w:val="auto"/>
            <w:sz w:val="22"/>
            <w:szCs w:val="22"/>
          </w:rPr>
          <w:t>2.2.4.C.</w:t>
        </w:r>
      </w:hyperlink>
      <w:r>
        <w:rPr>
          <w:color w:val="auto"/>
          <w:szCs w:val="22"/>
        </w:rPr>
        <w:t xml:space="preserve"> et </w:t>
      </w:r>
      <w:hyperlink w:anchor="Annexe_224D" w:history="1">
        <w:r>
          <w:rPr>
            <w:rStyle w:val="Lienhypertexte1"/>
            <w:color w:val="auto"/>
            <w:sz w:val="22"/>
            <w:szCs w:val="22"/>
          </w:rPr>
          <w:t>2.2.4.D.</w:t>
        </w:r>
      </w:hyperlink>
      <w:r>
        <w:rPr>
          <w:color w:val="auto"/>
          <w:szCs w:val="22"/>
        </w:rPr>
        <w:t>).</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rPr>
          <w:color w:val="auto"/>
        </w:rPr>
      </w:pPr>
      <w:r>
        <w:rPr>
          <w:color w:val="auto"/>
        </w:rPr>
        <w:t xml:space="preserve">Il existe </w:t>
      </w:r>
      <w:r>
        <w:rPr>
          <w:color w:val="auto"/>
          <w:u w:val="single"/>
        </w:rPr>
        <w:t>3 cas de figure</w:t>
      </w:r>
      <w:r>
        <w:rPr>
          <w:color w:val="auto"/>
        </w:rPr>
        <w:t>:</w:t>
      </w:r>
    </w:p>
    <w:p>
      <w:pPr>
        <w:pStyle w:val="Corpsdetexte21"/>
        <w:numPr>
          <w:ilvl w:val="0"/>
          <w:numId w:val="129"/>
        </w:numPr>
        <w:tabs>
          <w:tab w:val="clear" w:pos="363"/>
          <w:tab w:val="num" w:pos="719"/>
          <w:tab w:val="left" w:pos="1416"/>
          <w:tab w:val="left" w:pos="2124"/>
          <w:tab w:val="left" w:pos="2832"/>
          <w:tab w:val="left" w:pos="3540"/>
          <w:tab w:val="left" w:pos="4248"/>
          <w:tab w:val="left" w:pos="4956"/>
          <w:tab w:val="left" w:pos="5664"/>
          <w:tab w:val="left" w:pos="6372"/>
          <w:tab w:val="left" w:pos="7080"/>
          <w:tab w:val="left" w:pos="7788"/>
          <w:tab w:val="left" w:pos="8496"/>
        </w:tabs>
        <w:spacing w:after="60"/>
        <w:ind w:left="719" w:hanging="363"/>
        <w:rPr>
          <w:color w:val="auto"/>
        </w:rPr>
      </w:pPr>
      <w:r>
        <w:rPr>
          <w:color w:val="auto"/>
        </w:rPr>
        <w:t xml:space="preserve">Le chef d’un établissement organisé par </w:t>
      </w:r>
      <w:smartTag w:uri="urn:schemas-microsoft-com:office:smarttags" w:element="PersonName">
        <w:smartTagPr>
          <w:attr w:name="ProductID" w:val="la F￩d￩ration Wallonie-Bruxelles"/>
        </w:smartTagPr>
        <w:r>
          <w:rPr>
            <w:color w:val="auto"/>
          </w:rPr>
          <w:t>la Fédération Wallonie-Bruxelles</w:t>
        </w:r>
      </w:smartTag>
      <w:r>
        <w:rPr>
          <w:color w:val="auto"/>
        </w:rPr>
        <w:t xml:space="preserve"> transmet immédiatement copie de l’attestation à l’une des commissions zonales des inscriptions.</w:t>
      </w:r>
    </w:p>
    <w:p>
      <w:pPr>
        <w:pStyle w:val="Corpsdetexte21"/>
        <w:numPr>
          <w:ilvl w:val="0"/>
          <w:numId w:val="129"/>
        </w:numPr>
        <w:tabs>
          <w:tab w:val="clear" w:pos="363"/>
          <w:tab w:val="num" w:pos="719"/>
          <w:tab w:val="left" w:pos="1416"/>
          <w:tab w:val="left" w:pos="2124"/>
          <w:tab w:val="left" w:pos="2832"/>
          <w:tab w:val="left" w:pos="3540"/>
          <w:tab w:val="left" w:pos="4248"/>
          <w:tab w:val="left" w:pos="4956"/>
          <w:tab w:val="left" w:pos="5664"/>
          <w:tab w:val="left" w:pos="6372"/>
          <w:tab w:val="left" w:pos="7080"/>
          <w:tab w:val="left" w:pos="7788"/>
          <w:tab w:val="left" w:pos="8496"/>
        </w:tabs>
        <w:spacing w:after="60"/>
        <w:ind w:left="719" w:hanging="363"/>
        <w:rPr>
          <w:color w:val="auto"/>
          <w:spacing w:val="-2"/>
        </w:rPr>
      </w:pPr>
      <w:r>
        <w:rPr>
          <w:color w:val="auto"/>
          <w:spacing w:val="-2"/>
        </w:rPr>
        <w:t xml:space="preserve">Le Pouvoir organisateur d’une école subventionnée ou son délégué transmet immédiatement copie de l’attestation à l’organe de représentation et de coordination ou à la commission décentralisée qui en informe </w:t>
      </w:r>
      <w:smartTag w:uri="urn:schemas-microsoft-com:office:smarttags" w:element="PersonName">
        <w:smartTagPr>
          <w:attr w:name="ProductID" w:val="la Direction"/>
        </w:smartTagPr>
        <w:r>
          <w:rPr>
            <w:color w:val="auto"/>
            <w:spacing w:val="-2"/>
          </w:rPr>
          <w:t>la Direction</w:t>
        </w:r>
      </w:smartTag>
      <w:r>
        <w:rPr>
          <w:color w:val="auto"/>
          <w:spacing w:val="-2"/>
        </w:rPr>
        <w:t xml:space="preserve"> générale de l’enseignement obligatoire. </w:t>
      </w:r>
    </w:p>
    <w:p>
      <w:pPr>
        <w:pStyle w:val="Corpsdetexte21"/>
        <w:numPr>
          <w:ilvl w:val="0"/>
          <w:numId w:val="129"/>
        </w:numPr>
        <w:tabs>
          <w:tab w:val="clear" w:pos="363"/>
          <w:tab w:val="num" w:pos="719"/>
          <w:tab w:val="left" w:pos="1416"/>
          <w:tab w:val="left" w:pos="2124"/>
          <w:tab w:val="left" w:pos="2832"/>
          <w:tab w:val="left" w:pos="3540"/>
          <w:tab w:val="left" w:pos="4248"/>
          <w:tab w:val="left" w:pos="4956"/>
          <w:tab w:val="left" w:pos="5664"/>
          <w:tab w:val="left" w:pos="6372"/>
          <w:tab w:val="left" w:pos="7080"/>
          <w:tab w:val="left" w:pos="7788"/>
          <w:tab w:val="left" w:pos="8496"/>
        </w:tabs>
        <w:ind w:left="719" w:hanging="360"/>
        <w:rPr>
          <w:color w:val="auto"/>
        </w:rPr>
      </w:pPr>
      <w:r>
        <w:rPr>
          <w:color w:val="auto"/>
        </w:rPr>
        <w:t xml:space="preserve">Dans l’enseignement subventionné, lorsque le Pouvoir organisateur n’a pas adhéré à un organe de représentation et de coordination, il (ou son délégué) transmet l’attestation à </w:t>
      </w:r>
      <w:smartTag w:uri="urn:schemas-microsoft-com:office:smarttags" w:element="PersonName">
        <w:smartTagPr>
          <w:attr w:name="ProductID" w:val="la Direction"/>
        </w:smartTagPr>
        <w:r>
          <w:rPr>
            <w:color w:val="auto"/>
          </w:rPr>
          <w:t>la Direction</w:t>
        </w:r>
      </w:smartTag>
      <w:r>
        <w:rPr>
          <w:color w:val="auto"/>
        </w:rPr>
        <w:t xml:space="preserve">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120" w:lineRule="auto"/>
        <w:rPr>
          <w:color w:val="auto"/>
          <w:sz w:val="16"/>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r>
        <w:rPr>
          <w:color w:val="auto"/>
          <w:spacing w:val="-4"/>
        </w:rPr>
        <w:t xml:space="preserve">Lorsqu’une école doit, </w:t>
      </w:r>
      <w:r>
        <w:rPr>
          <w:rFonts w:cs="Arial"/>
          <w:color w:val="auto"/>
          <w:spacing w:val="-4"/>
          <w:u w:val="single"/>
        </w:rPr>
        <w:t>pour des raisons d’insuffisance de locaux disponibles uniquement</w:t>
      </w:r>
      <w:r>
        <w:rPr>
          <w:color w:val="auto"/>
          <w:spacing w:val="-4"/>
        </w:rPr>
        <w:t>, limiter le nombre d’élèves qu’elle accueille, le chef d’établissement dans l’enseignement organisé par la Fédération Wallonie-Bruxelles, le Pouvoir organisateur dans l’enseignement subventionné, en informe immédiatement la Direction générale de l’enseignement obligatoire (</w:t>
      </w:r>
      <w:hyperlink w:anchor="Annexe_224E" w:history="1">
        <w:r>
          <w:rPr>
            <w:rStyle w:val="Lienhypertexte"/>
            <w:spacing w:val="-4"/>
          </w:rPr>
          <w:t>annexe 2.2.4.E</w:t>
        </w:r>
      </w:hyperlink>
      <w:r>
        <w:rPr>
          <w:color w:val="auto"/>
          <w:spacing w:val="-4"/>
        </w:rPr>
        <w:t xml:space="preserv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spacing w:val="-4"/>
        </w:rPr>
      </w:pPr>
      <w:r>
        <w:rPr>
          <w:color w:val="auto"/>
          <w:spacing w:val="-4"/>
        </w:rPr>
        <w:t>Tout élève est réputé être réinscrit d’année en année dans le même établissement tant que ses parents ou la personne investie de l’autorité parentale ne notifient pas par écrit leur décision de le désinscrire</w:t>
      </w:r>
      <w:r>
        <w:rPr>
          <w:rStyle w:val="Appelnotedebasdep"/>
          <w:color w:val="auto"/>
          <w:spacing w:val="-4"/>
        </w:rPr>
        <w:footnoteReference w:id="7"/>
      </w:r>
      <w:r>
        <w:rPr>
          <w:color w:val="auto"/>
          <w:spacing w:val="-4"/>
        </w:rPr>
        <w:t xml:space="preserve"> .</w:t>
      </w:r>
    </w:p>
    <w:p>
      <w:pPr>
        <w:pStyle w:val="Corpsdetexte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rFonts w:cs="Arial"/>
          <w:color w:val="auto"/>
        </w:rPr>
        <w:t>2</w:t>
      </w:r>
      <w:r>
        <w:rPr>
          <w:rFonts w:ascii="Arial Bold" w:hAnsi="Arial Bold"/>
          <w:color w:val="auto"/>
        </w:rPr>
        <w:t>.</w:t>
      </w:r>
      <w:r>
        <w:rPr>
          <w:color w:val="auto"/>
        </w:rPr>
        <w:t xml:space="preserve"> Dans toute école, </w:t>
      </w:r>
      <w:r>
        <w:rPr>
          <w:rFonts w:cs="Arial"/>
          <w:color w:val="auto"/>
          <w:u w:val="single"/>
        </w:rPr>
        <w:t>le refus de réinscription</w:t>
      </w:r>
      <w:r>
        <w:rPr>
          <w:color w:val="auto"/>
        </w:rPr>
        <w:t xml:space="preserve"> pour l’année scolaire suivante est traité comme une exclusion définitive (voir </w:t>
      </w:r>
      <w:hyperlink w:anchor="_2.6.2.__" w:history="1">
        <w:r>
          <w:rPr>
            <w:rStyle w:val="Lienhypertexte"/>
            <w:color w:val="auto"/>
          </w:rPr>
          <w:t>section 2.6.2.</w:t>
        </w:r>
      </w:hyperlink>
      <w:r>
        <w:rPr>
          <w:color w:val="auto"/>
        </w:rPr>
        <w:t xml:space="preserve">). Il est signifié au plus tard le 30 juin par lettre recommandée avec accusé de réception aux parents ou à la personne investie de l’autorité parentale. </w:t>
      </w:r>
    </w:p>
    <w:p>
      <w:pPr>
        <w:pStyle w:val="Titre6"/>
      </w:pPr>
    </w:p>
    <w:p>
      <w:pPr>
        <w:rPr>
          <w:lang w:val="fr-BE"/>
        </w:rPr>
      </w:pPr>
    </w:p>
    <w:p>
      <w:pPr>
        <w:pStyle w:val="Titre3"/>
      </w:pPr>
      <w:bookmarkStart w:id="315" w:name="Section2_2_5"/>
      <w:bookmarkStart w:id="316" w:name="_Toc423419970"/>
      <w:bookmarkStart w:id="317" w:name="_Toc450645177"/>
      <w:bookmarkStart w:id="318" w:name="_Toc453942413"/>
      <w:bookmarkStart w:id="319" w:name="_Toc454888030"/>
      <w:bookmarkStart w:id="320" w:name="_Toc486241694"/>
      <w:r>
        <w:t>2.2.5.</w:t>
      </w:r>
      <w:bookmarkEnd w:id="315"/>
      <w:r>
        <w:t xml:space="preserve"> Transmission des places disponibles dans l’enseignement fondamental - Application PLAF</w:t>
      </w:r>
      <w:bookmarkEnd w:id="316"/>
      <w:bookmarkEnd w:id="317"/>
      <w:bookmarkEnd w:id="318"/>
      <w:bookmarkEnd w:id="319"/>
      <w:bookmarkEnd w:id="320"/>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Tout établissement d’enseignement maternel et/ou primaire doit informer les services du Gouvernement du nombre de places disponibles pour chacune de ses implantations (articles 80 et 88 du </w:t>
      </w:r>
      <w:hyperlink r:id="rId43" w:history="1">
        <w:r>
          <w:rPr>
            <w:rStyle w:val="Lienhypertexte"/>
            <w:color w:val="auto"/>
          </w:rPr>
          <w:t>Décret du 24/07/1997</w:t>
        </w:r>
      </w:hyperlink>
      <w:r>
        <w:rPr>
          <w:color w:val="auto"/>
        </w:rPr>
        <w:t xml:space="preserv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Cette information doit être transmise à tout moment de l’année pour l’année scolaire en cours et à partir du mois de janvier pour l’année scolaire suivante.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numPr>
          <w:ilvl w:val="0"/>
          <w:numId w:val="17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Cette obligation concerne TOUTES les implantations maternelles, primaires et fondamentales ordinaires.</w:t>
      </w:r>
    </w:p>
    <w:p>
      <w:pPr>
        <w:pStyle w:val="Corpsdetexte21"/>
        <w:numPr>
          <w:ilvl w:val="0"/>
          <w:numId w:val="17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Cette obligation est d’application pour TOUTES les implantations, qu’elles possèdent des places disponibles ou pas.</w:t>
      </w:r>
    </w:p>
    <w:p>
      <w:pPr>
        <w:pStyle w:val="Corpsdetexte21"/>
        <w:numPr>
          <w:ilvl w:val="0"/>
          <w:numId w:val="17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Cette obligation concerne aussi les écoles qui ne refusent jamais d’élèves et/ou seraient en capacité d’ouvrir de nouvelles places. </w:t>
      </w:r>
    </w:p>
    <w:p>
      <w:pPr>
        <w:pStyle w:val="Corpsdetexte21"/>
        <w:numPr>
          <w:ilvl w:val="0"/>
          <w:numId w:val="170"/>
        </w:numPr>
        <w:tabs>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L’information transmise doit être modifiée si un changement survient qui modifie le nombre de places disponibles déclaré préalablement.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Afin de faciliter cette collecte d’informations, l’Administration a mis en place une application informatique « PLAF ». Le manuel d’utilisation de cette application est présenté dans la </w:t>
      </w:r>
      <w:hyperlink r:id="rId44" w:history="1">
        <w:r>
          <w:rPr>
            <w:rStyle w:val="Lienhypertexte"/>
            <w:color w:val="auto"/>
          </w:rPr>
          <w:t>circulaire n° 4981 du 05/09/2014</w:t>
        </w:r>
      </w:hyperlink>
      <w:r>
        <w:rPr>
          <w:color w:val="auto"/>
        </w:rPr>
        <w:t xml:space="preserv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 xml:space="preserve">Pour rappel, cette application permet également d’alimenter le site </w:t>
      </w:r>
      <w:hyperlink r:id="rId45" w:history="1">
        <w:r>
          <w:rPr>
            <w:rStyle w:val="Lienhypertexte"/>
            <w:color w:val="auto"/>
          </w:rPr>
          <w:t>www.placesecolesmaternellesetprimaires.cfwb.be</w:t>
        </w:r>
      </w:hyperlink>
      <w:r>
        <w:rPr>
          <w:color w:val="auto"/>
        </w:rPr>
        <w:t xml:space="preserve"> à partir duquel les responsables légaux peuvent effectuer une recherche d’établissements dans lesquels des places sont toujours disponibles.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r>
        <w:rPr>
          <w:color w:val="auto"/>
        </w:rPr>
        <w:t>Tout complément d’information peut être obtenu auprès de :</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0"/>
      </w:tblGrid>
      <w:tr>
        <w:trPr>
          <w:trHeight w:val="2004"/>
        </w:trPr>
        <w:tc>
          <w:tcPr>
            <w:tcW w:w="9210"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rPr>
            </w:pPr>
            <w:r>
              <w:rPr>
                <w:color w:val="auto"/>
              </w:rPr>
              <w:t>Direction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rPr>
            </w:pPr>
            <w:r>
              <w:rPr>
                <w:color w:val="auto"/>
              </w:rPr>
              <w:t>Service des Inscriptions et de l’Assistance aux Etablissements scolaires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rPr>
            </w:pPr>
            <w:r>
              <w:rPr>
                <w:color w:val="auto"/>
              </w:rPr>
              <w:t>Mme Laura BIETHERES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rPr>
            </w:pPr>
            <w:r>
              <w:rPr>
                <w:color w:val="auto"/>
              </w:rPr>
              <w:t>Bureau 3F335 – Tél. : 02/690.85.47</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rPr>
            </w:pPr>
            <w:r>
              <w:rPr>
                <w:color w:val="auto"/>
              </w:rPr>
              <w:t>Rue Adolphe Lavallée, 1</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color w:val="auto"/>
              </w:rPr>
            </w:pPr>
            <w:r>
              <w:rPr>
                <w:color w:val="auto"/>
              </w:rPr>
              <w:t>1080 BRUXELLES</w:t>
            </w:r>
          </w:p>
        </w:tc>
      </w:tr>
    </w:tbl>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color w:val="auto"/>
        </w:rPr>
      </w:pPr>
    </w:p>
    <w:p>
      <w:pPr>
        <w:pStyle w:val="Titre3"/>
      </w:pPr>
      <w:bookmarkStart w:id="321" w:name="_2.1.2.5._Inscription_des"/>
      <w:bookmarkStart w:id="322" w:name="_2.2.5.__Inscription"/>
      <w:bookmarkStart w:id="323" w:name="_2.2.5._Inscription_des"/>
      <w:bookmarkStart w:id="324" w:name="_Toc101153555"/>
      <w:bookmarkStart w:id="325" w:name="_Toc272404476"/>
      <w:bookmarkStart w:id="326" w:name="_Toc295931963"/>
      <w:bookmarkStart w:id="327" w:name="_Toc295913715"/>
      <w:bookmarkEnd w:id="321"/>
      <w:bookmarkEnd w:id="322"/>
      <w:bookmarkEnd w:id="323"/>
      <w:r>
        <w:br w:type="page"/>
      </w:r>
      <w:bookmarkStart w:id="328" w:name="Section2_2_6"/>
      <w:bookmarkStart w:id="329" w:name="_Toc423419971"/>
      <w:bookmarkStart w:id="330" w:name="_Toc450645178"/>
      <w:bookmarkStart w:id="331" w:name="_Toc453942414"/>
      <w:bookmarkStart w:id="332" w:name="_Toc454888031"/>
      <w:bookmarkStart w:id="333" w:name="_Toc486241695"/>
      <w:r>
        <w:t>2.2.6.</w:t>
      </w:r>
      <w:bookmarkEnd w:id="328"/>
      <w:r>
        <w:t xml:space="preserve"> Inscription des élèves primo-arrivants</w:t>
      </w:r>
      <w:r>
        <w:rPr>
          <w:sz w:val="16"/>
          <w:szCs w:val="16"/>
          <w:vertAlign w:val="superscript"/>
        </w:rPr>
        <w:footnoteReference w:id="8"/>
      </w:r>
      <w:bookmarkEnd w:id="324"/>
      <w:bookmarkEnd w:id="325"/>
      <w:bookmarkEnd w:id="326"/>
      <w:bookmarkEnd w:id="327"/>
      <w:bookmarkEnd w:id="329"/>
      <w:bookmarkEnd w:id="330"/>
      <w:bookmarkEnd w:id="331"/>
      <w:bookmarkEnd w:id="332"/>
      <w:bookmarkEnd w:id="333"/>
      <w:r>
        <w:t xml:space="preserve"> </w:t>
      </w:r>
    </w:p>
    <w:p>
      <w:pPr>
        <w:pStyle w:val="Textedebulles"/>
        <w:rPr>
          <w:rFonts w:ascii="Arial" w:hAnsi="Arial" w:cs="Times New Roman"/>
        </w:rPr>
      </w:pPr>
      <w:bookmarkStart w:id="334" w:name="_Toc101695359"/>
    </w:p>
    <w:p>
      <w:pPr>
        <w:rPr>
          <w:u w:val="single"/>
        </w:rPr>
      </w:pPr>
      <w:r>
        <w:rPr>
          <w:u w:val="single"/>
        </w:rPr>
        <w:t>Définition</w:t>
      </w:r>
      <w:bookmarkEnd w:id="334"/>
      <w:r>
        <w:rPr>
          <w:u w:val="single"/>
        </w:rPr>
        <w:t>:</w:t>
      </w:r>
    </w:p>
    <w:p>
      <w:pPr>
        <w:rPr>
          <w:sz w:val="8"/>
          <w:szCs w:val="8"/>
          <w:u w:val="single"/>
        </w:rPr>
      </w:pPr>
    </w:p>
    <w:p>
      <w:pPr>
        <w:spacing w:before="20"/>
        <w:jc w:val="both"/>
        <w:rPr>
          <w:b/>
          <w:i/>
        </w:rPr>
      </w:pPr>
      <w:r>
        <w:rPr>
          <w:b/>
          <w:i/>
        </w:rPr>
        <w:t>Un élève est primo-arrivant si, au moment de son inscription</w:t>
      </w:r>
      <w:r>
        <w:rPr>
          <w:rStyle w:val="Appelnotedebasdep"/>
          <w:b/>
          <w:i/>
        </w:rPr>
        <w:footnoteReference w:id="9"/>
      </w:r>
      <w:r>
        <w:rPr>
          <w:b/>
          <w:i/>
        </w:rPr>
        <w:t>, il répond conjointement aux 3 conditions ci-dessous. Il perd la qualité d’élève primo-arrivant le jour où au moins une de ces conditions n’est plus remplie :</w:t>
      </w:r>
    </w:p>
    <w:p>
      <w:pPr>
        <w:rPr>
          <w:b/>
          <w:i/>
          <w:sz w:val="8"/>
          <w:szCs w:val="8"/>
        </w:rPr>
      </w:pPr>
    </w:p>
    <w:p>
      <w:pPr>
        <w:pStyle w:val="Corpsdetexte2"/>
        <w:tabs>
          <w:tab w:val="left" w:pos="360"/>
        </w:tabs>
      </w:pPr>
      <w:r>
        <w:t xml:space="preserve">a) </w:t>
      </w:r>
      <w:r>
        <w:tab/>
      </w:r>
      <w:r>
        <w:rPr>
          <w:u w:val="single"/>
        </w:rPr>
        <w:t>Conditions d’âge</w:t>
      </w:r>
      <w:r>
        <w:t xml:space="preserve"> : être âgé de 2 ans et demi au moins</w:t>
      </w:r>
      <w:r>
        <w:rPr>
          <w:rStyle w:val="Appelnotedebasdep"/>
        </w:rPr>
        <w:footnoteReference w:id="10"/>
      </w:r>
      <w:r>
        <w:t xml:space="preserve"> et de moins de 18 ans;</w:t>
      </w:r>
    </w:p>
    <w:p>
      <w:pPr>
        <w:pStyle w:val="Corpsdetexte2"/>
        <w:tabs>
          <w:tab w:val="left" w:pos="360"/>
        </w:tabs>
        <w:rPr>
          <w:sz w:val="8"/>
          <w:szCs w:val="8"/>
        </w:rPr>
      </w:pPr>
    </w:p>
    <w:p>
      <w:pPr>
        <w:pStyle w:val="Corpsdetexte2"/>
        <w:tabs>
          <w:tab w:val="left" w:pos="360"/>
        </w:tabs>
        <w:ind w:left="356" w:hanging="357"/>
      </w:pPr>
      <w:r>
        <w:t>b)</w:t>
      </w:r>
      <w:r>
        <w:tab/>
      </w:r>
      <w:r>
        <w:rPr>
          <w:u w:val="single"/>
        </w:rPr>
        <w:t>Temps de présence sur le territoire belge</w:t>
      </w:r>
      <w:r>
        <w:t> : être arrivé sur le territoire national depuis moins d’un an au moment de sa 1</w:t>
      </w:r>
      <w:r>
        <w:rPr>
          <w:vertAlign w:val="superscript"/>
        </w:rPr>
        <w:t>ère</w:t>
      </w:r>
      <w:r>
        <w:t xml:space="preserve"> inscription dans une école de la FWB ;</w:t>
      </w:r>
    </w:p>
    <w:p>
      <w:pPr>
        <w:pStyle w:val="Corpsdetexte2"/>
        <w:tabs>
          <w:tab w:val="left" w:pos="360"/>
        </w:tabs>
        <w:rPr>
          <w:sz w:val="8"/>
          <w:szCs w:val="8"/>
        </w:rPr>
      </w:pPr>
    </w:p>
    <w:p>
      <w:pPr>
        <w:pStyle w:val="Corpsdetexte2"/>
        <w:tabs>
          <w:tab w:val="left" w:pos="360"/>
        </w:tabs>
        <w:spacing w:after="60"/>
      </w:pPr>
      <w:r>
        <w:t xml:space="preserve">c) </w:t>
      </w:r>
      <w:r>
        <w:tab/>
      </w:r>
      <w:r>
        <w:rPr>
          <w:u w:val="single"/>
        </w:rPr>
        <w:t>Conditions de statut</w:t>
      </w:r>
      <w:r>
        <w:t> :</w:t>
      </w:r>
    </w:p>
    <w:p>
      <w:pPr>
        <w:pStyle w:val="Corpsdetexte2"/>
        <w:spacing w:before="60" w:after="40"/>
        <w:ind w:left="539" w:hanging="181"/>
      </w:pPr>
      <w:r>
        <w:t>-</w:t>
      </w:r>
      <w:r>
        <w:tab/>
        <w:t>soit avoir introduit une demande de reconnaissance de la qualité de réfugié ou s’être vu reconnaître la qualité de réfugié conformément à la loi du 15 décembre 1980 sur l’accès au territoire, le séjour, l’établissement et l’éloignement des étrangers;</w:t>
      </w:r>
    </w:p>
    <w:p>
      <w:pPr>
        <w:pStyle w:val="Corpsdetexte2"/>
        <w:ind w:left="537" w:hanging="181"/>
      </w:pPr>
      <w:r>
        <w:t>-</w:t>
      </w:r>
      <w:r>
        <w:tab/>
        <w:t>soit être mineur accompagnant une personne ayant introduit une demande de reconnaissance de la qualité de réfugié ou s’étant vu reconnaître la qualité de réfugié conformément à la loi du 15 décembre 1980 sur l’accès au territoire, le séjour, l’établissement et l’éloignement des étrangers ;</w:t>
      </w:r>
    </w:p>
    <w:p>
      <w:pPr>
        <w:pStyle w:val="Corpsdetexte2"/>
        <w:ind w:left="537" w:hanging="181"/>
        <w:rPr>
          <w:sz w:val="8"/>
          <w:szCs w:val="8"/>
        </w:rPr>
      </w:pPr>
    </w:p>
    <w:p>
      <w:pPr>
        <w:pStyle w:val="Corpsdetexte2"/>
        <w:ind w:left="537" w:hanging="181"/>
      </w:pPr>
      <w:r>
        <w:t>-</w:t>
      </w:r>
      <w:r>
        <w:tab/>
      </w:r>
      <w:r>
        <w:rPr>
          <w:spacing w:val="-10"/>
        </w:rPr>
        <w:t>soit être reconnu comme apatride ;</w:t>
      </w:r>
    </w:p>
    <w:p>
      <w:pPr>
        <w:pStyle w:val="Corpsdetexte2"/>
        <w:ind w:left="537" w:hanging="181"/>
        <w:rPr>
          <w:sz w:val="8"/>
          <w:szCs w:val="8"/>
        </w:rPr>
      </w:pPr>
    </w:p>
    <w:p>
      <w:pPr>
        <w:pStyle w:val="Corpsdetexte2"/>
        <w:spacing w:after="120"/>
        <w:ind w:left="538" w:hanging="181"/>
      </w:pPr>
      <w:r>
        <w:t>-</w:t>
      </w:r>
      <w:r>
        <w:tab/>
        <w:t>soit être ressortissant</w:t>
      </w:r>
      <w:r>
        <w:rPr>
          <w:rStyle w:val="Appelnotedebasdep"/>
        </w:rPr>
        <w:footnoteReference w:id="11"/>
      </w:r>
      <w:r>
        <w:t xml:space="preserve"> d’un pays bénéficiaire de l’aide au développement du Comité d’aide au développement de l’Organisation de Coopération et de Développement économique.</w:t>
      </w:r>
    </w:p>
    <w:p>
      <w:pPr>
        <w:pStyle w:val="Corpsdetexte2"/>
        <w:ind w:right="-262"/>
        <w:rPr>
          <w:szCs w:val="22"/>
        </w:rPr>
      </w:pPr>
      <w:r>
        <w:rPr>
          <w:b/>
          <w:szCs w:val="22"/>
          <w:u w:val="single"/>
        </w:rPr>
        <w:t>Remarque :</w:t>
      </w:r>
      <w:r>
        <w:rPr>
          <w:szCs w:val="22"/>
        </w:rPr>
        <w:t xml:space="preserve"> un élève qui dispose d’une double nationalité (belge et étrangère) ne peut être considéré comme primo-arrivant. </w:t>
      </w:r>
    </w:p>
    <w:p>
      <w:pPr>
        <w:pStyle w:val="Corpsdetexte2"/>
        <w:ind w:right="-262"/>
        <w:rPr>
          <w:bCs/>
          <w:iCs/>
          <w:spacing w:val="-8"/>
        </w:rPr>
      </w:pPr>
    </w:p>
    <w:p>
      <w:pPr>
        <w:pStyle w:val="Corpsdetexte2"/>
        <w:ind w:right="-262"/>
        <w:rPr>
          <w:bCs/>
          <w:iCs/>
          <w:spacing w:val="-8"/>
        </w:rPr>
      </w:pPr>
    </w:p>
    <w:p>
      <w:pPr>
        <w:pStyle w:val="Corpsdetexte2"/>
        <w:ind w:left="356" w:right="-262"/>
        <w:jc w:val="center"/>
        <w:rPr>
          <w:b/>
          <w:bCs/>
          <w:i/>
          <w:iCs/>
          <w:spacing w:val="-8"/>
        </w:rPr>
      </w:pPr>
      <w:r>
        <w:rPr>
          <w:b/>
          <w:bCs/>
          <w:i/>
          <w:iCs/>
          <w:spacing w:val="-8"/>
        </w:rPr>
        <w:br w:type="page"/>
        <w:t>Liste des pays bénéficiaires de l’APD établie par le CAD (1</w:t>
      </w:r>
      <w:r>
        <w:rPr>
          <w:b/>
          <w:bCs/>
          <w:i/>
          <w:iCs/>
          <w:spacing w:val="-8"/>
          <w:vertAlign w:val="superscript"/>
        </w:rPr>
        <w:t>er</w:t>
      </w:r>
      <w:r>
        <w:rPr>
          <w:b/>
          <w:bCs/>
          <w:i/>
          <w:iCs/>
          <w:spacing w:val="-8"/>
        </w:rPr>
        <w:t xml:space="preserve"> janvier 2012)</w:t>
      </w:r>
    </w:p>
    <w:p>
      <w:pPr>
        <w:pStyle w:val="Corpsdetexte2"/>
        <w:ind w:left="356" w:right="-262"/>
        <w:jc w:val="center"/>
        <w:rPr>
          <w:b/>
          <w:bCs/>
          <w:i/>
          <w:iCs/>
          <w:spacing w:val="-8"/>
        </w:rPr>
      </w:pPr>
    </w:p>
    <w:tbl>
      <w:tblPr>
        <w:tblW w:w="940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012"/>
        <w:gridCol w:w="2013"/>
        <w:gridCol w:w="2525"/>
        <w:gridCol w:w="2852"/>
      </w:tblGrid>
      <w:tr>
        <w:trPr>
          <w:cantSplit/>
          <w:trHeight w:hRule="exact" w:val="851"/>
          <w:jc w:val="center"/>
        </w:trPr>
        <w:tc>
          <w:tcPr>
            <w:tcW w:w="2012" w:type="dxa"/>
          </w:tcPr>
          <w:p>
            <w:pPr>
              <w:autoSpaceDE w:val="0"/>
              <w:autoSpaceDN w:val="0"/>
              <w:adjustRightInd w:val="0"/>
              <w:spacing w:before="40"/>
              <w:jc w:val="center"/>
              <w:rPr>
                <w:rFonts w:cs="Arial"/>
                <w:b/>
                <w:sz w:val="15"/>
                <w:szCs w:val="15"/>
              </w:rPr>
            </w:pPr>
            <w:r>
              <w:rPr>
                <w:rFonts w:cs="Arial"/>
                <w:b/>
                <w:sz w:val="15"/>
                <w:szCs w:val="15"/>
              </w:rPr>
              <w:t>Pays les moins</w:t>
            </w:r>
          </w:p>
          <w:p>
            <w:pPr>
              <w:autoSpaceDE w:val="0"/>
              <w:autoSpaceDN w:val="0"/>
              <w:adjustRightInd w:val="0"/>
              <w:spacing w:before="40"/>
              <w:jc w:val="center"/>
              <w:rPr>
                <w:rFonts w:cs="Arial"/>
                <w:b/>
                <w:bCs/>
                <w:sz w:val="15"/>
                <w:szCs w:val="15"/>
              </w:rPr>
            </w:pPr>
            <w:r>
              <w:rPr>
                <w:rFonts w:cs="Arial"/>
                <w:b/>
                <w:sz w:val="15"/>
                <w:szCs w:val="15"/>
              </w:rPr>
              <w:t>avancés</w:t>
            </w:r>
          </w:p>
        </w:tc>
        <w:tc>
          <w:tcPr>
            <w:tcW w:w="2013" w:type="dxa"/>
          </w:tcPr>
          <w:p>
            <w:pPr>
              <w:jc w:val="center"/>
              <w:rPr>
                <w:rFonts w:cs="Arial"/>
                <w:b/>
                <w:bCs/>
                <w:sz w:val="15"/>
                <w:szCs w:val="15"/>
              </w:rPr>
            </w:pPr>
            <w:r>
              <w:rPr>
                <w:rFonts w:cs="Arial"/>
                <w:b/>
                <w:bCs/>
                <w:sz w:val="15"/>
                <w:szCs w:val="15"/>
              </w:rPr>
              <w:t>Pays à faible revenu</w:t>
            </w:r>
          </w:p>
          <w:p>
            <w:pPr>
              <w:jc w:val="center"/>
              <w:rPr>
                <w:rFonts w:cs="Arial"/>
                <w:sz w:val="15"/>
                <w:szCs w:val="15"/>
              </w:rPr>
            </w:pPr>
            <w:r>
              <w:rPr>
                <w:rFonts w:cs="Arial"/>
                <w:sz w:val="15"/>
                <w:szCs w:val="15"/>
              </w:rPr>
              <w:t>(RNB par habitant &lt; $1 005 en 2010)</w:t>
            </w:r>
          </w:p>
        </w:tc>
        <w:tc>
          <w:tcPr>
            <w:tcW w:w="2525" w:type="dxa"/>
          </w:tcPr>
          <w:p>
            <w:pPr>
              <w:jc w:val="center"/>
              <w:rPr>
                <w:rFonts w:cs="Arial"/>
                <w:b/>
                <w:bCs/>
                <w:sz w:val="15"/>
                <w:szCs w:val="15"/>
              </w:rPr>
            </w:pPr>
            <w:r>
              <w:rPr>
                <w:rFonts w:cs="Arial"/>
                <w:b/>
                <w:bCs/>
                <w:sz w:val="15"/>
                <w:szCs w:val="15"/>
              </w:rPr>
              <w:t>Pays et territoires à revenu intermédiaire tranche inférieure</w:t>
            </w:r>
          </w:p>
          <w:p>
            <w:pPr>
              <w:jc w:val="center"/>
              <w:rPr>
                <w:rFonts w:cs="Arial"/>
                <w:sz w:val="16"/>
                <w:szCs w:val="16"/>
              </w:rPr>
            </w:pPr>
            <w:r>
              <w:rPr>
                <w:rFonts w:cs="Arial"/>
                <w:sz w:val="16"/>
                <w:szCs w:val="16"/>
              </w:rPr>
              <w:t>(RNB par habitant $1 006-$3 975 en  2010)</w:t>
            </w:r>
          </w:p>
        </w:tc>
        <w:tc>
          <w:tcPr>
            <w:tcW w:w="2852" w:type="dxa"/>
          </w:tcPr>
          <w:p>
            <w:pPr>
              <w:autoSpaceDE w:val="0"/>
              <w:autoSpaceDN w:val="0"/>
              <w:adjustRightInd w:val="0"/>
              <w:jc w:val="center"/>
              <w:rPr>
                <w:rFonts w:cs="Arial"/>
                <w:b/>
                <w:bCs/>
                <w:sz w:val="15"/>
                <w:szCs w:val="15"/>
              </w:rPr>
            </w:pPr>
            <w:r>
              <w:rPr>
                <w:rFonts w:cs="Arial"/>
                <w:b/>
                <w:bCs/>
                <w:sz w:val="15"/>
                <w:szCs w:val="15"/>
              </w:rPr>
              <w:t>Pays et territoires à revenu intermédiaire tranche supérieure</w:t>
            </w:r>
          </w:p>
          <w:p>
            <w:pPr>
              <w:autoSpaceDE w:val="0"/>
              <w:autoSpaceDN w:val="0"/>
              <w:adjustRightInd w:val="0"/>
              <w:jc w:val="center"/>
              <w:rPr>
                <w:rFonts w:cs="Arial"/>
                <w:sz w:val="16"/>
                <w:szCs w:val="16"/>
              </w:rPr>
            </w:pPr>
            <w:r>
              <w:rPr>
                <w:rFonts w:cs="Arial"/>
                <w:sz w:val="15"/>
                <w:szCs w:val="15"/>
              </w:rPr>
              <w:t>(RNB par habitant $3 976-$12 275 en 2010)</w:t>
            </w:r>
          </w:p>
          <w:p>
            <w:pPr>
              <w:jc w:val="center"/>
              <w:rPr>
                <w:rFonts w:cs="Arial"/>
                <w:sz w:val="16"/>
                <w:szCs w:val="16"/>
              </w:rPr>
            </w:pPr>
          </w:p>
        </w:tc>
      </w:tr>
      <w:tr>
        <w:trPr>
          <w:cantSplit/>
          <w:jc w:val="center"/>
        </w:trPr>
        <w:tc>
          <w:tcPr>
            <w:tcW w:w="2012" w:type="dxa"/>
          </w:tcPr>
          <w:p>
            <w:pPr>
              <w:autoSpaceDE w:val="0"/>
              <w:autoSpaceDN w:val="0"/>
              <w:adjustRightInd w:val="0"/>
              <w:rPr>
                <w:rFonts w:cs="Arial"/>
                <w:sz w:val="16"/>
                <w:szCs w:val="16"/>
                <w:lang w:val="en-GB"/>
              </w:rPr>
            </w:pPr>
            <w:smartTag w:uri="urn:schemas-microsoft-com:office:smarttags" w:element="place">
              <w:smartTag w:uri="urn:schemas-microsoft-com:office:smarttags" w:element="country-region">
                <w:r>
                  <w:rPr>
                    <w:rFonts w:cs="Arial"/>
                    <w:sz w:val="16"/>
                    <w:szCs w:val="16"/>
                    <w:lang w:val="en-GB"/>
                  </w:rPr>
                  <w:t>Afghanistan</w:t>
                </w:r>
              </w:smartTag>
            </w:smartTag>
          </w:p>
          <w:p>
            <w:pPr>
              <w:autoSpaceDE w:val="0"/>
              <w:autoSpaceDN w:val="0"/>
              <w:adjustRightInd w:val="0"/>
              <w:rPr>
                <w:rFonts w:cs="Arial"/>
                <w:sz w:val="16"/>
                <w:szCs w:val="16"/>
                <w:lang w:val="en-GB"/>
              </w:rPr>
            </w:pPr>
            <w:smartTag w:uri="urn:schemas-microsoft-com:office:smarttags" w:element="place">
              <w:smartTag w:uri="urn:schemas-microsoft-com:office:smarttags" w:element="country-region">
                <w:r>
                  <w:rPr>
                    <w:rFonts w:cs="Arial"/>
                    <w:sz w:val="16"/>
                    <w:szCs w:val="16"/>
                    <w:lang w:val="en-GB"/>
                  </w:rPr>
                  <w:t>Angola</w:t>
                </w:r>
              </w:smartTag>
            </w:smartTag>
          </w:p>
          <w:p>
            <w:pPr>
              <w:autoSpaceDE w:val="0"/>
              <w:autoSpaceDN w:val="0"/>
              <w:adjustRightInd w:val="0"/>
              <w:rPr>
                <w:rFonts w:cs="Arial"/>
                <w:sz w:val="16"/>
                <w:szCs w:val="16"/>
                <w:lang w:val="en-GB"/>
              </w:rPr>
            </w:pPr>
            <w:smartTag w:uri="urn:schemas-microsoft-com:office:smarttags" w:element="place">
              <w:smartTag w:uri="urn:schemas-microsoft-com:office:smarttags" w:element="country-region">
                <w:r>
                  <w:rPr>
                    <w:rFonts w:cs="Arial"/>
                    <w:sz w:val="16"/>
                    <w:szCs w:val="16"/>
                    <w:lang w:val="en-GB"/>
                  </w:rPr>
                  <w:t>Bangladesh</w:t>
                </w:r>
              </w:smartTag>
            </w:smartTag>
          </w:p>
          <w:p>
            <w:pPr>
              <w:autoSpaceDE w:val="0"/>
              <w:autoSpaceDN w:val="0"/>
              <w:adjustRightInd w:val="0"/>
              <w:rPr>
                <w:rFonts w:cs="Arial"/>
                <w:sz w:val="16"/>
                <w:szCs w:val="16"/>
                <w:lang w:val="en-GB"/>
              </w:rPr>
            </w:pPr>
            <w:r>
              <w:rPr>
                <w:rFonts w:cs="Arial"/>
                <w:sz w:val="16"/>
                <w:szCs w:val="16"/>
                <w:lang w:val="en-GB"/>
              </w:rPr>
              <w:t>Bénin</w:t>
            </w:r>
          </w:p>
          <w:p>
            <w:pPr>
              <w:autoSpaceDE w:val="0"/>
              <w:autoSpaceDN w:val="0"/>
              <w:adjustRightInd w:val="0"/>
              <w:rPr>
                <w:rFonts w:cs="Arial"/>
                <w:sz w:val="16"/>
                <w:szCs w:val="16"/>
                <w:lang w:val="en-GB"/>
              </w:rPr>
            </w:pPr>
            <w:r>
              <w:rPr>
                <w:rFonts w:cs="Arial"/>
                <w:sz w:val="16"/>
                <w:szCs w:val="16"/>
                <w:lang w:val="en-GB"/>
              </w:rPr>
              <w:t>Bhoutan</w:t>
            </w:r>
          </w:p>
          <w:p>
            <w:pPr>
              <w:autoSpaceDE w:val="0"/>
              <w:autoSpaceDN w:val="0"/>
              <w:adjustRightInd w:val="0"/>
              <w:rPr>
                <w:rFonts w:cs="Arial"/>
                <w:sz w:val="16"/>
                <w:szCs w:val="16"/>
                <w:lang w:val="en-GB"/>
              </w:rPr>
            </w:pPr>
            <w:smartTag w:uri="urn:schemas-microsoft-com:office:smarttags" w:element="place">
              <w:smartTag w:uri="urn:schemas-microsoft-com:office:smarttags" w:element="country-region">
                <w:r>
                  <w:rPr>
                    <w:rFonts w:cs="Arial"/>
                    <w:sz w:val="16"/>
                    <w:szCs w:val="16"/>
                    <w:lang w:val="en-GB"/>
                  </w:rPr>
                  <w:t>Burkina Faso</w:t>
                </w:r>
              </w:smartTag>
            </w:smartTag>
          </w:p>
          <w:p>
            <w:pPr>
              <w:autoSpaceDE w:val="0"/>
              <w:autoSpaceDN w:val="0"/>
              <w:adjustRightInd w:val="0"/>
              <w:rPr>
                <w:rFonts w:cs="Arial"/>
                <w:sz w:val="16"/>
                <w:szCs w:val="16"/>
                <w:lang w:val="fr-BE"/>
              </w:rPr>
            </w:pPr>
            <w:r>
              <w:rPr>
                <w:rFonts w:cs="Arial"/>
                <w:sz w:val="16"/>
                <w:szCs w:val="16"/>
                <w:lang w:val="fr-BE"/>
              </w:rPr>
              <w:t>Burundi</w:t>
            </w:r>
          </w:p>
          <w:p>
            <w:pPr>
              <w:autoSpaceDE w:val="0"/>
              <w:autoSpaceDN w:val="0"/>
              <w:adjustRightInd w:val="0"/>
              <w:rPr>
                <w:rFonts w:cs="Arial"/>
                <w:sz w:val="16"/>
                <w:szCs w:val="16"/>
              </w:rPr>
            </w:pPr>
            <w:r>
              <w:rPr>
                <w:rFonts w:cs="Arial"/>
                <w:sz w:val="16"/>
                <w:szCs w:val="16"/>
              </w:rPr>
              <w:t>Cambodge</w:t>
            </w:r>
          </w:p>
          <w:p>
            <w:pPr>
              <w:autoSpaceDE w:val="0"/>
              <w:autoSpaceDN w:val="0"/>
              <w:adjustRightInd w:val="0"/>
              <w:rPr>
                <w:rFonts w:cs="Arial"/>
                <w:sz w:val="16"/>
                <w:szCs w:val="16"/>
              </w:rPr>
            </w:pPr>
            <w:r>
              <w:rPr>
                <w:rFonts w:cs="Arial"/>
                <w:sz w:val="16"/>
                <w:szCs w:val="16"/>
              </w:rPr>
              <w:t>République Centrafricaine,</w:t>
            </w:r>
          </w:p>
          <w:p>
            <w:pPr>
              <w:autoSpaceDE w:val="0"/>
              <w:autoSpaceDN w:val="0"/>
              <w:adjustRightInd w:val="0"/>
              <w:rPr>
                <w:rFonts w:cs="Arial"/>
                <w:sz w:val="16"/>
                <w:szCs w:val="16"/>
              </w:rPr>
            </w:pPr>
            <w:r>
              <w:rPr>
                <w:rFonts w:cs="Arial"/>
                <w:sz w:val="16"/>
                <w:szCs w:val="16"/>
              </w:rPr>
              <w:t>Comores</w:t>
            </w:r>
          </w:p>
          <w:p>
            <w:pPr>
              <w:autoSpaceDE w:val="0"/>
              <w:autoSpaceDN w:val="0"/>
              <w:adjustRightInd w:val="0"/>
              <w:rPr>
                <w:rFonts w:cs="Arial"/>
                <w:sz w:val="16"/>
                <w:szCs w:val="16"/>
              </w:rPr>
            </w:pPr>
            <w:r>
              <w:rPr>
                <w:rFonts w:cs="Arial"/>
                <w:sz w:val="16"/>
                <w:szCs w:val="16"/>
              </w:rPr>
              <w:t>Congo, Rép. dém.</w:t>
            </w:r>
          </w:p>
          <w:p>
            <w:pPr>
              <w:autoSpaceDE w:val="0"/>
              <w:autoSpaceDN w:val="0"/>
              <w:adjustRightInd w:val="0"/>
              <w:rPr>
                <w:rFonts w:cs="Arial"/>
                <w:sz w:val="16"/>
                <w:szCs w:val="16"/>
              </w:rPr>
            </w:pPr>
            <w:r>
              <w:rPr>
                <w:rFonts w:cs="Arial"/>
                <w:sz w:val="16"/>
                <w:szCs w:val="16"/>
              </w:rPr>
              <w:t>Djibouti</w:t>
            </w:r>
          </w:p>
          <w:p>
            <w:pPr>
              <w:autoSpaceDE w:val="0"/>
              <w:autoSpaceDN w:val="0"/>
              <w:adjustRightInd w:val="0"/>
              <w:rPr>
                <w:rFonts w:cs="Arial"/>
                <w:sz w:val="16"/>
                <w:szCs w:val="16"/>
              </w:rPr>
            </w:pPr>
            <w:r>
              <w:rPr>
                <w:rFonts w:cs="Arial"/>
                <w:sz w:val="16"/>
                <w:szCs w:val="16"/>
              </w:rPr>
              <w:t>Erythrée</w:t>
            </w:r>
          </w:p>
          <w:p>
            <w:pPr>
              <w:autoSpaceDE w:val="0"/>
              <w:autoSpaceDN w:val="0"/>
              <w:adjustRightInd w:val="0"/>
              <w:rPr>
                <w:rFonts w:cs="Arial"/>
                <w:sz w:val="16"/>
                <w:szCs w:val="16"/>
              </w:rPr>
            </w:pPr>
            <w:r>
              <w:rPr>
                <w:rFonts w:cs="Arial"/>
                <w:sz w:val="16"/>
                <w:szCs w:val="16"/>
              </w:rPr>
              <w:t>Ethiopie</w:t>
            </w:r>
          </w:p>
          <w:p>
            <w:pPr>
              <w:autoSpaceDE w:val="0"/>
              <w:autoSpaceDN w:val="0"/>
              <w:adjustRightInd w:val="0"/>
              <w:rPr>
                <w:rFonts w:cs="Arial"/>
                <w:sz w:val="16"/>
                <w:szCs w:val="16"/>
              </w:rPr>
            </w:pPr>
            <w:r>
              <w:rPr>
                <w:rFonts w:cs="Arial"/>
                <w:sz w:val="16"/>
                <w:szCs w:val="16"/>
              </w:rPr>
              <w:t>Gambie</w:t>
            </w:r>
          </w:p>
          <w:p>
            <w:pPr>
              <w:autoSpaceDE w:val="0"/>
              <w:autoSpaceDN w:val="0"/>
              <w:adjustRightInd w:val="0"/>
              <w:rPr>
                <w:rFonts w:cs="Arial"/>
                <w:sz w:val="16"/>
                <w:szCs w:val="16"/>
              </w:rPr>
            </w:pPr>
            <w:r>
              <w:rPr>
                <w:rFonts w:cs="Arial"/>
                <w:sz w:val="16"/>
                <w:szCs w:val="16"/>
              </w:rPr>
              <w:t>Guinée</w:t>
            </w:r>
          </w:p>
          <w:p>
            <w:pPr>
              <w:autoSpaceDE w:val="0"/>
              <w:autoSpaceDN w:val="0"/>
              <w:adjustRightInd w:val="0"/>
              <w:rPr>
                <w:rFonts w:cs="Arial"/>
                <w:sz w:val="16"/>
                <w:szCs w:val="16"/>
              </w:rPr>
            </w:pPr>
            <w:r>
              <w:rPr>
                <w:rFonts w:cs="Arial"/>
                <w:sz w:val="16"/>
                <w:szCs w:val="16"/>
              </w:rPr>
              <w:t>Guinée-Bissau</w:t>
            </w:r>
          </w:p>
          <w:p>
            <w:pPr>
              <w:autoSpaceDE w:val="0"/>
              <w:autoSpaceDN w:val="0"/>
              <w:adjustRightInd w:val="0"/>
              <w:rPr>
                <w:rFonts w:cs="Arial"/>
                <w:sz w:val="16"/>
                <w:szCs w:val="16"/>
              </w:rPr>
            </w:pPr>
            <w:r>
              <w:rPr>
                <w:rFonts w:cs="Arial"/>
                <w:sz w:val="16"/>
                <w:szCs w:val="16"/>
              </w:rPr>
              <w:t>Guinée équatoriale</w:t>
            </w:r>
          </w:p>
          <w:p>
            <w:pPr>
              <w:autoSpaceDE w:val="0"/>
              <w:autoSpaceDN w:val="0"/>
              <w:adjustRightInd w:val="0"/>
              <w:rPr>
                <w:rFonts w:cs="Arial"/>
                <w:sz w:val="16"/>
                <w:szCs w:val="16"/>
              </w:rPr>
            </w:pPr>
            <w:r>
              <w:rPr>
                <w:rFonts w:cs="Arial"/>
                <w:sz w:val="16"/>
                <w:szCs w:val="16"/>
              </w:rPr>
              <w:t>Haïti</w:t>
            </w:r>
          </w:p>
          <w:p>
            <w:pPr>
              <w:autoSpaceDE w:val="0"/>
              <w:autoSpaceDN w:val="0"/>
              <w:adjustRightInd w:val="0"/>
              <w:rPr>
                <w:rFonts w:cs="Arial"/>
                <w:sz w:val="16"/>
                <w:szCs w:val="16"/>
              </w:rPr>
            </w:pPr>
            <w:r>
              <w:rPr>
                <w:rFonts w:cs="Arial"/>
                <w:sz w:val="16"/>
                <w:szCs w:val="16"/>
              </w:rPr>
              <w:t>Kiribati</w:t>
            </w:r>
          </w:p>
          <w:p>
            <w:pPr>
              <w:autoSpaceDE w:val="0"/>
              <w:autoSpaceDN w:val="0"/>
              <w:adjustRightInd w:val="0"/>
              <w:rPr>
                <w:rFonts w:cs="Arial"/>
                <w:sz w:val="16"/>
                <w:szCs w:val="16"/>
              </w:rPr>
            </w:pPr>
            <w:r>
              <w:rPr>
                <w:rFonts w:cs="Arial"/>
                <w:sz w:val="16"/>
                <w:szCs w:val="16"/>
              </w:rPr>
              <w:t>Laos</w:t>
            </w:r>
          </w:p>
          <w:p>
            <w:pPr>
              <w:autoSpaceDE w:val="0"/>
              <w:autoSpaceDN w:val="0"/>
              <w:adjustRightInd w:val="0"/>
              <w:rPr>
                <w:rFonts w:cs="Arial"/>
                <w:sz w:val="16"/>
                <w:szCs w:val="16"/>
              </w:rPr>
            </w:pPr>
            <w:r>
              <w:rPr>
                <w:rFonts w:cs="Arial"/>
                <w:sz w:val="16"/>
                <w:szCs w:val="16"/>
              </w:rPr>
              <w:t>Lesotho</w:t>
            </w:r>
          </w:p>
          <w:p>
            <w:pPr>
              <w:autoSpaceDE w:val="0"/>
              <w:autoSpaceDN w:val="0"/>
              <w:adjustRightInd w:val="0"/>
              <w:rPr>
                <w:rFonts w:cs="Arial"/>
                <w:sz w:val="16"/>
                <w:szCs w:val="16"/>
              </w:rPr>
            </w:pPr>
            <w:r>
              <w:rPr>
                <w:rFonts w:cs="Arial"/>
                <w:sz w:val="16"/>
                <w:szCs w:val="16"/>
              </w:rPr>
              <w:t>Libéria</w:t>
            </w:r>
          </w:p>
          <w:p>
            <w:pPr>
              <w:autoSpaceDE w:val="0"/>
              <w:autoSpaceDN w:val="0"/>
              <w:adjustRightInd w:val="0"/>
              <w:rPr>
                <w:rFonts w:cs="Arial"/>
                <w:sz w:val="16"/>
                <w:szCs w:val="16"/>
              </w:rPr>
            </w:pPr>
            <w:r>
              <w:rPr>
                <w:rFonts w:cs="Arial"/>
                <w:sz w:val="16"/>
                <w:szCs w:val="16"/>
              </w:rPr>
              <w:t>Madagascar</w:t>
            </w:r>
          </w:p>
          <w:p>
            <w:pPr>
              <w:autoSpaceDE w:val="0"/>
              <w:autoSpaceDN w:val="0"/>
              <w:adjustRightInd w:val="0"/>
              <w:rPr>
                <w:rFonts w:cs="Arial"/>
                <w:sz w:val="16"/>
                <w:szCs w:val="16"/>
              </w:rPr>
            </w:pPr>
            <w:r>
              <w:rPr>
                <w:rFonts w:cs="Arial"/>
                <w:sz w:val="16"/>
                <w:szCs w:val="16"/>
              </w:rPr>
              <w:t>Malawi</w:t>
            </w:r>
          </w:p>
          <w:p>
            <w:pPr>
              <w:autoSpaceDE w:val="0"/>
              <w:autoSpaceDN w:val="0"/>
              <w:adjustRightInd w:val="0"/>
              <w:rPr>
                <w:rFonts w:cs="Arial"/>
                <w:sz w:val="16"/>
                <w:szCs w:val="16"/>
              </w:rPr>
            </w:pPr>
            <w:r>
              <w:rPr>
                <w:rFonts w:cs="Arial"/>
                <w:sz w:val="16"/>
                <w:szCs w:val="16"/>
              </w:rPr>
              <w:t>Mali</w:t>
            </w:r>
          </w:p>
          <w:p>
            <w:pPr>
              <w:autoSpaceDE w:val="0"/>
              <w:autoSpaceDN w:val="0"/>
              <w:adjustRightInd w:val="0"/>
              <w:rPr>
                <w:rFonts w:cs="Arial"/>
                <w:sz w:val="16"/>
                <w:szCs w:val="16"/>
              </w:rPr>
            </w:pPr>
            <w:r>
              <w:rPr>
                <w:rFonts w:cs="Arial"/>
                <w:sz w:val="16"/>
                <w:szCs w:val="16"/>
              </w:rPr>
              <w:t>Mauritanie</w:t>
            </w:r>
          </w:p>
          <w:p>
            <w:pPr>
              <w:autoSpaceDE w:val="0"/>
              <w:autoSpaceDN w:val="0"/>
              <w:adjustRightInd w:val="0"/>
              <w:rPr>
                <w:rFonts w:cs="Arial"/>
                <w:sz w:val="16"/>
                <w:szCs w:val="16"/>
              </w:rPr>
            </w:pPr>
            <w:r>
              <w:rPr>
                <w:rFonts w:cs="Arial"/>
                <w:sz w:val="16"/>
                <w:szCs w:val="16"/>
              </w:rPr>
              <w:t>Mozambique</w:t>
            </w:r>
          </w:p>
          <w:p>
            <w:pPr>
              <w:autoSpaceDE w:val="0"/>
              <w:autoSpaceDN w:val="0"/>
              <w:adjustRightInd w:val="0"/>
              <w:rPr>
                <w:rFonts w:cs="Arial"/>
                <w:sz w:val="16"/>
                <w:szCs w:val="16"/>
              </w:rPr>
            </w:pPr>
            <w:r>
              <w:rPr>
                <w:rFonts w:cs="Arial"/>
                <w:sz w:val="16"/>
                <w:szCs w:val="16"/>
              </w:rPr>
              <w:t>Myanmar</w:t>
            </w:r>
          </w:p>
          <w:p>
            <w:pPr>
              <w:autoSpaceDE w:val="0"/>
              <w:autoSpaceDN w:val="0"/>
              <w:adjustRightInd w:val="0"/>
              <w:rPr>
                <w:rFonts w:cs="Arial"/>
                <w:sz w:val="16"/>
                <w:szCs w:val="16"/>
              </w:rPr>
            </w:pPr>
            <w:r>
              <w:rPr>
                <w:rFonts w:cs="Arial"/>
                <w:sz w:val="16"/>
                <w:szCs w:val="16"/>
              </w:rPr>
              <w:t>Népal</w:t>
            </w:r>
          </w:p>
          <w:p>
            <w:pPr>
              <w:autoSpaceDE w:val="0"/>
              <w:autoSpaceDN w:val="0"/>
              <w:adjustRightInd w:val="0"/>
              <w:rPr>
                <w:rFonts w:cs="Arial"/>
                <w:sz w:val="16"/>
                <w:szCs w:val="16"/>
              </w:rPr>
            </w:pPr>
            <w:r>
              <w:rPr>
                <w:rFonts w:cs="Arial"/>
                <w:sz w:val="16"/>
                <w:szCs w:val="16"/>
              </w:rPr>
              <w:t>Niger</w:t>
            </w:r>
          </w:p>
          <w:p>
            <w:pPr>
              <w:autoSpaceDE w:val="0"/>
              <w:autoSpaceDN w:val="0"/>
              <w:adjustRightInd w:val="0"/>
              <w:rPr>
                <w:rFonts w:cs="Arial"/>
                <w:sz w:val="16"/>
                <w:szCs w:val="16"/>
              </w:rPr>
            </w:pPr>
            <w:r>
              <w:rPr>
                <w:rFonts w:cs="Arial"/>
                <w:sz w:val="16"/>
                <w:szCs w:val="16"/>
              </w:rPr>
              <w:t>Ouganda</w:t>
            </w:r>
          </w:p>
          <w:p>
            <w:pPr>
              <w:autoSpaceDE w:val="0"/>
              <w:autoSpaceDN w:val="0"/>
              <w:adjustRightInd w:val="0"/>
              <w:rPr>
                <w:rFonts w:cs="Arial"/>
                <w:sz w:val="16"/>
                <w:szCs w:val="16"/>
              </w:rPr>
            </w:pPr>
            <w:r>
              <w:rPr>
                <w:rFonts w:cs="Arial"/>
                <w:sz w:val="16"/>
                <w:szCs w:val="16"/>
              </w:rPr>
              <w:t>Rwanda</w:t>
            </w:r>
          </w:p>
          <w:p>
            <w:pPr>
              <w:autoSpaceDE w:val="0"/>
              <w:autoSpaceDN w:val="0"/>
              <w:adjustRightInd w:val="0"/>
              <w:rPr>
                <w:rFonts w:cs="Arial"/>
                <w:sz w:val="16"/>
                <w:szCs w:val="16"/>
              </w:rPr>
            </w:pPr>
            <w:r>
              <w:rPr>
                <w:rFonts w:cs="Arial"/>
                <w:sz w:val="16"/>
                <w:szCs w:val="16"/>
              </w:rPr>
              <w:t>Salomon, Iles</w:t>
            </w:r>
          </w:p>
          <w:p>
            <w:pPr>
              <w:autoSpaceDE w:val="0"/>
              <w:autoSpaceDN w:val="0"/>
              <w:adjustRightInd w:val="0"/>
              <w:rPr>
                <w:rFonts w:cs="Arial"/>
                <w:sz w:val="16"/>
                <w:szCs w:val="16"/>
              </w:rPr>
            </w:pPr>
            <w:r>
              <w:rPr>
                <w:rFonts w:cs="Arial"/>
                <w:sz w:val="16"/>
                <w:szCs w:val="16"/>
              </w:rPr>
              <w:t>Samoa</w:t>
            </w:r>
          </w:p>
          <w:p>
            <w:pPr>
              <w:autoSpaceDE w:val="0"/>
              <w:autoSpaceDN w:val="0"/>
              <w:adjustRightInd w:val="0"/>
              <w:rPr>
                <w:rFonts w:cs="Arial"/>
                <w:sz w:val="16"/>
                <w:szCs w:val="16"/>
              </w:rPr>
            </w:pPr>
            <w:r>
              <w:rPr>
                <w:rFonts w:cs="Arial"/>
                <w:sz w:val="16"/>
                <w:szCs w:val="16"/>
              </w:rPr>
              <w:t>Sao Tomé et Principe</w:t>
            </w:r>
          </w:p>
          <w:p>
            <w:pPr>
              <w:autoSpaceDE w:val="0"/>
              <w:autoSpaceDN w:val="0"/>
              <w:adjustRightInd w:val="0"/>
              <w:rPr>
                <w:rFonts w:cs="Arial"/>
                <w:sz w:val="16"/>
                <w:szCs w:val="16"/>
                <w:lang w:val="es-AR"/>
              </w:rPr>
            </w:pPr>
            <w:r>
              <w:rPr>
                <w:rFonts w:cs="Arial"/>
                <w:sz w:val="16"/>
                <w:szCs w:val="16"/>
                <w:lang w:val="es-AR"/>
              </w:rPr>
              <w:t>Sénégal</w:t>
            </w:r>
          </w:p>
          <w:p>
            <w:pPr>
              <w:autoSpaceDE w:val="0"/>
              <w:autoSpaceDN w:val="0"/>
              <w:adjustRightInd w:val="0"/>
              <w:rPr>
                <w:rFonts w:cs="Arial"/>
                <w:sz w:val="16"/>
                <w:szCs w:val="16"/>
                <w:lang w:val="es-AR"/>
              </w:rPr>
            </w:pPr>
            <w:r>
              <w:rPr>
                <w:rFonts w:cs="Arial"/>
                <w:sz w:val="16"/>
                <w:szCs w:val="16"/>
                <w:lang w:val="es-AR"/>
              </w:rPr>
              <w:t>Sierra Leone</w:t>
            </w:r>
          </w:p>
          <w:p>
            <w:pPr>
              <w:autoSpaceDE w:val="0"/>
              <w:autoSpaceDN w:val="0"/>
              <w:adjustRightInd w:val="0"/>
              <w:rPr>
                <w:rFonts w:cs="Arial"/>
                <w:sz w:val="16"/>
                <w:szCs w:val="16"/>
                <w:lang w:val="es-AR"/>
              </w:rPr>
            </w:pPr>
            <w:r>
              <w:rPr>
                <w:rFonts w:cs="Arial"/>
                <w:sz w:val="16"/>
                <w:szCs w:val="16"/>
                <w:lang w:val="es-AR"/>
              </w:rPr>
              <w:t>Somalie</w:t>
            </w:r>
          </w:p>
          <w:p>
            <w:pPr>
              <w:autoSpaceDE w:val="0"/>
              <w:autoSpaceDN w:val="0"/>
              <w:adjustRightInd w:val="0"/>
              <w:rPr>
                <w:rFonts w:cs="Arial"/>
                <w:sz w:val="16"/>
                <w:szCs w:val="16"/>
                <w:lang w:val="es-AR"/>
              </w:rPr>
            </w:pPr>
            <w:r>
              <w:rPr>
                <w:rFonts w:cs="Arial"/>
                <w:sz w:val="16"/>
                <w:szCs w:val="16"/>
                <w:lang w:val="es-AR"/>
              </w:rPr>
              <w:t>Soudan</w:t>
            </w:r>
          </w:p>
          <w:p>
            <w:pPr>
              <w:autoSpaceDE w:val="0"/>
              <w:autoSpaceDN w:val="0"/>
              <w:adjustRightInd w:val="0"/>
              <w:rPr>
                <w:rFonts w:cs="Arial"/>
                <w:sz w:val="16"/>
                <w:szCs w:val="16"/>
                <w:lang w:val="es-AR"/>
              </w:rPr>
            </w:pPr>
            <w:r>
              <w:rPr>
                <w:rFonts w:cs="Arial"/>
                <w:sz w:val="16"/>
                <w:szCs w:val="16"/>
                <w:lang w:val="es-AR"/>
              </w:rPr>
              <w:t>Tanzanie</w:t>
            </w:r>
          </w:p>
          <w:p>
            <w:pPr>
              <w:autoSpaceDE w:val="0"/>
              <w:autoSpaceDN w:val="0"/>
              <w:adjustRightInd w:val="0"/>
              <w:rPr>
                <w:rFonts w:cs="Arial"/>
                <w:sz w:val="16"/>
                <w:szCs w:val="16"/>
                <w:lang w:val="es-AR"/>
              </w:rPr>
            </w:pPr>
            <w:r>
              <w:rPr>
                <w:rFonts w:cs="Arial"/>
                <w:sz w:val="16"/>
                <w:szCs w:val="16"/>
                <w:lang w:val="es-AR"/>
              </w:rPr>
              <w:t>Tchad</w:t>
            </w:r>
          </w:p>
          <w:p>
            <w:pPr>
              <w:autoSpaceDE w:val="0"/>
              <w:autoSpaceDN w:val="0"/>
              <w:adjustRightInd w:val="0"/>
              <w:rPr>
                <w:rFonts w:cs="Arial"/>
                <w:sz w:val="16"/>
                <w:szCs w:val="16"/>
                <w:lang w:val="es-AR"/>
              </w:rPr>
            </w:pPr>
            <w:r>
              <w:rPr>
                <w:rFonts w:cs="Arial"/>
                <w:sz w:val="16"/>
                <w:szCs w:val="16"/>
                <w:lang w:val="es-AR"/>
              </w:rPr>
              <w:t>Timor-Leste</w:t>
            </w:r>
          </w:p>
          <w:p>
            <w:pPr>
              <w:autoSpaceDE w:val="0"/>
              <w:autoSpaceDN w:val="0"/>
              <w:adjustRightInd w:val="0"/>
              <w:rPr>
                <w:rFonts w:cs="Arial"/>
                <w:sz w:val="16"/>
                <w:szCs w:val="16"/>
                <w:lang w:val="es-AR"/>
              </w:rPr>
            </w:pPr>
            <w:r>
              <w:rPr>
                <w:rFonts w:cs="Arial"/>
                <w:sz w:val="16"/>
                <w:szCs w:val="16"/>
                <w:lang w:val="es-AR"/>
              </w:rPr>
              <w:t>Togo</w:t>
            </w:r>
          </w:p>
          <w:p>
            <w:pPr>
              <w:autoSpaceDE w:val="0"/>
              <w:autoSpaceDN w:val="0"/>
              <w:adjustRightInd w:val="0"/>
              <w:rPr>
                <w:rFonts w:cs="Arial"/>
                <w:sz w:val="16"/>
                <w:szCs w:val="16"/>
                <w:lang w:val="es-AR"/>
              </w:rPr>
            </w:pPr>
            <w:r>
              <w:rPr>
                <w:rFonts w:cs="Arial"/>
                <w:sz w:val="16"/>
                <w:szCs w:val="16"/>
                <w:lang w:val="es-AR"/>
              </w:rPr>
              <w:t>Tuvalu</w:t>
            </w:r>
          </w:p>
          <w:p>
            <w:pPr>
              <w:autoSpaceDE w:val="0"/>
              <w:autoSpaceDN w:val="0"/>
              <w:adjustRightInd w:val="0"/>
              <w:rPr>
                <w:rFonts w:cs="Arial"/>
                <w:sz w:val="16"/>
                <w:szCs w:val="16"/>
                <w:lang w:val="es-AR"/>
              </w:rPr>
            </w:pPr>
            <w:r>
              <w:rPr>
                <w:rFonts w:cs="Arial"/>
                <w:sz w:val="16"/>
                <w:szCs w:val="16"/>
                <w:lang w:val="es-AR"/>
              </w:rPr>
              <w:t>Vanuatu</w:t>
            </w:r>
          </w:p>
          <w:p>
            <w:pPr>
              <w:autoSpaceDE w:val="0"/>
              <w:autoSpaceDN w:val="0"/>
              <w:adjustRightInd w:val="0"/>
              <w:rPr>
                <w:rFonts w:cs="Arial"/>
                <w:sz w:val="16"/>
                <w:szCs w:val="16"/>
                <w:lang w:val="en-GB"/>
              </w:rPr>
            </w:pPr>
            <w:r>
              <w:rPr>
                <w:rFonts w:cs="Arial"/>
                <w:sz w:val="16"/>
                <w:szCs w:val="16"/>
                <w:lang w:val="en-GB"/>
              </w:rPr>
              <w:t>Yémen</w:t>
            </w:r>
          </w:p>
          <w:p>
            <w:pPr>
              <w:autoSpaceDE w:val="0"/>
              <w:autoSpaceDN w:val="0"/>
              <w:adjustRightInd w:val="0"/>
              <w:rPr>
                <w:rFonts w:cs="Arial"/>
                <w:sz w:val="16"/>
                <w:szCs w:val="16"/>
              </w:rPr>
            </w:pPr>
            <w:r>
              <w:rPr>
                <w:rFonts w:cs="Arial"/>
                <w:sz w:val="16"/>
                <w:szCs w:val="16"/>
              </w:rPr>
              <w:t>Zambie</w:t>
            </w:r>
          </w:p>
          <w:p>
            <w:pPr>
              <w:ind w:right="-69"/>
              <w:rPr>
                <w:rFonts w:cs="Arial"/>
                <w:sz w:val="16"/>
                <w:szCs w:val="16"/>
              </w:rPr>
            </w:pPr>
          </w:p>
        </w:tc>
        <w:tc>
          <w:tcPr>
            <w:tcW w:w="2013" w:type="dxa"/>
          </w:tcPr>
          <w:p>
            <w:pPr>
              <w:rPr>
                <w:rFonts w:cs="Arial"/>
                <w:sz w:val="16"/>
                <w:szCs w:val="16"/>
              </w:rPr>
            </w:pPr>
            <w:r>
              <w:rPr>
                <w:rFonts w:cs="Arial"/>
                <w:sz w:val="16"/>
                <w:szCs w:val="16"/>
              </w:rPr>
              <w:t>Corée, Rép. dém.</w:t>
            </w:r>
          </w:p>
          <w:p>
            <w:pPr>
              <w:rPr>
                <w:rFonts w:cs="Arial"/>
                <w:sz w:val="16"/>
                <w:szCs w:val="16"/>
              </w:rPr>
            </w:pPr>
            <w:r>
              <w:rPr>
                <w:rFonts w:cs="Arial"/>
                <w:sz w:val="16"/>
                <w:szCs w:val="16"/>
              </w:rPr>
              <w:t>Kenya</w:t>
            </w:r>
          </w:p>
          <w:p>
            <w:pPr>
              <w:rPr>
                <w:rFonts w:cs="Arial"/>
                <w:sz w:val="16"/>
                <w:szCs w:val="16"/>
              </w:rPr>
            </w:pPr>
            <w:r>
              <w:rPr>
                <w:rFonts w:cs="Arial"/>
                <w:sz w:val="16"/>
                <w:szCs w:val="16"/>
              </w:rPr>
              <w:t>Kyrghize, Rép.</w:t>
            </w:r>
          </w:p>
          <w:p>
            <w:pPr>
              <w:rPr>
                <w:rFonts w:cs="Arial"/>
                <w:sz w:val="16"/>
                <w:szCs w:val="16"/>
              </w:rPr>
            </w:pPr>
            <w:r>
              <w:rPr>
                <w:rFonts w:cs="Arial"/>
                <w:sz w:val="16"/>
                <w:szCs w:val="16"/>
              </w:rPr>
              <w:t>Soudan du Sud</w:t>
            </w:r>
          </w:p>
          <w:p>
            <w:pPr>
              <w:rPr>
                <w:rFonts w:cs="Arial"/>
                <w:sz w:val="16"/>
                <w:szCs w:val="16"/>
              </w:rPr>
            </w:pPr>
            <w:r>
              <w:rPr>
                <w:rFonts w:cs="Arial"/>
                <w:sz w:val="16"/>
                <w:szCs w:val="16"/>
              </w:rPr>
              <w:t>Tadjikistan</w:t>
            </w:r>
          </w:p>
          <w:p>
            <w:pPr>
              <w:rPr>
                <w:rFonts w:cs="Arial"/>
                <w:sz w:val="16"/>
                <w:szCs w:val="16"/>
              </w:rPr>
            </w:pPr>
            <w:r>
              <w:rPr>
                <w:rFonts w:cs="Arial"/>
                <w:sz w:val="16"/>
                <w:szCs w:val="16"/>
              </w:rPr>
              <w:t>Zimbabwe</w:t>
            </w: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p>
            <w:pPr>
              <w:rPr>
                <w:rFonts w:cs="Arial"/>
                <w:sz w:val="16"/>
                <w:szCs w:val="16"/>
              </w:rPr>
            </w:pPr>
          </w:p>
        </w:tc>
        <w:tc>
          <w:tcPr>
            <w:tcW w:w="2525" w:type="dxa"/>
          </w:tcPr>
          <w:p>
            <w:pPr>
              <w:rPr>
                <w:rFonts w:cs="Arial"/>
                <w:sz w:val="16"/>
                <w:szCs w:val="16"/>
              </w:rPr>
            </w:pPr>
            <w:r>
              <w:rPr>
                <w:rFonts w:cs="Arial"/>
                <w:sz w:val="16"/>
                <w:szCs w:val="16"/>
              </w:rPr>
              <w:t xml:space="preserve">Arménie </w:t>
            </w:r>
          </w:p>
          <w:p>
            <w:pPr>
              <w:rPr>
                <w:rFonts w:cs="Arial"/>
                <w:sz w:val="16"/>
                <w:szCs w:val="16"/>
              </w:rPr>
            </w:pPr>
            <w:r>
              <w:rPr>
                <w:rFonts w:cs="Arial"/>
                <w:sz w:val="16"/>
                <w:szCs w:val="16"/>
              </w:rPr>
              <w:t>Belize</w:t>
            </w:r>
          </w:p>
          <w:p>
            <w:pPr>
              <w:rPr>
                <w:rFonts w:cs="Arial"/>
                <w:sz w:val="16"/>
                <w:szCs w:val="16"/>
              </w:rPr>
            </w:pPr>
            <w:r>
              <w:rPr>
                <w:rFonts w:cs="Arial"/>
                <w:sz w:val="16"/>
                <w:szCs w:val="16"/>
              </w:rPr>
              <w:t xml:space="preserve">Bolivie </w:t>
            </w:r>
          </w:p>
          <w:p>
            <w:pPr>
              <w:rPr>
                <w:rFonts w:cs="Arial"/>
                <w:sz w:val="16"/>
                <w:szCs w:val="16"/>
              </w:rPr>
            </w:pPr>
            <w:r>
              <w:rPr>
                <w:rFonts w:cs="Arial"/>
                <w:sz w:val="16"/>
                <w:szCs w:val="16"/>
              </w:rPr>
              <w:t xml:space="preserve">Cameroun </w:t>
            </w:r>
          </w:p>
          <w:p>
            <w:pPr>
              <w:rPr>
                <w:rFonts w:cs="Arial"/>
                <w:sz w:val="16"/>
                <w:szCs w:val="16"/>
              </w:rPr>
            </w:pPr>
            <w:r>
              <w:rPr>
                <w:rFonts w:cs="Arial"/>
                <w:sz w:val="16"/>
                <w:szCs w:val="16"/>
              </w:rPr>
              <w:t xml:space="preserve">Cap Vert </w:t>
            </w:r>
          </w:p>
          <w:p>
            <w:pPr>
              <w:rPr>
                <w:rFonts w:cs="Arial"/>
                <w:sz w:val="16"/>
                <w:szCs w:val="16"/>
              </w:rPr>
            </w:pPr>
            <w:r>
              <w:rPr>
                <w:rFonts w:cs="Arial"/>
                <w:sz w:val="16"/>
                <w:szCs w:val="16"/>
              </w:rPr>
              <w:t>Cisjordanie et bande de Gaza</w:t>
            </w:r>
          </w:p>
          <w:p>
            <w:pPr>
              <w:rPr>
                <w:rFonts w:cs="Arial"/>
                <w:sz w:val="16"/>
                <w:szCs w:val="16"/>
              </w:rPr>
            </w:pPr>
            <w:r>
              <w:rPr>
                <w:rFonts w:cs="Arial"/>
                <w:sz w:val="16"/>
                <w:szCs w:val="16"/>
              </w:rPr>
              <w:t xml:space="preserve">Congo, Rép </w:t>
            </w:r>
          </w:p>
          <w:p>
            <w:pPr>
              <w:rPr>
                <w:rFonts w:cs="Arial"/>
                <w:sz w:val="16"/>
                <w:szCs w:val="16"/>
              </w:rPr>
            </w:pPr>
            <w:r>
              <w:rPr>
                <w:rFonts w:cs="Arial"/>
                <w:sz w:val="16"/>
                <w:szCs w:val="16"/>
              </w:rPr>
              <w:t>Côte d'Ivoire</w:t>
            </w:r>
          </w:p>
          <w:p>
            <w:pPr>
              <w:rPr>
                <w:rFonts w:cs="Arial"/>
                <w:sz w:val="16"/>
                <w:szCs w:val="16"/>
              </w:rPr>
            </w:pPr>
            <w:r>
              <w:rPr>
                <w:rFonts w:cs="Arial"/>
                <w:sz w:val="16"/>
                <w:szCs w:val="16"/>
              </w:rPr>
              <w:t>Égypte</w:t>
            </w:r>
          </w:p>
          <w:p>
            <w:pPr>
              <w:rPr>
                <w:rFonts w:cs="Arial"/>
                <w:sz w:val="16"/>
                <w:szCs w:val="16"/>
              </w:rPr>
            </w:pPr>
            <w:r>
              <w:rPr>
                <w:rFonts w:cs="Arial"/>
                <w:sz w:val="16"/>
                <w:szCs w:val="16"/>
              </w:rPr>
              <w:t>El Salvador</w:t>
            </w:r>
          </w:p>
          <w:p>
            <w:pPr>
              <w:autoSpaceDE w:val="0"/>
              <w:autoSpaceDN w:val="0"/>
              <w:adjustRightInd w:val="0"/>
              <w:rPr>
                <w:rFonts w:cs="Arial"/>
                <w:sz w:val="16"/>
                <w:szCs w:val="16"/>
              </w:rPr>
            </w:pPr>
            <w:r>
              <w:rPr>
                <w:rFonts w:cs="Arial"/>
                <w:sz w:val="16"/>
                <w:szCs w:val="16"/>
              </w:rPr>
              <w:t>Fidji</w:t>
            </w:r>
          </w:p>
          <w:p>
            <w:pPr>
              <w:rPr>
                <w:rFonts w:cs="Arial"/>
                <w:sz w:val="16"/>
                <w:szCs w:val="16"/>
              </w:rPr>
            </w:pPr>
            <w:r>
              <w:rPr>
                <w:rFonts w:cs="Arial"/>
                <w:sz w:val="16"/>
                <w:szCs w:val="16"/>
              </w:rPr>
              <w:t>Géorgie</w:t>
            </w:r>
          </w:p>
          <w:p>
            <w:pPr>
              <w:rPr>
                <w:rFonts w:cs="Arial"/>
                <w:sz w:val="16"/>
                <w:szCs w:val="16"/>
              </w:rPr>
            </w:pPr>
            <w:r>
              <w:rPr>
                <w:rFonts w:cs="Arial"/>
                <w:sz w:val="16"/>
                <w:szCs w:val="16"/>
              </w:rPr>
              <w:t>Ghana</w:t>
            </w:r>
          </w:p>
          <w:p>
            <w:pPr>
              <w:rPr>
                <w:rFonts w:cs="Arial"/>
                <w:sz w:val="16"/>
                <w:szCs w:val="16"/>
              </w:rPr>
            </w:pPr>
            <w:r>
              <w:rPr>
                <w:rFonts w:cs="Arial"/>
                <w:sz w:val="16"/>
                <w:szCs w:val="16"/>
              </w:rPr>
              <w:t xml:space="preserve">Guatemala </w:t>
            </w:r>
          </w:p>
          <w:p>
            <w:pPr>
              <w:rPr>
                <w:rFonts w:cs="Arial"/>
                <w:sz w:val="16"/>
                <w:szCs w:val="16"/>
              </w:rPr>
            </w:pPr>
            <w:r>
              <w:rPr>
                <w:rFonts w:cs="Arial"/>
                <w:sz w:val="16"/>
                <w:szCs w:val="16"/>
              </w:rPr>
              <w:t>Guyana</w:t>
            </w:r>
          </w:p>
          <w:p>
            <w:pPr>
              <w:rPr>
                <w:rFonts w:cs="Arial"/>
                <w:sz w:val="16"/>
                <w:szCs w:val="16"/>
              </w:rPr>
            </w:pPr>
            <w:r>
              <w:rPr>
                <w:rFonts w:cs="Arial"/>
                <w:sz w:val="16"/>
                <w:szCs w:val="16"/>
              </w:rPr>
              <w:t>Honduras</w:t>
            </w:r>
          </w:p>
          <w:p>
            <w:pPr>
              <w:rPr>
                <w:rFonts w:cs="Arial"/>
                <w:sz w:val="16"/>
                <w:szCs w:val="16"/>
              </w:rPr>
            </w:pPr>
            <w:r>
              <w:rPr>
                <w:rFonts w:cs="Arial"/>
                <w:sz w:val="16"/>
                <w:szCs w:val="16"/>
              </w:rPr>
              <w:t>Inde</w:t>
            </w:r>
          </w:p>
          <w:p>
            <w:pPr>
              <w:rPr>
                <w:rFonts w:cs="Arial"/>
                <w:sz w:val="16"/>
                <w:szCs w:val="16"/>
              </w:rPr>
            </w:pPr>
            <w:r>
              <w:rPr>
                <w:rFonts w:cs="Arial"/>
                <w:sz w:val="16"/>
                <w:szCs w:val="16"/>
              </w:rPr>
              <w:t>Indonésie</w:t>
            </w:r>
          </w:p>
          <w:p>
            <w:pPr>
              <w:rPr>
                <w:rFonts w:cs="Arial"/>
                <w:sz w:val="16"/>
                <w:szCs w:val="16"/>
              </w:rPr>
            </w:pPr>
            <w:r>
              <w:rPr>
                <w:rFonts w:cs="Arial"/>
                <w:sz w:val="16"/>
                <w:szCs w:val="16"/>
              </w:rPr>
              <w:t xml:space="preserve">Irak </w:t>
            </w:r>
          </w:p>
          <w:p>
            <w:pPr>
              <w:rPr>
                <w:rFonts w:cs="Arial"/>
                <w:sz w:val="16"/>
                <w:szCs w:val="16"/>
              </w:rPr>
            </w:pPr>
            <w:r>
              <w:rPr>
                <w:rFonts w:cs="Arial"/>
                <w:sz w:val="16"/>
                <w:szCs w:val="16"/>
              </w:rPr>
              <w:t>Kosovo</w:t>
            </w:r>
            <w:r>
              <w:rPr>
                <w:rStyle w:val="Appelnotedebasdep"/>
                <w:rFonts w:cs="Arial"/>
                <w:sz w:val="16"/>
                <w:szCs w:val="16"/>
              </w:rPr>
              <w:footnoteReference w:id="12"/>
            </w:r>
          </w:p>
          <w:p>
            <w:pPr>
              <w:rPr>
                <w:rFonts w:cs="Arial"/>
                <w:sz w:val="16"/>
                <w:szCs w:val="16"/>
              </w:rPr>
            </w:pPr>
            <w:r>
              <w:rPr>
                <w:rFonts w:cs="Arial"/>
                <w:sz w:val="16"/>
                <w:szCs w:val="16"/>
              </w:rPr>
              <w:t>Maroc</w:t>
            </w:r>
          </w:p>
          <w:p>
            <w:pPr>
              <w:rPr>
                <w:rFonts w:cs="Arial"/>
                <w:sz w:val="16"/>
                <w:szCs w:val="16"/>
              </w:rPr>
            </w:pPr>
            <w:r>
              <w:rPr>
                <w:rFonts w:cs="Arial"/>
                <w:sz w:val="16"/>
                <w:szCs w:val="16"/>
              </w:rPr>
              <w:t>Marshall, îles</w:t>
            </w:r>
          </w:p>
          <w:p>
            <w:pPr>
              <w:rPr>
                <w:rFonts w:cs="Arial"/>
                <w:sz w:val="16"/>
                <w:szCs w:val="16"/>
              </w:rPr>
            </w:pPr>
            <w:r>
              <w:rPr>
                <w:rFonts w:cs="Arial"/>
                <w:sz w:val="16"/>
                <w:szCs w:val="16"/>
              </w:rPr>
              <w:t>Micronésie, États fédérés Moldova</w:t>
            </w:r>
          </w:p>
          <w:p>
            <w:pPr>
              <w:rPr>
                <w:rFonts w:cs="Arial"/>
                <w:sz w:val="16"/>
                <w:szCs w:val="16"/>
              </w:rPr>
            </w:pPr>
            <w:r>
              <w:rPr>
                <w:rFonts w:cs="Arial"/>
                <w:sz w:val="16"/>
                <w:szCs w:val="16"/>
              </w:rPr>
              <w:t>Mongolie</w:t>
            </w:r>
          </w:p>
          <w:p>
            <w:pPr>
              <w:rPr>
                <w:rFonts w:cs="Arial"/>
                <w:sz w:val="16"/>
                <w:szCs w:val="16"/>
              </w:rPr>
            </w:pPr>
            <w:r>
              <w:rPr>
                <w:rFonts w:cs="Arial"/>
                <w:sz w:val="16"/>
                <w:szCs w:val="16"/>
              </w:rPr>
              <w:t>Nicaragua</w:t>
            </w:r>
          </w:p>
          <w:p>
            <w:pPr>
              <w:rPr>
                <w:rFonts w:cs="Arial"/>
                <w:sz w:val="16"/>
                <w:szCs w:val="16"/>
              </w:rPr>
            </w:pPr>
            <w:r>
              <w:rPr>
                <w:rFonts w:cs="Arial"/>
                <w:sz w:val="16"/>
                <w:szCs w:val="16"/>
              </w:rPr>
              <w:t>Nigeria</w:t>
            </w:r>
          </w:p>
          <w:p>
            <w:pPr>
              <w:rPr>
                <w:rFonts w:cs="Arial"/>
                <w:sz w:val="16"/>
                <w:szCs w:val="16"/>
              </w:rPr>
            </w:pPr>
            <w:r>
              <w:rPr>
                <w:rFonts w:cs="Arial"/>
                <w:sz w:val="16"/>
                <w:szCs w:val="16"/>
              </w:rPr>
              <w:t>Ouzbékistan</w:t>
            </w:r>
          </w:p>
          <w:p>
            <w:pPr>
              <w:rPr>
                <w:rFonts w:cs="Arial"/>
                <w:sz w:val="16"/>
                <w:szCs w:val="16"/>
              </w:rPr>
            </w:pPr>
            <w:r>
              <w:rPr>
                <w:rFonts w:cs="Arial"/>
                <w:sz w:val="16"/>
                <w:szCs w:val="16"/>
              </w:rPr>
              <w:t>Pakistan</w:t>
            </w:r>
          </w:p>
          <w:p>
            <w:pPr>
              <w:rPr>
                <w:rFonts w:cs="Arial"/>
                <w:sz w:val="16"/>
                <w:szCs w:val="16"/>
              </w:rPr>
            </w:pPr>
            <w:r>
              <w:rPr>
                <w:rFonts w:cs="Arial"/>
                <w:sz w:val="16"/>
                <w:szCs w:val="16"/>
              </w:rPr>
              <w:t>Papouasie-Nouvelle-Guinée Paraguay</w:t>
            </w:r>
          </w:p>
          <w:p>
            <w:pPr>
              <w:rPr>
                <w:rFonts w:cs="Arial"/>
                <w:sz w:val="16"/>
                <w:szCs w:val="16"/>
              </w:rPr>
            </w:pPr>
            <w:r>
              <w:rPr>
                <w:rFonts w:cs="Arial"/>
                <w:sz w:val="16"/>
                <w:szCs w:val="16"/>
              </w:rPr>
              <w:t>Philippines</w:t>
            </w:r>
          </w:p>
          <w:p>
            <w:pPr>
              <w:rPr>
                <w:rFonts w:cs="Arial"/>
                <w:sz w:val="16"/>
                <w:szCs w:val="16"/>
              </w:rPr>
            </w:pPr>
            <w:r>
              <w:rPr>
                <w:rFonts w:cs="Arial"/>
                <w:sz w:val="16"/>
                <w:szCs w:val="16"/>
              </w:rPr>
              <w:t>Sri Lanka</w:t>
            </w:r>
          </w:p>
          <w:p>
            <w:pPr>
              <w:rPr>
                <w:rFonts w:cs="Arial"/>
                <w:sz w:val="16"/>
                <w:szCs w:val="16"/>
              </w:rPr>
            </w:pPr>
            <w:r>
              <w:rPr>
                <w:rFonts w:cs="Arial"/>
                <w:sz w:val="16"/>
                <w:szCs w:val="16"/>
              </w:rPr>
              <w:t>Swaziland</w:t>
            </w:r>
          </w:p>
          <w:p>
            <w:pPr>
              <w:rPr>
                <w:rFonts w:cs="Arial"/>
                <w:sz w:val="16"/>
                <w:szCs w:val="16"/>
              </w:rPr>
            </w:pPr>
            <w:r>
              <w:rPr>
                <w:rFonts w:cs="Arial"/>
                <w:sz w:val="16"/>
                <w:szCs w:val="16"/>
              </w:rPr>
              <w:t>Syrie</w:t>
            </w:r>
          </w:p>
          <w:p>
            <w:pPr>
              <w:rPr>
                <w:rFonts w:cs="Arial"/>
                <w:sz w:val="16"/>
                <w:szCs w:val="16"/>
              </w:rPr>
            </w:pPr>
            <w:r>
              <w:rPr>
                <w:rFonts w:cs="Arial"/>
                <w:sz w:val="16"/>
                <w:szCs w:val="16"/>
              </w:rPr>
              <w:t>* Tokelau</w:t>
            </w:r>
          </w:p>
          <w:p>
            <w:pPr>
              <w:rPr>
                <w:rFonts w:cs="Arial"/>
                <w:sz w:val="16"/>
                <w:szCs w:val="16"/>
              </w:rPr>
            </w:pPr>
            <w:r>
              <w:rPr>
                <w:rFonts w:cs="Arial"/>
                <w:sz w:val="16"/>
                <w:szCs w:val="16"/>
              </w:rPr>
              <w:t>Tonga</w:t>
            </w:r>
          </w:p>
          <w:p>
            <w:pPr>
              <w:rPr>
                <w:rFonts w:cs="Arial"/>
                <w:sz w:val="16"/>
                <w:szCs w:val="16"/>
              </w:rPr>
            </w:pPr>
            <w:r>
              <w:rPr>
                <w:rFonts w:cs="Arial"/>
                <w:sz w:val="16"/>
                <w:szCs w:val="16"/>
              </w:rPr>
              <w:t>Turkménistan</w:t>
            </w:r>
          </w:p>
          <w:p>
            <w:pPr>
              <w:rPr>
                <w:rFonts w:cs="Arial"/>
                <w:sz w:val="16"/>
                <w:szCs w:val="16"/>
                <w:lang w:val="en-GB"/>
              </w:rPr>
            </w:pPr>
            <w:r>
              <w:rPr>
                <w:rFonts w:cs="Arial"/>
                <w:sz w:val="16"/>
                <w:szCs w:val="16"/>
              </w:rPr>
              <w:t>Ukraine</w:t>
            </w:r>
            <w:r>
              <w:rPr>
                <w:rFonts w:cs="Arial"/>
                <w:sz w:val="16"/>
                <w:szCs w:val="16"/>
                <w:lang w:val="en-GB"/>
              </w:rPr>
              <w:t xml:space="preserve"> </w:t>
            </w:r>
          </w:p>
          <w:p>
            <w:pPr>
              <w:rPr>
                <w:rFonts w:cs="Arial"/>
                <w:sz w:val="16"/>
                <w:szCs w:val="16"/>
              </w:rPr>
            </w:pPr>
            <w:r>
              <w:rPr>
                <w:rFonts w:cs="Arial"/>
                <w:sz w:val="16"/>
                <w:szCs w:val="16"/>
              </w:rPr>
              <w:t>Viet Nam</w:t>
            </w:r>
          </w:p>
          <w:p>
            <w:pPr>
              <w:rPr>
                <w:rFonts w:cs="Arial"/>
                <w:sz w:val="16"/>
                <w:szCs w:val="16"/>
              </w:rPr>
            </w:pPr>
          </w:p>
          <w:p>
            <w:pPr>
              <w:rPr>
                <w:rFonts w:cs="Arial"/>
                <w:sz w:val="16"/>
                <w:szCs w:val="16"/>
              </w:rPr>
            </w:pPr>
          </w:p>
        </w:tc>
        <w:tc>
          <w:tcPr>
            <w:tcW w:w="2852" w:type="dxa"/>
          </w:tcPr>
          <w:p>
            <w:pPr>
              <w:autoSpaceDE w:val="0"/>
              <w:autoSpaceDN w:val="0"/>
              <w:adjustRightInd w:val="0"/>
              <w:rPr>
                <w:rFonts w:cs="Arial"/>
                <w:sz w:val="16"/>
                <w:szCs w:val="16"/>
              </w:rPr>
            </w:pPr>
            <w:r>
              <w:rPr>
                <w:rFonts w:cs="Arial"/>
                <w:sz w:val="16"/>
                <w:szCs w:val="16"/>
              </w:rPr>
              <w:t>Afrique du Sud</w:t>
            </w:r>
          </w:p>
          <w:p>
            <w:pPr>
              <w:rPr>
                <w:rFonts w:cs="Arial"/>
                <w:sz w:val="16"/>
                <w:szCs w:val="16"/>
              </w:rPr>
            </w:pPr>
            <w:r>
              <w:rPr>
                <w:rFonts w:cs="Arial"/>
                <w:sz w:val="16"/>
                <w:szCs w:val="16"/>
              </w:rPr>
              <w:t>Albanie</w:t>
            </w:r>
          </w:p>
          <w:p>
            <w:pPr>
              <w:rPr>
                <w:rFonts w:cs="Arial"/>
                <w:sz w:val="16"/>
                <w:szCs w:val="16"/>
              </w:rPr>
            </w:pPr>
            <w:r>
              <w:rPr>
                <w:rFonts w:cs="Arial"/>
                <w:sz w:val="16"/>
                <w:szCs w:val="16"/>
              </w:rPr>
              <w:t>Algérie</w:t>
            </w:r>
          </w:p>
          <w:p>
            <w:pPr>
              <w:autoSpaceDE w:val="0"/>
              <w:autoSpaceDN w:val="0"/>
              <w:adjustRightInd w:val="0"/>
              <w:rPr>
                <w:rFonts w:cs="Arial"/>
                <w:sz w:val="16"/>
                <w:szCs w:val="16"/>
              </w:rPr>
            </w:pPr>
            <w:r>
              <w:rPr>
                <w:rFonts w:cs="Arial"/>
                <w:sz w:val="16"/>
                <w:szCs w:val="16"/>
              </w:rPr>
              <w:t>* Anguilla</w:t>
            </w:r>
          </w:p>
          <w:p>
            <w:pPr>
              <w:autoSpaceDE w:val="0"/>
              <w:autoSpaceDN w:val="0"/>
              <w:adjustRightInd w:val="0"/>
              <w:rPr>
                <w:rFonts w:cs="Arial"/>
                <w:sz w:val="16"/>
                <w:szCs w:val="16"/>
              </w:rPr>
            </w:pPr>
            <w:r>
              <w:rPr>
                <w:rFonts w:cs="Arial"/>
                <w:sz w:val="16"/>
                <w:szCs w:val="16"/>
              </w:rPr>
              <w:t>Antigua-et-Barbuda</w:t>
            </w:r>
          </w:p>
          <w:p>
            <w:pPr>
              <w:autoSpaceDE w:val="0"/>
              <w:autoSpaceDN w:val="0"/>
              <w:adjustRightInd w:val="0"/>
              <w:rPr>
                <w:rFonts w:cs="Arial"/>
                <w:sz w:val="16"/>
                <w:szCs w:val="16"/>
              </w:rPr>
            </w:pPr>
            <w:r>
              <w:rPr>
                <w:rFonts w:cs="Arial"/>
                <w:sz w:val="16"/>
                <w:szCs w:val="16"/>
              </w:rPr>
              <w:t xml:space="preserve">Argentine </w:t>
            </w:r>
          </w:p>
          <w:p>
            <w:pPr>
              <w:autoSpaceDE w:val="0"/>
              <w:autoSpaceDN w:val="0"/>
              <w:adjustRightInd w:val="0"/>
              <w:rPr>
                <w:rFonts w:cs="Arial"/>
                <w:sz w:val="16"/>
                <w:szCs w:val="16"/>
              </w:rPr>
            </w:pPr>
            <w:r>
              <w:rPr>
                <w:rFonts w:cs="Arial"/>
                <w:sz w:val="16"/>
                <w:szCs w:val="16"/>
              </w:rPr>
              <w:t>Azerbaïdjan</w:t>
            </w:r>
          </w:p>
          <w:p>
            <w:pPr>
              <w:autoSpaceDE w:val="0"/>
              <w:autoSpaceDN w:val="0"/>
              <w:adjustRightInd w:val="0"/>
              <w:rPr>
                <w:rFonts w:cs="Arial"/>
                <w:sz w:val="16"/>
                <w:szCs w:val="16"/>
              </w:rPr>
            </w:pPr>
            <w:r>
              <w:rPr>
                <w:rFonts w:cs="Arial"/>
                <w:sz w:val="16"/>
                <w:szCs w:val="16"/>
              </w:rPr>
              <w:t xml:space="preserve">Bélarus </w:t>
            </w:r>
          </w:p>
          <w:p>
            <w:pPr>
              <w:rPr>
                <w:rFonts w:cs="Arial"/>
                <w:sz w:val="16"/>
                <w:szCs w:val="16"/>
              </w:rPr>
            </w:pPr>
            <w:r>
              <w:rPr>
                <w:rFonts w:cs="Arial"/>
                <w:sz w:val="16"/>
                <w:szCs w:val="16"/>
              </w:rPr>
              <w:t>Bosnie-Herzégovine</w:t>
            </w:r>
          </w:p>
          <w:p>
            <w:pPr>
              <w:autoSpaceDE w:val="0"/>
              <w:autoSpaceDN w:val="0"/>
              <w:adjustRightInd w:val="0"/>
              <w:rPr>
                <w:rFonts w:cs="Arial"/>
                <w:sz w:val="16"/>
                <w:szCs w:val="16"/>
              </w:rPr>
            </w:pPr>
            <w:r>
              <w:rPr>
                <w:rFonts w:cs="Arial"/>
                <w:sz w:val="16"/>
                <w:szCs w:val="16"/>
              </w:rPr>
              <w:t xml:space="preserve">Botswana </w:t>
            </w:r>
          </w:p>
          <w:p>
            <w:pPr>
              <w:autoSpaceDE w:val="0"/>
              <w:autoSpaceDN w:val="0"/>
              <w:adjustRightInd w:val="0"/>
              <w:rPr>
                <w:rFonts w:cs="Arial"/>
                <w:sz w:val="16"/>
                <w:szCs w:val="16"/>
              </w:rPr>
            </w:pPr>
            <w:r>
              <w:rPr>
                <w:rFonts w:cs="Arial"/>
                <w:sz w:val="16"/>
                <w:szCs w:val="16"/>
              </w:rPr>
              <w:t xml:space="preserve">Brésil </w:t>
            </w:r>
          </w:p>
          <w:p>
            <w:pPr>
              <w:autoSpaceDE w:val="0"/>
              <w:autoSpaceDN w:val="0"/>
              <w:adjustRightInd w:val="0"/>
              <w:rPr>
                <w:rFonts w:cs="Arial"/>
                <w:sz w:val="16"/>
                <w:szCs w:val="16"/>
              </w:rPr>
            </w:pPr>
            <w:r>
              <w:rPr>
                <w:rFonts w:cs="Arial"/>
                <w:sz w:val="16"/>
                <w:szCs w:val="16"/>
              </w:rPr>
              <w:t xml:space="preserve">Chili </w:t>
            </w:r>
          </w:p>
          <w:p>
            <w:pPr>
              <w:rPr>
                <w:rFonts w:cs="Arial"/>
                <w:sz w:val="16"/>
                <w:szCs w:val="16"/>
              </w:rPr>
            </w:pPr>
            <w:r>
              <w:rPr>
                <w:rFonts w:cs="Arial"/>
                <w:sz w:val="16"/>
                <w:szCs w:val="16"/>
              </w:rPr>
              <w:t xml:space="preserve">Chine </w:t>
            </w:r>
          </w:p>
          <w:p>
            <w:pPr>
              <w:autoSpaceDE w:val="0"/>
              <w:autoSpaceDN w:val="0"/>
              <w:adjustRightInd w:val="0"/>
              <w:rPr>
                <w:rFonts w:cs="Arial"/>
                <w:sz w:val="16"/>
                <w:szCs w:val="16"/>
                <w:lang w:val="fr-BE"/>
              </w:rPr>
            </w:pPr>
            <w:r>
              <w:rPr>
                <w:rFonts w:cs="Arial"/>
                <w:sz w:val="16"/>
                <w:szCs w:val="16"/>
                <w:lang w:val="fr-BE"/>
              </w:rPr>
              <w:t xml:space="preserve">Colombie </w:t>
            </w:r>
          </w:p>
          <w:p>
            <w:pPr>
              <w:autoSpaceDE w:val="0"/>
              <w:autoSpaceDN w:val="0"/>
              <w:adjustRightInd w:val="0"/>
              <w:rPr>
                <w:rFonts w:cs="Arial"/>
                <w:sz w:val="16"/>
                <w:szCs w:val="16"/>
                <w:lang w:val="fr-BE"/>
              </w:rPr>
            </w:pPr>
            <w:r>
              <w:rPr>
                <w:rFonts w:cs="Arial"/>
                <w:sz w:val="16"/>
                <w:szCs w:val="16"/>
                <w:lang w:val="fr-BE"/>
              </w:rPr>
              <w:t xml:space="preserve">Cook, îles </w:t>
            </w:r>
          </w:p>
          <w:p>
            <w:pPr>
              <w:autoSpaceDE w:val="0"/>
              <w:autoSpaceDN w:val="0"/>
              <w:adjustRightInd w:val="0"/>
              <w:rPr>
                <w:rFonts w:cs="Arial"/>
                <w:sz w:val="16"/>
                <w:szCs w:val="16"/>
                <w:lang w:val="fr-BE"/>
              </w:rPr>
            </w:pPr>
            <w:r>
              <w:rPr>
                <w:rFonts w:cs="Arial"/>
                <w:sz w:val="16"/>
                <w:szCs w:val="16"/>
                <w:lang w:val="fr-BE"/>
              </w:rPr>
              <w:t xml:space="preserve">Costa Rica </w:t>
            </w:r>
          </w:p>
          <w:p>
            <w:pPr>
              <w:autoSpaceDE w:val="0"/>
              <w:autoSpaceDN w:val="0"/>
              <w:adjustRightInd w:val="0"/>
              <w:rPr>
                <w:rFonts w:cs="Arial"/>
                <w:sz w:val="16"/>
                <w:szCs w:val="16"/>
                <w:lang w:val="fr-BE"/>
              </w:rPr>
            </w:pPr>
            <w:r>
              <w:rPr>
                <w:rFonts w:cs="Arial"/>
                <w:sz w:val="16"/>
                <w:szCs w:val="16"/>
                <w:lang w:val="fr-BE"/>
              </w:rPr>
              <w:t>Cuba</w:t>
            </w:r>
          </w:p>
          <w:p>
            <w:pPr>
              <w:autoSpaceDE w:val="0"/>
              <w:autoSpaceDN w:val="0"/>
              <w:adjustRightInd w:val="0"/>
              <w:rPr>
                <w:rFonts w:cs="Arial"/>
                <w:sz w:val="16"/>
                <w:szCs w:val="16"/>
              </w:rPr>
            </w:pPr>
            <w:r>
              <w:rPr>
                <w:rFonts w:cs="Arial"/>
                <w:sz w:val="16"/>
                <w:szCs w:val="16"/>
              </w:rPr>
              <w:t>Dominicaine, Rép.</w:t>
            </w:r>
          </w:p>
          <w:p>
            <w:pPr>
              <w:autoSpaceDE w:val="0"/>
              <w:autoSpaceDN w:val="0"/>
              <w:adjustRightInd w:val="0"/>
              <w:rPr>
                <w:rFonts w:cs="Arial"/>
                <w:sz w:val="16"/>
                <w:szCs w:val="16"/>
              </w:rPr>
            </w:pPr>
            <w:r>
              <w:rPr>
                <w:rFonts w:cs="Arial"/>
                <w:sz w:val="16"/>
                <w:szCs w:val="16"/>
              </w:rPr>
              <w:t>Dominique</w:t>
            </w:r>
          </w:p>
          <w:p>
            <w:pPr>
              <w:rPr>
                <w:rFonts w:cs="Arial"/>
                <w:sz w:val="16"/>
                <w:szCs w:val="16"/>
              </w:rPr>
            </w:pPr>
            <w:r>
              <w:rPr>
                <w:rFonts w:cs="Arial"/>
                <w:sz w:val="16"/>
                <w:szCs w:val="16"/>
              </w:rPr>
              <w:t>Équateur</w:t>
            </w:r>
          </w:p>
          <w:p>
            <w:pPr>
              <w:rPr>
                <w:rFonts w:cs="Arial"/>
                <w:sz w:val="16"/>
                <w:szCs w:val="16"/>
              </w:rPr>
            </w:pPr>
            <w:r>
              <w:rPr>
                <w:rFonts w:cs="Arial"/>
                <w:sz w:val="16"/>
                <w:szCs w:val="16"/>
              </w:rPr>
              <w:t xml:space="preserve">Ex-République yougoslave de   </w:t>
            </w:r>
          </w:p>
          <w:p>
            <w:pPr>
              <w:rPr>
                <w:rFonts w:cs="Arial"/>
                <w:sz w:val="16"/>
                <w:szCs w:val="16"/>
              </w:rPr>
            </w:pPr>
            <w:r>
              <w:rPr>
                <w:rFonts w:cs="Arial"/>
                <w:sz w:val="16"/>
                <w:szCs w:val="16"/>
              </w:rPr>
              <w:t xml:space="preserve">      Macédoine</w:t>
            </w:r>
          </w:p>
          <w:p>
            <w:pPr>
              <w:autoSpaceDE w:val="0"/>
              <w:autoSpaceDN w:val="0"/>
              <w:adjustRightInd w:val="0"/>
              <w:rPr>
                <w:rFonts w:cs="Arial"/>
                <w:sz w:val="16"/>
                <w:szCs w:val="16"/>
              </w:rPr>
            </w:pPr>
            <w:r>
              <w:rPr>
                <w:rFonts w:cs="Arial"/>
                <w:sz w:val="16"/>
                <w:szCs w:val="16"/>
              </w:rPr>
              <w:t>Gabon</w:t>
            </w:r>
          </w:p>
          <w:p>
            <w:pPr>
              <w:autoSpaceDE w:val="0"/>
              <w:autoSpaceDN w:val="0"/>
              <w:adjustRightInd w:val="0"/>
              <w:rPr>
                <w:rFonts w:cs="Arial"/>
                <w:sz w:val="16"/>
                <w:szCs w:val="16"/>
              </w:rPr>
            </w:pPr>
            <w:r>
              <w:rPr>
                <w:rFonts w:cs="Arial"/>
                <w:sz w:val="16"/>
                <w:szCs w:val="16"/>
              </w:rPr>
              <w:t>Grenade</w:t>
            </w:r>
          </w:p>
          <w:p>
            <w:pPr>
              <w:rPr>
                <w:rFonts w:cs="Arial"/>
                <w:sz w:val="16"/>
                <w:szCs w:val="16"/>
              </w:rPr>
            </w:pPr>
            <w:r>
              <w:rPr>
                <w:rFonts w:cs="Arial"/>
                <w:sz w:val="16"/>
                <w:szCs w:val="16"/>
              </w:rPr>
              <w:t xml:space="preserve">Iran </w:t>
            </w:r>
          </w:p>
          <w:p>
            <w:pPr>
              <w:autoSpaceDE w:val="0"/>
              <w:autoSpaceDN w:val="0"/>
              <w:adjustRightInd w:val="0"/>
              <w:rPr>
                <w:rFonts w:cs="Arial"/>
                <w:sz w:val="16"/>
                <w:szCs w:val="16"/>
              </w:rPr>
            </w:pPr>
            <w:r>
              <w:rPr>
                <w:rFonts w:cs="Arial"/>
                <w:sz w:val="16"/>
                <w:szCs w:val="16"/>
              </w:rPr>
              <w:t>Jamaïque</w:t>
            </w:r>
          </w:p>
          <w:p>
            <w:pPr>
              <w:rPr>
                <w:rFonts w:cs="Arial"/>
                <w:sz w:val="16"/>
                <w:szCs w:val="16"/>
              </w:rPr>
            </w:pPr>
            <w:r>
              <w:rPr>
                <w:rFonts w:cs="Arial"/>
                <w:sz w:val="16"/>
                <w:szCs w:val="16"/>
              </w:rPr>
              <w:t>Jordanie</w:t>
            </w:r>
          </w:p>
          <w:p>
            <w:pPr>
              <w:autoSpaceDE w:val="0"/>
              <w:autoSpaceDN w:val="0"/>
              <w:adjustRightInd w:val="0"/>
              <w:rPr>
                <w:rFonts w:cs="Arial"/>
                <w:sz w:val="16"/>
                <w:szCs w:val="16"/>
              </w:rPr>
            </w:pPr>
            <w:r>
              <w:rPr>
                <w:rFonts w:cs="Arial"/>
                <w:sz w:val="16"/>
                <w:szCs w:val="16"/>
              </w:rPr>
              <w:t>Kazakhstan</w:t>
            </w:r>
          </w:p>
          <w:p>
            <w:pPr>
              <w:autoSpaceDE w:val="0"/>
              <w:autoSpaceDN w:val="0"/>
              <w:adjustRightInd w:val="0"/>
              <w:rPr>
                <w:rFonts w:cs="Arial"/>
                <w:sz w:val="16"/>
                <w:szCs w:val="16"/>
              </w:rPr>
            </w:pPr>
            <w:r>
              <w:rPr>
                <w:rFonts w:cs="Arial"/>
                <w:sz w:val="16"/>
                <w:szCs w:val="16"/>
              </w:rPr>
              <w:t>Liban</w:t>
            </w:r>
          </w:p>
          <w:p>
            <w:pPr>
              <w:autoSpaceDE w:val="0"/>
              <w:autoSpaceDN w:val="0"/>
              <w:adjustRightInd w:val="0"/>
              <w:rPr>
                <w:rFonts w:cs="Arial"/>
                <w:sz w:val="16"/>
                <w:szCs w:val="16"/>
              </w:rPr>
            </w:pPr>
            <w:r>
              <w:rPr>
                <w:rFonts w:cs="Arial"/>
                <w:sz w:val="16"/>
                <w:szCs w:val="16"/>
              </w:rPr>
              <w:t>Libye</w:t>
            </w:r>
          </w:p>
          <w:p>
            <w:pPr>
              <w:autoSpaceDE w:val="0"/>
              <w:autoSpaceDN w:val="0"/>
              <w:adjustRightInd w:val="0"/>
              <w:rPr>
                <w:rFonts w:cs="Arial"/>
                <w:sz w:val="16"/>
                <w:szCs w:val="16"/>
              </w:rPr>
            </w:pPr>
            <w:r>
              <w:rPr>
                <w:rFonts w:cs="Arial"/>
                <w:sz w:val="16"/>
                <w:szCs w:val="16"/>
              </w:rPr>
              <w:t>Malaisie</w:t>
            </w:r>
          </w:p>
          <w:p>
            <w:pPr>
              <w:autoSpaceDE w:val="0"/>
              <w:autoSpaceDN w:val="0"/>
              <w:adjustRightInd w:val="0"/>
              <w:rPr>
                <w:rFonts w:cs="Arial"/>
                <w:sz w:val="16"/>
                <w:szCs w:val="16"/>
              </w:rPr>
            </w:pPr>
            <w:r>
              <w:rPr>
                <w:rFonts w:cs="Arial"/>
                <w:sz w:val="16"/>
                <w:szCs w:val="16"/>
              </w:rPr>
              <w:t>Maldives</w:t>
            </w:r>
          </w:p>
          <w:p>
            <w:pPr>
              <w:autoSpaceDE w:val="0"/>
              <w:autoSpaceDN w:val="0"/>
              <w:adjustRightInd w:val="0"/>
              <w:rPr>
                <w:rFonts w:cs="Arial"/>
                <w:sz w:val="16"/>
                <w:szCs w:val="16"/>
              </w:rPr>
            </w:pPr>
            <w:r>
              <w:rPr>
                <w:rFonts w:cs="Arial"/>
                <w:sz w:val="16"/>
                <w:szCs w:val="16"/>
              </w:rPr>
              <w:t>Maurice</w:t>
            </w:r>
          </w:p>
          <w:p>
            <w:pPr>
              <w:autoSpaceDE w:val="0"/>
              <w:autoSpaceDN w:val="0"/>
              <w:adjustRightInd w:val="0"/>
              <w:rPr>
                <w:rFonts w:cs="Arial"/>
                <w:sz w:val="16"/>
                <w:szCs w:val="16"/>
              </w:rPr>
            </w:pPr>
            <w:r>
              <w:rPr>
                <w:rFonts w:cs="Arial"/>
                <w:sz w:val="16"/>
                <w:szCs w:val="16"/>
              </w:rPr>
              <w:t>Mexique</w:t>
            </w:r>
          </w:p>
          <w:p>
            <w:pPr>
              <w:autoSpaceDE w:val="0"/>
              <w:autoSpaceDN w:val="0"/>
              <w:adjustRightInd w:val="0"/>
              <w:rPr>
                <w:rFonts w:cs="Arial"/>
                <w:sz w:val="16"/>
                <w:szCs w:val="16"/>
              </w:rPr>
            </w:pPr>
            <w:r>
              <w:rPr>
                <w:rFonts w:cs="Arial"/>
                <w:sz w:val="16"/>
                <w:szCs w:val="16"/>
              </w:rPr>
              <w:t>Monténégro</w:t>
            </w:r>
          </w:p>
          <w:p>
            <w:pPr>
              <w:autoSpaceDE w:val="0"/>
              <w:autoSpaceDN w:val="0"/>
              <w:adjustRightInd w:val="0"/>
              <w:rPr>
                <w:rFonts w:cs="Arial"/>
                <w:sz w:val="16"/>
                <w:szCs w:val="16"/>
              </w:rPr>
            </w:pPr>
            <w:r>
              <w:rPr>
                <w:rFonts w:cs="Arial"/>
                <w:sz w:val="16"/>
                <w:szCs w:val="16"/>
              </w:rPr>
              <w:t>* Montserrat</w:t>
            </w:r>
          </w:p>
          <w:p>
            <w:pPr>
              <w:rPr>
                <w:rFonts w:cs="Arial"/>
                <w:sz w:val="16"/>
                <w:szCs w:val="16"/>
              </w:rPr>
            </w:pPr>
            <w:r>
              <w:rPr>
                <w:rFonts w:cs="Arial"/>
                <w:sz w:val="16"/>
                <w:szCs w:val="16"/>
              </w:rPr>
              <w:t>Namibie</w:t>
            </w:r>
          </w:p>
          <w:p>
            <w:pPr>
              <w:autoSpaceDE w:val="0"/>
              <w:autoSpaceDN w:val="0"/>
              <w:adjustRightInd w:val="0"/>
              <w:rPr>
                <w:rFonts w:cs="Arial"/>
                <w:sz w:val="16"/>
                <w:szCs w:val="16"/>
              </w:rPr>
            </w:pPr>
            <w:r>
              <w:rPr>
                <w:rFonts w:cs="Arial"/>
                <w:sz w:val="16"/>
                <w:szCs w:val="16"/>
              </w:rPr>
              <w:t>Nauru</w:t>
            </w:r>
          </w:p>
          <w:p>
            <w:pPr>
              <w:rPr>
                <w:rFonts w:cs="Arial"/>
                <w:sz w:val="16"/>
                <w:szCs w:val="16"/>
              </w:rPr>
            </w:pPr>
            <w:r>
              <w:rPr>
                <w:rFonts w:cs="Arial"/>
                <w:sz w:val="16"/>
                <w:szCs w:val="16"/>
              </w:rPr>
              <w:t>Niue</w:t>
            </w:r>
          </w:p>
          <w:p>
            <w:pPr>
              <w:autoSpaceDE w:val="0"/>
              <w:autoSpaceDN w:val="0"/>
              <w:adjustRightInd w:val="0"/>
              <w:rPr>
                <w:rFonts w:cs="Arial"/>
                <w:sz w:val="16"/>
                <w:szCs w:val="16"/>
              </w:rPr>
            </w:pPr>
            <w:r>
              <w:rPr>
                <w:rFonts w:cs="Arial"/>
                <w:sz w:val="16"/>
                <w:szCs w:val="16"/>
              </w:rPr>
              <w:t>Palau</w:t>
            </w:r>
          </w:p>
          <w:p>
            <w:pPr>
              <w:autoSpaceDE w:val="0"/>
              <w:autoSpaceDN w:val="0"/>
              <w:adjustRightInd w:val="0"/>
              <w:rPr>
                <w:rFonts w:cs="Arial"/>
                <w:sz w:val="16"/>
                <w:szCs w:val="16"/>
              </w:rPr>
            </w:pPr>
            <w:r>
              <w:rPr>
                <w:rFonts w:cs="Arial"/>
                <w:sz w:val="16"/>
                <w:szCs w:val="16"/>
              </w:rPr>
              <w:t>Panama</w:t>
            </w:r>
          </w:p>
          <w:p>
            <w:pPr>
              <w:rPr>
                <w:rFonts w:cs="Arial"/>
                <w:sz w:val="16"/>
                <w:szCs w:val="16"/>
              </w:rPr>
            </w:pPr>
            <w:r>
              <w:rPr>
                <w:rFonts w:cs="Arial"/>
                <w:sz w:val="16"/>
                <w:szCs w:val="16"/>
              </w:rPr>
              <w:t>Pérou</w:t>
            </w:r>
          </w:p>
          <w:p>
            <w:pPr>
              <w:autoSpaceDE w:val="0"/>
              <w:autoSpaceDN w:val="0"/>
              <w:adjustRightInd w:val="0"/>
              <w:rPr>
                <w:rFonts w:cs="Arial"/>
                <w:sz w:val="16"/>
                <w:szCs w:val="16"/>
              </w:rPr>
            </w:pPr>
            <w:r>
              <w:rPr>
                <w:rFonts w:cs="Arial"/>
                <w:sz w:val="16"/>
                <w:szCs w:val="16"/>
              </w:rPr>
              <w:t>Serbie</w:t>
            </w:r>
          </w:p>
          <w:p>
            <w:pPr>
              <w:autoSpaceDE w:val="0"/>
              <w:autoSpaceDN w:val="0"/>
              <w:adjustRightInd w:val="0"/>
              <w:rPr>
                <w:rFonts w:cs="Arial"/>
                <w:sz w:val="16"/>
                <w:szCs w:val="16"/>
              </w:rPr>
            </w:pPr>
            <w:r>
              <w:rPr>
                <w:rFonts w:cs="Arial"/>
                <w:sz w:val="16"/>
                <w:szCs w:val="16"/>
              </w:rPr>
              <w:t>Seychelles</w:t>
            </w:r>
          </w:p>
          <w:p>
            <w:pPr>
              <w:autoSpaceDE w:val="0"/>
              <w:autoSpaceDN w:val="0"/>
              <w:adjustRightInd w:val="0"/>
              <w:rPr>
                <w:rFonts w:cs="Arial"/>
                <w:sz w:val="16"/>
                <w:szCs w:val="16"/>
              </w:rPr>
            </w:pPr>
            <w:r>
              <w:rPr>
                <w:rFonts w:cs="Arial"/>
                <w:sz w:val="16"/>
                <w:szCs w:val="16"/>
              </w:rPr>
              <w:t>Ste Lucie</w:t>
            </w:r>
          </w:p>
          <w:p>
            <w:pPr>
              <w:autoSpaceDE w:val="0"/>
              <w:autoSpaceDN w:val="0"/>
              <w:adjustRightInd w:val="0"/>
              <w:rPr>
                <w:rFonts w:cs="Arial"/>
                <w:sz w:val="16"/>
                <w:szCs w:val="16"/>
                <w:lang w:val="en-GB"/>
              </w:rPr>
            </w:pPr>
            <w:r>
              <w:rPr>
                <w:rFonts w:cs="Arial"/>
                <w:sz w:val="16"/>
                <w:szCs w:val="16"/>
                <w:lang w:val="en-GB"/>
              </w:rPr>
              <w:t>* Ste-Hélène</w:t>
            </w:r>
          </w:p>
          <w:p>
            <w:pPr>
              <w:autoSpaceDE w:val="0"/>
              <w:autoSpaceDN w:val="0"/>
              <w:adjustRightInd w:val="0"/>
              <w:rPr>
                <w:rFonts w:cs="Arial"/>
                <w:sz w:val="16"/>
                <w:szCs w:val="16"/>
                <w:lang w:val="en-GB"/>
              </w:rPr>
            </w:pPr>
            <w:r>
              <w:rPr>
                <w:rFonts w:cs="Arial"/>
                <w:sz w:val="16"/>
                <w:szCs w:val="16"/>
                <w:lang w:val="en-GB"/>
              </w:rPr>
              <w:t xml:space="preserve">St-Kitts et </w:t>
            </w:r>
            <w:smartTag w:uri="urn:schemas-microsoft-com:office:smarttags" w:element="place">
              <w:r>
                <w:rPr>
                  <w:rFonts w:cs="Arial"/>
                  <w:sz w:val="16"/>
                  <w:szCs w:val="16"/>
                  <w:lang w:val="en-GB"/>
                </w:rPr>
                <w:t>Nevis</w:t>
              </w:r>
            </w:smartTag>
          </w:p>
          <w:p>
            <w:pPr>
              <w:autoSpaceDE w:val="0"/>
              <w:autoSpaceDN w:val="0"/>
              <w:adjustRightInd w:val="0"/>
              <w:rPr>
                <w:rFonts w:cs="Arial"/>
                <w:sz w:val="16"/>
                <w:szCs w:val="16"/>
              </w:rPr>
            </w:pPr>
            <w:r>
              <w:rPr>
                <w:rFonts w:cs="Arial"/>
                <w:sz w:val="16"/>
                <w:szCs w:val="16"/>
              </w:rPr>
              <w:t>St-Vincent et Grenadines</w:t>
            </w:r>
          </w:p>
          <w:p>
            <w:pPr>
              <w:autoSpaceDE w:val="0"/>
              <w:autoSpaceDN w:val="0"/>
              <w:adjustRightInd w:val="0"/>
              <w:rPr>
                <w:rFonts w:cs="Arial"/>
                <w:sz w:val="16"/>
                <w:szCs w:val="16"/>
              </w:rPr>
            </w:pPr>
            <w:r>
              <w:rPr>
                <w:rFonts w:cs="Arial"/>
                <w:sz w:val="16"/>
                <w:szCs w:val="16"/>
              </w:rPr>
              <w:t>Suriname</w:t>
            </w:r>
          </w:p>
          <w:p>
            <w:pPr>
              <w:rPr>
                <w:rFonts w:cs="Arial"/>
                <w:sz w:val="16"/>
                <w:szCs w:val="16"/>
              </w:rPr>
            </w:pPr>
            <w:r>
              <w:rPr>
                <w:rFonts w:cs="Arial"/>
                <w:sz w:val="16"/>
                <w:szCs w:val="16"/>
              </w:rPr>
              <w:t>Thaïlande</w:t>
            </w:r>
          </w:p>
          <w:p>
            <w:pPr>
              <w:rPr>
                <w:rFonts w:cs="Arial"/>
                <w:sz w:val="16"/>
                <w:szCs w:val="16"/>
              </w:rPr>
            </w:pPr>
            <w:r>
              <w:rPr>
                <w:rFonts w:cs="Arial"/>
                <w:sz w:val="16"/>
                <w:szCs w:val="16"/>
              </w:rPr>
              <w:t>Tunisie</w:t>
            </w:r>
          </w:p>
          <w:p>
            <w:pPr>
              <w:autoSpaceDE w:val="0"/>
              <w:autoSpaceDN w:val="0"/>
              <w:adjustRightInd w:val="0"/>
              <w:rPr>
                <w:rFonts w:cs="Arial"/>
                <w:sz w:val="16"/>
                <w:szCs w:val="16"/>
              </w:rPr>
            </w:pPr>
            <w:r>
              <w:rPr>
                <w:rFonts w:cs="Arial"/>
                <w:sz w:val="16"/>
                <w:szCs w:val="16"/>
              </w:rPr>
              <w:t>Turquie</w:t>
            </w:r>
          </w:p>
          <w:p>
            <w:pPr>
              <w:autoSpaceDE w:val="0"/>
              <w:autoSpaceDN w:val="0"/>
              <w:adjustRightInd w:val="0"/>
              <w:rPr>
                <w:rFonts w:cs="Arial"/>
                <w:sz w:val="16"/>
                <w:szCs w:val="16"/>
              </w:rPr>
            </w:pPr>
            <w:r>
              <w:rPr>
                <w:rFonts w:cs="Arial"/>
                <w:sz w:val="16"/>
                <w:szCs w:val="16"/>
              </w:rPr>
              <w:t>Uruguay</w:t>
            </w:r>
          </w:p>
          <w:p>
            <w:pPr>
              <w:autoSpaceDE w:val="0"/>
              <w:autoSpaceDN w:val="0"/>
              <w:adjustRightInd w:val="0"/>
              <w:rPr>
                <w:rFonts w:cs="Arial"/>
                <w:sz w:val="16"/>
                <w:szCs w:val="16"/>
              </w:rPr>
            </w:pPr>
            <w:r>
              <w:rPr>
                <w:rFonts w:cs="Arial"/>
                <w:sz w:val="16"/>
                <w:szCs w:val="16"/>
              </w:rPr>
              <w:t>Venezuela</w:t>
            </w:r>
          </w:p>
          <w:p>
            <w:pPr>
              <w:rPr>
                <w:rFonts w:cs="Arial"/>
                <w:sz w:val="16"/>
                <w:szCs w:val="16"/>
              </w:rPr>
            </w:pPr>
            <w:r>
              <w:rPr>
                <w:rFonts w:cs="Arial"/>
                <w:sz w:val="16"/>
                <w:szCs w:val="16"/>
              </w:rPr>
              <w:t xml:space="preserve">* Wallis et Futuna </w:t>
            </w:r>
          </w:p>
          <w:p>
            <w:pPr>
              <w:autoSpaceDE w:val="0"/>
              <w:autoSpaceDN w:val="0"/>
              <w:adjustRightInd w:val="0"/>
              <w:rPr>
                <w:rFonts w:cs="Arial"/>
                <w:sz w:val="16"/>
                <w:szCs w:val="16"/>
              </w:rPr>
            </w:pPr>
          </w:p>
          <w:p>
            <w:pPr>
              <w:autoSpaceDE w:val="0"/>
              <w:autoSpaceDN w:val="0"/>
              <w:adjustRightInd w:val="0"/>
              <w:rPr>
                <w:rFonts w:cs="Arial"/>
                <w:sz w:val="16"/>
                <w:szCs w:val="16"/>
              </w:rPr>
            </w:pPr>
          </w:p>
        </w:tc>
      </w:tr>
    </w:tbl>
    <w:p>
      <w:pPr>
        <w:pStyle w:val="Corpsdetexte2"/>
      </w:pPr>
    </w:p>
    <w:p>
      <w:pPr>
        <w:pStyle w:val="Corpsdetexte2"/>
      </w:pPr>
      <w:r>
        <w:t>L’élève primo-arrivant inscrit en maternelle intègre une classe ordinaire.</w:t>
      </w:r>
    </w:p>
    <w:p>
      <w:pPr>
        <w:pStyle w:val="Corpsdetexte2"/>
      </w:pPr>
      <w:r>
        <w:t>L’élève primo-arrivant inscrit en primaire intègre une classe ordinaire ou peut intégrer un DASPA</w:t>
      </w:r>
      <w:r>
        <w:rPr>
          <w:rStyle w:val="Appelnotedebasdep"/>
        </w:rPr>
        <w:footnoteReference w:id="13"/>
      </w:r>
      <w:r>
        <w:t>.</w:t>
      </w:r>
    </w:p>
    <w:p>
      <w:pPr>
        <w:pStyle w:val="Corpsdetexte2"/>
      </w:pPr>
      <w:r>
        <w:t xml:space="preserve">La durée du passage en DASPA est comprise entre une semaine et un an. Cette durée peut être prolongée de 6 mois maximum sur décision du Conseil d’intégration. </w:t>
      </w:r>
    </w:p>
    <w:p>
      <w:pPr>
        <w:pStyle w:val="Corpsdetexte2"/>
      </w:pPr>
      <w:r>
        <w:t>L’élève qui fréquente un DASPA mais qui durant cette période, perd sa qualité d’élève primo-arrivant du fait qu’il ne remplit plus les 3 conditions visées ci-dessus, conserve le bénéfice du DASPA jusqu’au terme prévu.</w:t>
      </w:r>
    </w:p>
    <w:p>
      <w:pPr>
        <w:pStyle w:val="Titre3"/>
      </w:pPr>
      <w:bookmarkStart w:id="335" w:name="_Toc272404477"/>
      <w:bookmarkStart w:id="336" w:name="_Toc295931964"/>
      <w:bookmarkStart w:id="337" w:name="_Toc295913716"/>
      <w:bookmarkStart w:id="338" w:name="_Toc423419972"/>
      <w:bookmarkStart w:id="339" w:name="_Toc450645179"/>
      <w:bookmarkStart w:id="340" w:name="_Toc453942415"/>
      <w:bookmarkStart w:id="341" w:name="_Toc454888032"/>
      <w:bookmarkStart w:id="342" w:name="_Toc486241696"/>
      <w:r>
        <w:t>2.2.7. Inscription des enfants malades</w:t>
      </w:r>
      <w:bookmarkEnd w:id="335"/>
      <w:bookmarkEnd w:id="336"/>
      <w:bookmarkEnd w:id="337"/>
      <w:bookmarkEnd w:id="338"/>
      <w:bookmarkEnd w:id="339"/>
      <w:bookmarkEnd w:id="340"/>
      <w:bookmarkEnd w:id="341"/>
      <w:bookmarkEnd w:id="342"/>
    </w:p>
    <w:p>
      <w:pPr>
        <w:rPr>
          <w:lang w:val="fr-BE"/>
        </w:rPr>
      </w:pPr>
    </w:p>
    <w:p>
      <w:pPr>
        <w:jc w:val="both"/>
      </w:pPr>
      <w:r>
        <w:t xml:space="preserve">Un élève </w:t>
      </w:r>
      <w:r>
        <w:rPr>
          <w:u w:val="single"/>
        </w:rPr>
        <w:t>primaire</w:t>
      </w:r>
      <w:r>
        <w:t xml:space="preserve"> fréquentant une école à l’hôpital bénéficie d’une double inscription scolaire : celle dans son école d’enseignement primaire ordinaire d’origine et celle de l’école à l’hôpital, c'est-à-dire dans l’enseignement spécialisé de type 5. L’élève restant inscrit dans son école primaire ordinaire, il y est considéré comme régulièrement inscrit pour autant qu’il soit couvert par certificat médical. Dans ce cas, il peut être comptabilisé lors des comptages des 30/9 et 15/1. L’élève reste administrativement attaché à son école d’enseignement ordinaire durant tout le temps de son hospitalisation (et parfois aussi durant sa convalescence à domicile). Dans cette optique, tout passage dans l’année supérieure reste de la compétence de l’école d’origine.</w:t>
      </w:r>
    </w:p>
    <w:p>
      <w:pPr>
        <w:pStyle w:val="Corpsdetexte"/>
      </w:pPr>
    </w:p>
    <w:p>
      <w:pPr>
        <w:pStyle w:val="Corpsdetexte"/>
      </w:pPr>
      <w:r>
        <w:t>Lors de sa sortie d’hôpital, aucune formalité particulière n’est à entreprendre si l’enfant retourne dans son école.</w:t>
      </w:r>
      <w:bookmarkStart w:id="343" w:name="_Chapitre_2.2._Dérogations"/>
      <w:bookmarkStart w:id="344" w:name="_Toc295931965"/>
      <w:bookmarkStart w:id="345" w:name="_Toc295913717"/>
      <w:bookmarkEnd w:id="215"/>
      <w:bookmarkEnd w:id="343"/>
    </w:p>
    <w:p>
      <w:pPr>
        <w:pStyle w:val="Corpsdetexte"/>
        <w:jc w:val="left"/>
      </w:pPr>
    </w:p>
    <w:p>
      <w:pPr>
        <w:pStyle w:val="Corpsdetexte"/>
      </w:pPr>
    </w:p>
    <w:p>
      <w:pPr>
        <w:pStyle w:val="Titre2"/>
      </w:pPr>
      <w:bookmarkStart w:id="346" w:name="_Chapitre_2.3._Dérogations"/>
      <w:bookmarkEnd w:id="346"/>
      <w:r>
        <w:br w:type="page"/>
      </w:r>
      <w:bookmarkStart w:id="347" w:name="chapitre2_3"/>
      <w:bookmarkStart w:id="348" w:name="_Toc423419973"/>
      <w:bookmarkStart w:id="349" w:name="_Toc450645180"/>
      <w:bookmarkStart w:id="350" w:name="_Toc453942416"/>
      <w:bookmarkStart w:id="351" w:name="_Toc454888033"/>
      <w:bookmarkStart w:id="352" w:name="_Toc486241697"/>
      <w:r>
        <w:t>Chapitre 2.3</w:t>
      </w:r>
      <w:bookmarkEnd w:id="347"/>
      <w:r>
        <w:t>. Dérogations d'âge</w:t>
      </w:r>
      <w:bookmarkEnd w:id="344"/>
      <w:bookmarkEnd w:id="345"/>
      <w:bookmarkEnd w:id="348"/>
      <w:bookmarkEnd w:id="349"/>
      <w:bookmarkEnd w:id="350"/>
      <w:bookmarkEnd w:id="351"/>
      <w:bookmarkEnd w:id="352"/>
      <w:r>
        <w:t xml:space="preserve"> </w:t>
      </w:r>
    </w:p>
    <w:p>
      <w:pPr>
        <w:rPr>
          <w:i/>
          <w:szCs w:val="22"/>
        </w:rPr>
      </w:pPr>
    </w:p>
    <w:p>
      <w:pPr>
        <w:ind w:left="1799" w:hanging="1800"/>
        <w:jc w:val="both"/>
        <w:rPr>
          <w:i/>
        </w:rPr>
      </w:pPr>
      <w:r>
        <w:rPr>
          <w:b/>
          <w:i/>
          <w:u w:val="single"/>
        </w:rPr>
        <w:t>Bases légales</w:t>
      </w:r>
      <w:r>
        <w:rPr>
          <w:b/>
          <w:i/>
        </w:rPr>
        <w:t>:</w:t>
      </w:r>
      <w:r>
        <w:rPr>
          <w:i/>
        </w:rPr>
        <w:t xml:space="preserve"> </w:t>
      </w:r>
      <w:r>
        <w:rPr>
          <w:i/>
        </w:rPr>
        <w:tab/>
      </w:r>
      <w:hyperlink r:id="rId46" w:history="1">
        <w:r>
          <w:rPr>
            <w:rStyle w:val="Lienhypertexte"/>
            <w:i/>
            <w:color w:val="auto"/>
          </w:rPr>
          <w:t>Loi concernant l'obligation scolaire du 29/06/1983, article 1 §4 et 4bis</w:t>
        </w:r>
      </w:hyperlink>
      <w:r>
        <w:rPr>
          <w:i/>
        </w:rPr>
        <w:t xml:space="preserve">; </w:t>
      </w:r>
      <w:r>
        <w:rPr>
          <w:i/>
        </w:rPr>
        <w:br/>
      </w:r>
      <w:hyperlink r:id="rId47" w:history="1">
        <w:r>
          <w:rPr>
            <w:rStyle w:val="Lienhypertexte"/>
            <w:i/>
            <w:color w:val="auto"/>
          </w:rPr>
          <w:t xml:space="preserve">Décret "Ecole de la réussite" du 14/03/1995, articles 1 à 5 </w:t>
        </w:r>
      </w:hyperlink>
      <w:r>
        <w:rPr>
          <w:i/>
        </w:rPr>
        <w:t>;</w:t>
      </w:r>
      <w:r>
        <w:rPr>
          <w:i/>
        </w:rPr>
        <w:br/>
      </w:r>
      <w:hyperlink r:id="rId48" w:history="1">
        <w:r>
          <w:rPr>
            <w:rStyle w:val="Lienhypertexte"/>
            <w:i/>
          </w:rPr>
          <w:t>Arrêté du 08/03/2017 fixant les modalités pour les remises d’avis et les autorisations visées aux paragraphes 4 et 4 bis de l’article 1</w:t>
        </w:r>
        <w:r>
          <w:rPr>
            <w:rStyle w:val="Lienhypertexte"/>
            <w:i/>
            <w:vertAlign w:val="superscript"/>
          </w:rPr>
          <w:t>er</w:t>
        </w:r>
        <w:r>
          <w:rPr>
            <w:rStyle w:val="Lienhypertexte"/>
            <w:i/>
          </w:rPr>
          <w:t xml:space="preserve"> de la loi du 29 juin 1983 concernant l’obligation scolaire</w:t>
        </w:r>
      </w:hyperlink>
    </w:p>
    <w:p>
      <w:pPr>
        <w:pStyle w:val="Titre40"/>
        <w:spacing w:after="0"/>
        <w:rPr>
          <w:smallCaps w:val="0"/>
          <w:spacing w:val="0"/>
          <w:lang w:val="fr-FR"/>
        </w:rPr>
      </w:pPr>
    </w:p>
    <w:p>
      <w:r>
        <w:rPr>
          <w:u w:val="single"/>
        </w:rPr>
        <w:t>Avant-propos</w:t>
      </w:r>
      <w:r>
        <w:t xml:space="preserve"> : </w:t>
      </w:r>
    </w:p>
    <w:p/>
    <w:p>
      <w:pPr>
        <w:jc w:val="both"/>
      </w:pPr>
      <w:r>
        <w:t>Le directeur d’école est prié de fournir toutes les explications utiles aux parents qui souhaitent obtenir une dérogation d’âge à l’obligation scolaire et de leur remettre les formulaires de demande ad hoc.</w:t>
      </w:r>
    </w:p>
    <w:p>
      <w:pPr>
        <w:spacing w:before="120"/>
        <w:jc w:val="both"/>
      </w:pPr>
      <w:r>
        <w:rPr>
          <w:b/>
          <w:u w:val="single"/>
        </w:rPr>
        <w:t>En aucun cas</w:t>
      </w:r>
      <w:r>
        <w:t xml:space="preserve">, le directeur d’école ni le directeur du centre PMS ainsi que les membres de leurs équipes respectives, ne peuvent faire pression sur les parents d’un élève pour les inciter à solliciter une dérogation d’âge.  </w:t>
      </w:r>
    </w:p>
    <w:p>
      <w:pPr>
        <w:spacing w:before="120"/>
        <w:jc w:val="both"/>
      </w:pPr>
      <w:r>
        <w:t xml:space="preserve">Les élèves de l’enseignement spécialisé bénéficiant d’une </w:t>
      </w:r>
      <w:r>
        <w:rPr>
          <w:u w:val="single"/>
        </w:rPr>
        <w:t>intégration permanente totale</w:t>
      </w:r>
      <w:r>
        <w:t xml:space="preserve"> dans l’enseignement ordinaire doivent, le cas échéant, être en ordre de dérogations d’âge, et ce conformément aux </w:t>
      </w:r>
      <w:r>
        <w:rPr>
          <w:rFonts w:cs="Arial"/>
          <w:szCs w:val="22"/>
        </w:rPr>
        <w:t xml:space="preserve">règles d’inscription et de comptabilisation de l’enseignement fondamental ordinaire.  </w:t>
      </w:r>
    </w:p>
    <w:p>
      <w:pPr>
        <w:pStyle w:val="Titre40"/>
        <w:spacing w:after="0"/>
        <w:jc w:val="both"/>
        <w:rPr>
          <w:i w:val="0"/>
          <w:smallCaps w:val="0"/>
          <w:spacing w:val="0"/>
          <w:lang w:val="fr-FR"/>
        </w:rPr>
      </w:pPr>
    </w:p>
    <w:p>
      <w:pPr>
        <w:pStyle w:val="Titre40"/>
        <w:spacing w:after="0"/>
        <w:jc w:val="both"/>
        <w:rPr>
          <w:i w:val="0"/>
          <w:smallCaps w:val="0"/>
          <w:spacing w:val="0"/>
          <w:lang w:val="fr-FR"/>
        </w:rPr>
      </w:pPr>
    </w:p>
    <w:p>
      <w:pPr>
        <w:pStyle w:val="Titre3"/>
      </w:pPr>
      <w:bookmarkStart w:id="353" w:name="_2.2.1._Avancement_en"/>
      <w:bookmarkStart w:id="354" w:name="_2.3.1._Dans_l’enseignement"/>
      <w:bookmarkStart w:id="355" w:name="_Toc295931966"/>
      <w:bookmarkStart w:id="356" w:name="_Toc295913718"/>
      <w:bookmarkStart w:id="357" w:name="Section2_3_1"/>
      <w:bookmarkStart w:id="358" w:name="_Toc423419974"/>
      <w:bookmarkStart w:id="359" w:name="_Toc450645181"/>
      <w:bookmarkStart w:id="360" w:name="_Toc453942417"/>
      <w:bookmarkStart w:id="361" w:name="_Toc454888034"/>
      <w:bookmarkStart w:id="362" w:name="_Toc486241698"/>
      <w:bookmarkEnd w:id="353"/>
      <w:bookmarkEnd w:id="354"/>
      <w:r>
        <w:t>2.3.1.</w:t>
      </w:r>
      <w:bookmarkEnd w:id="355"/>
      <w:bookmarkEnd w:id="356"/>
      <w:bookmarkEnd w:id="357"/>
      <w:r>
        <w:t xml:space="preserve"> </w:t>
      </w:r>
      <w:bookmarkEnd w:id="358"/>
      <w:bookmarkEnd w:id="359"/>
      <w:bookmarkEnd w:id="360"/>
      <w:bookmarkEnd w:id="361"/>
      <w:r>
        <w:t>Maintien en 3</w:t>
      </w:r>
      <w:r>
        <w:rPr>
          <w:vertAlign w:val="superscript"/>
        </w:rPr>
        <w:t>e</w:t>
      </w:r>
      <w:r>
        <w:t xml:space="preserve"> maternelle</w:t>
      </w:r>
      <w:bookmarkEnd w:id="362"/>
    </w:p>
    <w:p>
      <w:pPr>
        <w:jc w:val="both"/>
        <w:rPr>
          <w:szCs w:val="22"/>
        </w:rPr>
      </w:pPr>
    </w:p>
    <w:p>
      <w:pPr>
        <w:spacing w:after="120"/>
        <w:jc w:val="both"/>
        <w:rPr>
          <w:rFonts w:cs="Arial"/>
          <w:szCs w:val="22"/>
        </w:rPr>
      </w:pPr>
      <w:r>
        <w:rPr>
          <w:rFonts w:cs="Arial"/>
          <w:szCs w:val="22"/>
        </w:rPr>
        <w:t>La direction de l’école où les parents souhaitent maintenir leur enfant en 3</w:t>
      </w:r>
      <w:r>
        <w:rPr>
          <w:rFonts w:cs="Arial"/>
          <w:szCs w:val="22"/>
          <w:vertAlign w:val="superscript"/>
        </w:rPr>
        <w:t>e</w:t>
      </w:r>
      <w:r>
        <w:rPr>
          <w:rFonts w:cs="Arial"/>
          <w:szCs w:val="22"/>
        </w:rPr>
        <w:t xml:space="preserve"> maternelle sollicite une dérogation auprès du Service général de l’Inspection </w:t>
      </w:r>
      <w:r>
        <w:rPr>
          <w:rFonts w:cs="Arial"/>
          <w:b/>
          <w:szCs w:val="22"/>
          <w:u w:val="single"/>
        </w:rPr>
        <w:t>avant le 30 mai de l’année scolaire en cours</w:t>
      </w:r>
      <w:r>
        <w:rPr>
          <w:rFonts w:cs="Arial"/>
          <w:szCs w:val="22"/>
        </w:rPr>
        <w:t xml:space="preserve"> à l’adresse suivante : </w:t>
      </w:r>
    </w:p>
    <w:p>
      <w:pPr>
        <w:spacing w:after="120"/>
        <w:jc w:val="both"/>
        <w:rPr>
          <w:rFonts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2"/>
      </w:tblGrid>
      <w:tr>
        <w:trPr>
          <w:trHeight w:val="1308"/>
          <w:jc w:val="center"/>
        </w:trPr>
        <w:tc>
          <w:tcPr>
            <w:tcW w:w="7082"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u w:val="single"/>
              </w:rPr>
            </w:pPr>
            <w:r>
              <w:rPr>
                <w:rFonts w:cs="Arial"/>
                <w:color w:val="auto"/>
                <w:szCs w:val="22"/>
                <w:u w:val="single"/>
              </w:rPr>
              <w:t>Service général de l’Inspection</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Service de l’Inspection de l’Enseignement fondamental ordinaire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Boulevard du Jardin botanique, 20/22 - Bureau 2 G 41</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1000 BRUXELLES</w:t>
            </w:r>
          </w:p>
        </w:tc>
      </w:tr>
    </w:tbl>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Cs w:val="22"/>
        </w:rPr>
      </w:pPr>
    </w:p>
    <w:p>
      <w:pPr>
        <w:rPr>
          <w:rFonts w:cs="Arial"/>
          <w:szCs w:val="22"/>
        </w:rPr>
      </w:pPr>
      <w:r>
        <w:rPr>
          <w:rFonts w:cs="Arial"/>
          <w:szCs w:val="22"/>
        </w:rPr>
        <w:t xml:space="preserve">Pour être réputé complet, le dossier doit comporter les documents énumérés ci-dessous. </w:t>
      </w:r>
    </w:p>
    <w:p>
      <w:pPr>
        <w:rPr>
          <w:rFonts w:cs="Arial"/>
          <w:szCs w:val="22"/>
        </w:rPr>
      </w:pPr>
    </w:p>
    <w:p>
      <w:pPr>
        <w:spacing w:after="120"/>
        <w:jc w:val="both"/>
        <w:rPr>
          <w:rFonts w:cs="Arial"/>
          <w:szCs w:val="22"/>
        </w:rPr>
      </w:pPr>
      <w:r>
        <w:rPr>
          <w:rFonts w:cs="Arial"/>
          <w:szCs w:val="22"/>
        </w:rPr>
        <w:t>1</w:t>
      </w:r>
      <w:r>
        <w:rPr>
          <w:rFonts w:cs="Arial"/>
          <w:szCs w:val="22"/>
          <w:vertAlign w:val="superscript"/>
        </w:rPr>
        <w:t>°</w:t>
      </w:r>
      <w:r>
        <w:rPr>
          <w:rFonts w:cs="Arial"/>
          <w:szCs w:val="22"/>
        </w:rPr>
        <w:t xml:space="preserve">. La demande initiale des parents, qui doivent, </w:t>
      </w:r>
      <w:r>
        <w:rPr>
          <w:rFonts w:eastAsia="MS Mincho" w:cs="Arial"/>
          <w:b/>
          <w:szCs w:val="22"/>
          <w:u w:val="single"/>
        </w:rPr>
        <w:t>avant le 15 mai de l’année scolaire en cours</w:t>
      </w:r>
      <w:r>
        <w:rPr>
          <w:rFonts w:eastAsia="MS Mincho" w:cs="Arial"/>
          <w:szCs w:val="22"/>
        </w:rPr>
        <w:t>, avoir sollicité l’avis du chef de l’établissement que fréquente l’enfant durant l’année scolaire qui précède celle pour laquelle l’avis est requis, ainsi que celui du centre psycho-médico-social de l’école.</w:t>
      </w:r>
    </w:p>
    <w:p>
      <w:pPr>
        <w:jc w:val="both"/>
        <w:rPr>
          <w:rFonts w:cs="Arial"/>
          <w:szCs w:val="22"/>
        </w:rPr>
      </w:pPr>
      <w:r>
        <w:rPr>
          <w:rFonts w:cs="Arial"/>
          <w:szCs w:val="22"/>
        </w:rPr>
        <w:t xml:space="preserve">Afin d’attester du caractère exceptionnel de la demande, celle-ci doit être accompagnée d’un document délivré depuis moins de 6 mois par un spécialiste </w:t>
      </w:r>
      <w:r>
        <w:rPr>
          <w:rFonts w:eastAsia="MS Mincho" w:cs="Arial"/>
          <w:szCs w:val="22"/>
        </w:rPr>
        <w:t>(logopède, neurologue, neuropédiatre, neuropsychiatre, neuropsychologue, oto-rhino-laryngologue, pédiatre ou psychiatre).</w:t>
      </w:r>
    </w:p>
    <w:p>
      <w:pPr>
        <w:rPr>
          <w:rFonts w:cs="Arial"/>
          <w:szCs w:val="22"/>
        </w:rPr>
      </w:pPr>
    </w:p>
    <w:p>
      <w:pPr>
        <w:jc w:val="both"/>
        <w:rPr>
          <w:rFonts w:cs="Arial"/>
          <w:szCs w:val="22"/>
        </w:rPr>
      </w:pPr>
      <w:r>
        <w:rPr>
          <w:rFonts w:cs="Arial"/>
          <w:szCs w:val="22"/>
        </w:rPr>
        <w:t>2°. L’avis « favorable » ou « défavorable » du chef de l’établissement que fréquente l’enfant durant l’année scolaire qui précède celle pour laquelle l’avis est requis (</w:t>
      </w:r>
      <w:hyperlink w:anchor="Annexe_23A" w:history="1">
        <w:r>
          <w:rPr>
            <w:rStyle w:val="Lienhypertexte"/>
            <w:rFonts w:cs="Arial"/>
            <w:color w:val="auto"/>
            <w:szCs w:val="22"/>
          </w:rPr>
          <w:t>annexe 2.3.A</w:t>
        </w:r>
      </w:hyperlink>
      <w:r>
        <w:rPr>
          <w:rFonts w:cs="Arial"/>
          <w:szCs w:val="22"/>
        </w:rPr>
        <w:t xml:space="preserve">). </w:t>
      </w:r>
    </w:p>
    <w:p>
      <w:pPr>
        <w:widowControl w:val="0"/>
        <w:autoSpaceDE w:val="0"/>
        <w:autoSpaceDN w:val="0"/>
        <w:adjustRightInd w:val="0"/>
        <w:spacing w:before="120"/>
        <w:jc w:val="both"/>
        <w:rPr>
          <w:rFonts w:cs="Arial"/>
          <w:szCs w:val="22"/>
        </w:rPr>
      </w:pPr>
    </w:p>
    <w:p>
      <w:pPr>
        <w:widowControl w:val="0"/>
        <w:autoSpaceDE w:val="0"/>
        <w:autoSpaceDN w:val="0"/>
        <w:adjustRightInd w:val="0"/>
        <w:spacing w:before="120"/>
        <w:jc w:val="both"/>
        <w:rPr>
          <w:rFonts w:eastAsia="MS Mincho" w:cs="Arial"/>
          <w:b/>
          <w:szCs w:val="22"/>
        </w:rPr>
      </w:pPr>
      <w:r>
        <w:rPr>
          <w:rFonts w:cs="Arial"/>
          <w:szCs w:val="22"/>
        </w:rPr>
        <w:t xml:space="preserve">Cet avis doit être remis aux parents et doit obligatoirement être accompagné, </w:t>
      </w:r>
      <w:r>
        <w:rPr>
          <w:rFonts w:eastAsia="MS Mincho" w:cs="Arial"/>
          <w:szCs w:val="22"/>
        </w:rPr>
        <w:t xml:space="preserve">à minima, </w:t>
      </w:r>
      <w:r>
        <w:rPr>
          <w:rFonts w:cs="Arial"/>
          <w:szCs w:val="22"/>
        </w:rPr>
        <w:t>d’un plan différencié d’apprentissage reprenant, pour l’élève concerné, les éléments suivants motivés :</w:t>
      </w:r>
    </w:p>
    <w:p>
      <w:pPr>
        <w:pStyle w:val="Paragraphedeliste"/>
        <w:numPr>
          <w:ilvl w:val="0"/>
          <w:numId w:val="180"/>
        </w:numPr>
        <w:contextualSpacing/>
        <w:jc w:val="both"/>
        <w:rPr>
          <w:rFonts w:cs="Arial"/>
          <w:szCs w:val="22"/>
        </w:rPr>
      </w:pPr>
      <w:r>
        <w:rPr>
          <w:rFonts w:cs="Arial"/>
          <w:szCs w:val="22"/>
        </w:rPr>
        <w:t>L’avis circonstancié du titulaire de l’enfant ;</w:t>
      </w:r>
    </w:p>
    <w:p>
      <w:pPr>
        <w:pStyle w:val="Paragraphedeliste"/>
        <w:numPr>
          <w:ilvl w:val="0"/>
          <w:numId w:val="180"/>
        </w:numPr>
        <w:contextualSpacing/>
        <w:jc w:val="both"/>
        <w:rPr>
          <w:rFonts w:cs="Arial"/>
          <w:szCs w:val="22"/>
        </w:rPr>
      </w:pPr>
      <w:r>
        <w:rPr>
          <w:rFonts w:cs="Arial"/>
          <w:szCs w:val="22"/>
        </w:rPr>
        <w:t>La mise en évidence précise des difficultés concrètes et des compétences attendues non atteintes durant, à minima, l’année scolaire qui précède celle pour laquelle l’avis est requis ;</w:t>
      </w:r>
    </w:p>
    <w:p>
      <w:pPr>
        <w:pStyle w:val="Paragraphedeliste"/>
        <w:numPr>
          <w:ilvl w:val="0"/>
          <w:numId w:val="180"/>
        </w:numPr>
        <w:contextualSpacing/>
        <w:jc w:val="both"/>
        <w:rPr>
          <w:rFonts w:cs="Arial"/>
          <w:szCs w:val="22"/>
        </w:rPr>
      </w:pPr>
      <w:r>
        <w:rPr>
          <w:rFonts w:cs="Arial"/>
          <w:szCs w:val="22"/>
        </w:rPr>
        <w:t>Le dispositif d’aide (modalités concrètes d’application des stratégies d’inclusion et de différenciation) concret interne à l’établissement scolaire mis en place (en concertation avec, à minima, les titulaires de classe, la direction d’école, le CPMS et les parents) durant l’année scolaire qui précède celle pour laquelle l’avis est requis ;</w:t>
      </w:r>
    </w:p>
    <w:p>
      <w:pPr>
        <w:pStyle w:val="Paragraphedeliste"/>
        <w:numPr>
          <w:ilvl w:val="0"/>
          <w:numId w:val="180"/>
        </w:numPr>
        <w:contextualSpacing/>
        <w:jc w:val="both"/>
        <w:rPr>
          <w:rFonts w:cs="Arial"/>
          <w:szCs w:val="22"/>
        </w:rPr>
      </w:pPr>
      <w:r>
        <w:rPr>
          <w:rFonts w:cs="Arial"/>
          <w:szCs w:val="22"/>
        </w:rPr>
        <w:t>Les aides externes concrètes proposées aux responsables légaux durant l’année scolaire qui précède celle pour laquelle l’avis est requis ;</w:t>
      </w:r>
    </w:p>
    <w:p>
      <w:pPr>
        <w:pStyle w:val="Paragraphedeliste"/>
        <w:numPr>
          <w:ilvl w:val="0"/>
          <w:numId w:val="180"/>
        </w:numPr>
        <w:contextualSpacing/>
        <w:jc w:val="both"/>
        <w:rPr>
          <w:rFonts w:cs="Arial"/>
          <w:szCs w:val="22"/>
        </w:rPr>
      </w:pPr>
      <w:r>
        <w:rPr>
          <w:rFonts w:cs="Arial"/>
          <w:szCs w:val="22"/>
        </w:rPr>
        <w:t>Les objectifs précis et concrets à atteindre au terme de l’année complémentaire ;</w:t>
      </w:r>
    </w:p>
    <w:p>
      <w:pPr>
        <w:pStyle w:val="Paragraphedeliste"/>
        <w:numPr>
          <w:ilvl w:val="0"/>
          <w:numId w:val="180"/>
        </w:numPr>
        <w:contextualSpacing/>
        <w:jc w:val="both"/>
        <w:rPr>
          <w:rFonts w:cs="Arial"/>
          <w:szCs w:val="22"/>
        </w:rPr>
      </w:pPr>
      <w:r>
        <w:rPr>
          <w:rFonts w:cs="Arial"/>
          <w:szCs w:val="22"/>
        </w:rPr>
        <w:t>Le dispositif d’accompagnement (modalités concrètes d’application des stratégies d’inclusion et de différenciation) interne à l’établissement scolaire qui sera mis en place (en concertation avec, à minima, les titulaires de classe, la direction d’école, le CPMS et les parents) durant l’année complémentaire pour atteindre les objectifs fixés ;</w:t>
      </w:r>
    </w:p>
    <w:p>
      <w:pPr>
        <w:pStyle w:val="Paragraphedeliste"/>
        <w:numPr>
          <w:ilvl w:val="0"/>
          <w:numId w:val="180"/>
        </w:numPr>
        <w:contextualSpacing/>
        <w:jc w:val="both"/>
        <w:rPr>
          <w:rFonts w:cs="Arial"/>
          <w:szCs w:val="22"/>
        </w:rPr>
      </w:pPr>
      <w:r>
        <w:rPr>
          <w:rFonts w:cs="Arial"/>
          <w:szCs w:val="22"/>
        </w:rPr>
        <w:t>Le processus de suivi du dispositif tout au long de l’année complémentaire ;</w:t>
      </w:r>
    </w:p>
    <w:p>
      <w:pPr>
        <w:pStyle w:val="Paragraphedeliste"/>
        <w:numPr>
          <w:ilvl w:val="0"/>
          <w:numId w:val="180"/>
        </w:numPr>
        <w:contextualSpacing/>
        <w:jc w:val="both"/>
        <w:rPr>
          <w:rFonts w:cs="Arial"/>
          <w:szCs w:val="22"/>
        </w:rPr>
      </w:pPr>
      <w:r>
        <w:rPr>
          <w:rFonts w:cs="Arial"/>
          <w:szCs w:val="22"/>
        </w:rPr>
        <w:t>Le processus d’évaluation à mi-parcours et au terme de l’année complémentaire ;</w:t>
      </w:r>
    </w:p>
    <w:p>
      <w:pPr>
        <w:pStyle w:val="Paragraphedeliste"/>
        <w:numPr>
          <w:ilvl w:val="0"/>
          <w:numId w:val="180"/>
        </w:numPr>
        <w:contextualSpacing/>
        <w:jc w:val="both"/>
        <w:rPr>
          <w:rFonts w:cs="Arial"/>
          <w:szCs w:val="22"/>
        </w:rPr>
      </w:pPr>
      <w:r>
        <w:rPr>
          <w:rFonts w:cs="Arial"/>
          <w:szCs w:val="22"/>
        </w:rPr>
        <w:t>La liste des intervenants internes et externes au processus (regroupant à minima, les titulaires de classe –année précédente et année complémentaire-, la direction d’école, le CPMS et les parents) ainsi que la description de leurs interventions.</w:t>
      </w:r>
    </w:p>
    <w:p>
      <w:pPr>
        <w:jc w:val="both"/>
        <w:rPr>
          <w:rFonts w:cs="Arial"/>
          <w:szCs w:val="22"/>
        </w:rPr>
      </w:pPr>
    </w:p>
    <w:p>
      <w:pPr>
        <w:jc w:val="both"/>
        <w:rPr>
          <w:rFonts w:cs="Arial"/>
          <w:szCs w:val="22"/>
        </w:rPr>
      </w:pPr>
      <w:r>
        <w:rPr>
          <w:rFonts w:cs="Arial"/>
          <w:szCs w:val="22"/>
        </w:rPr>
        <w:t>3°. L’avis « favorable » ou « défavorable » du Centre PMS qui dessert l’école fréquentée par l’élève durant l’année scolaire qui précède celle pour laquelle l’avis est requis (</w:t>
      </w:r>
      <w:hyperlink w:anchor="Annexe_23B" w:history="1">
        <w:r>
          <w:rPr>
            <w:rStyle w:val="Lienhypertexte"/>
            <w:rFonts w:cs="Arial"/>
            <w:color w:val="auto"/>
            <w:szCs w:val="22"/>
          </w:rPr>
          <w:t>annexe 2.3.B</w:t>
        </w:r>
      </w:hyperlink>
      <w:r>
        <w:rPr>
          <w:rFonts w:cs="Arial"/>
          <w:szCs w:val="22"/>
        </w:rPr>
        <w:t xml:space="preserve">). A défaut d’existence d’un tel centre, cet avis doit être fourni par le CPMS qui dessert l’école où l’élève va s’inscrire. </w:t>
      </w:r>
    </w:p>
    <w:p>
      <w:pPr>
        <w:spacing w:before="120"/>
        <w:jc w:val="both"/>
        <w:rPr>
          <w:rFonts w:cs="Arial"/>
          <w:szCs w:val="22"/>
        </w:rPr>
      </w:pPr>
      <w:r>
        <w:rPr>
          <w:rFonts w:cs="Arial"/>
          <w:szCs w:val="22"/>
        </w:rPr>
        <w:t xml:space="preserve">L’avis doit être remis aux parents par le CPMS. Il ne peut en aucun cas être le simple reflet d’une opinion mais bien le résultat élaboré des moyens mis en œuvre par l’équipe psycho-médico-sociale en fonction des caractéristiques et des besoins propres à chaque cas. Une synthèse des constats de l’équipe psycho-médico-sociale doit explicitement figurer au dossier individuel de l’élève (article 6 de l’arrêté royal du 13 août 1962). </w:t>
      </w:r>
    </w:p>
    <w:p>
      <w:pPr>
        <w:jc w:val="both"/>
        <w:rPr>
          <w:rFonts w:cs="Arial"/>
          <w:szCs w:val="22"/>
        </w:rPr>
      </w:pPr>
    </w:p>
    <w:p>
      <w:pPr>
        <w:jc w:val="both"/>
        <w:rPr>
          <w:rFonts w:cs="Arial"/>
          <w:szCs w:val="22"/>
        </w:rPr>
      </w:pPr>
      <w:r>
        <w:rPr>
          <w:rFonts w:cs="Arial"/>
          <w:szCs w:val="22"/>
        </w:rPr>
        <w:t>4°. Les parents, après avoir recueilli les avis précités, réclament l’</w:t>
      </w:r>
      <w:hyperlink w:anchor="Annexe_23C" w:history="1">
        <w:r>
          <w:rPr>
            <w:rStyle w:val="Lienhypertexte"/>
            <w:rFonts w:cs="Arial"/>
            <w:color w:val="auto"/>
            <w:szCs w:val="22"/>
          </w:rPr>
          <w:t>annexe 2.3.C</w:t>
        </w:r>
      </w:hyperlink>
      <w:r>
        <w:rPr>
          <w:rFonts w:cs="Arial"/>
          <w:szCs w:val="22"/>
        </w:rPr>
        <w:t xml:space="preserve"> à la direction de l’école où ils souhaitent inscrire l’enfant, la remplissent, la datent et la signent. </w:t>
      </w:r>
    </w:p>
    <w:p>
      <w:pPr>
        <w:rPr>
          <w:rFonts w:cs="Arial"/>
          <w:szCs w:val="22"/>
        </w:rPr>
      </w:pPr>
    </w:p>
    <w:p>
      <w:pPr>
        <w:jc w:val="both"/>
        <w:rPr>
          <w:rFonts w:cs="Arial"/>
          <w:szCs w:val="22"/>
        </w:rPr>
      </w:pPr>
    </w:p>
    <w:p>
      <w:pPr>
        <w:jc w:val="both"/>
        <w:rPr>
          <w:rFonts w:cs="Arial"/>
          <w:szCs w:val="22"/>
        </w:rPr>
      </w:pPr>
      <w:r>
        <w:rPr>
          <w:rFonts w:cs="Arial"/>
          <w:szCs w:val="22"/>
        </w:rPr>
        <w:t>Dès réception de l’ensemble du dossier (demande des parents ; attestation d’un spécialiste ; annexes A, B et C ; avis motivé du directeur de l’établissement et avis du CPMS), le Service général de l’Inspection désigne un inspecteur(trice) de l’enseignement maternel différent du secteur d’inspection dont relève l’école.</w:t>
      </w:r>
    </w:p>
    <w:p>
      <w:pPr>
        <w:jc w:val="both"/>
        <w:rPr>
          <w:rFonts w:cs="Arial"/>
          <w:szCs w:val="22"/>
        </w:rPr>
      </w:pPr>
    </w:p>
    <w:p>
      <w:pPr>
        <w:jc w:val="both"/>
        <w:rPr>
          <w:rFonts w:cs="Arial"/>
          <w:szCs w:val="22"/>
        </w:rPr>
      </w:pPr>
      <w:r>
        <w:rPr>
          <w:rFonts w:cs="Arial"/>
          <w:szCs w:val="22"/>
        </w:rPr>
        <w:t xml:space="preserve">L’inspecteur(trice) désigné(e) peut entendre les parents. Dans les 10 jours ouvrables de la réception de la demande, il (elle) décide d’autoriser ou de refuser la fréquentation de l’enseignement maternel pendant la première année de la scolarité obligatoire. Si la décision n’est pas rendue dans ce délai, elle est réputée favorable. </w:t>
      </w:r>
    </w:p>
    <w:p>
      <w:pPr>
        <w:rPr>
          <w:rFonts w:cs="Arial"/>
          <w:szCs w:val="22"/>
        </w:rPr>
      </w:pPr>
    </w:p>
    <w:p>
      <w:pPr>
        <w:jc w:val="both"/>
        <w:rPr>
          <w:rFonts w:cs="Arial"/>
          <w:szCs w:val="22"/>
        </w:rPr>
      </w:pPr>
      <w:r>
        <w:rPr>
          <w:rFonts w:cs="Arial"/>
          <w:szCs w:val="22"/>
        </w:rPr>
        <w:t xml:space="preserve">En cas de décision défavorable, les parents ont la possibilité d’introduire, par envoi recommandé, un recours auprès de l’Administrateur général de l’Enseignement dans les 5 jours ouvrables qui suivent la notification faite par l’Inspection. </w:t>
      </w:r>
    </w:p>
    <w:p>
      <w:pPr>
        <w:jc w:val="both"/>
        <w:rPr>
          <w:rFonts w:cs="Arial"/>
          <w:szCs w:val="22"/>
        </w:rPr>
      </w:pPr>
    </w:p>
    <w:p>
      <w:pPr>
        <w:spacing w:after="120"/>
        <w:rPr>
          <w:rFonts w:cs="Arial"/>
          <w:szCs w:val="22"/>
        </w:rPr>
      </w:pPr>
      <w:r>
        <w:rPr>
          <w:rFonts w:cs="Arial"/>
          <w:szCs w:val="22"/>
        </w:rPr>
        <w:t xml:space="preserve">Tout recours sera adressé à l’adresse suivante :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2"/>
      </w:tblGrid>
      <w:tr>
        <w:trPr>
          <w:trHeight w:val="1308"/>
          <w:jc w:val="center"/>
        </w:trPr>
        <w:tc>
          <w:tcPr>
            <w:tcW w:w="7082"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Monsieur Jean-Pierre HUBIN</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Administrateur général</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Recours maintien 3 M</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Boulevard du Jardin botanique, 20/22</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1000 BRUXELLES</w:t>
            </w:r>
          </w:p>
        </w:tc>
      </w:tr>
    </w:tbl>
    <w:p>
      <w:pPr>
        <w:jc w:val="both"/>
        <w:rPr>
          <w:rFonts w:cs="Arial"/>
          <w:szCs w:val="22"/>
        </w:rPr>
      </w:pPr>
    </w:p>
    <w:p>
      <w:pPr>
        <w:jc w:val="both"/>
        <w:rPr>
          <w:rFonts w:cs="Arial"/>
          <w:szCs w:val="22"/>
        </w:rPr>
      </w:pPr>
      <w:r>
        <w:rPr>
          <w:rFonts w:cs="Arial"/>
          <w:szCs w:val="22"/>
        </w:rPr>
        <w:t xml:space="preserve">Une copie du recours doit être envoyée simultanément à la direction de l’école. </w:t>
      </w:r>
    </w:p>
    <w:p>
      <w:pPr>
        <w:rPr>
          <w:rFonts w:cs="Arial"/>
          <w:szCs w:val="22"/>
        </w:rPr>
      </w:pPr>
    </w:p>
    <w:p>
      <w:pPr>
        <w:jc w:val="both"/>
        <w:rPr>
          <w:rFonts w:cs="Arial"/>
          <w:szCs w:val="22"/>
        </w:rPr>
      </w:pPr>
      <w:r>
        <w:rPr>
          <w:rFonts w:cs="Arial"/>
          <w:szCs w:val="22"/>
        </w:rPr>
        <w:t xml:space="preserve">Le recours doit être motivé. Les parents devront donc indiquer la ou les raison(s) précise(s) pour laquelle (lesquelles) ils contestent la décision. Les parents joindront une copie de la décision que l’Inspection leur a communiquée, ainsi que les pièces qu’ils jugeront utiles. </w:t>
      </w:r>
    </w:p>
    <w:p>
      <w:pPr>
        <w:jc w:val="both"/>
        <w:rPr>
          <w:rFonts w:eastAsia="MS Mincho" w:cs="Arial"/>
          <w:szCs w:val="22"/>
        </w:rPr>
      </w:pPr>
      <w:r>
        <w:rPr>
          <w:rFonts w:cs="Arial"/>
          <w:szCs w:val="22"/>
        </w:rPr>
        <w:t xml:space="preserve">Dès réception du recours, l’Administrateur général le transmet à la Chambre de recours. Outre son président (un inspecteur relevant du Service général de l’Inspection), celle-ci comprend </w:t>
      </w:r>
      <w:r>
        <w:rPr>
          <w:rFonts w:eastAsia="MS Mincho" w:cs="Arial"/>
          <w:szCs w:val="22"/>
        </w:rPr>
        <w:t>des représentants des établissements d'enseignement organisés ou subventionnés par la Communauté française désignés par les organes de représentation et de coordination des pouvoirs organisateurs de l’enseignement et des centres PMS :</w:t>
      </w:r>
    </w:p>
    <w:p>
      <w:pPr>
        <w:spacing w:before="120"/>
        <w:ind w:left="284"/>
        <w:jc w:val="both"/>
        <w:rPr>
          <w:rFonts w:eastAsia="MS Mincho" w:cs="Arial"/>
          <w:szCs w:val="22"/>
        </w:rPr>
      </w:pPr>
      <w:r>
        <w:rPr>
          <w:rFonts w:eastAsia="MS Mincho" w:cs="Arial"/>
          <w:szCs w:val="22"/>
        </w:rPr>
        <w:t>1° trois enseignant(e)s et trois directeur(trice)s de l’enseignement maternel ordinaire ;</w:t>
      </w:r>
    </w:p>
    <w:p>
      <w:pPr>
        <w:ind w:firstLine="284"/>
        <w:jc w:val="both"/>
        <w:rPr>
          <w:rFonts w:eastAsia="MS Mincho" w:cs="Arial"/>
          <w:szCs w:val="22"/>
        </w:rPr>
      </w:pPr>
      <w:r>
        <w:rPr>
          <w:rFonts w:eastAsia="MS Mincho" w:cs="Arial"/>
          <w:szCs w:val="22"/>
        </w:rPr>
        <w:t xml:space="preserve">2° un (e) membre de l’enseignement spécialisé ; </w:t>
      </w:r>
    </w:p>
    <w:p>
      <w:pPr>
        <w:ind w:firstLine="284"/>
        <w:jc w:val="both"/>
        <w:rPr>
          <w:rFonts w:eastAsia="MS Mincho" w:cs="Arial"/>
          <w:szCs w:val="22"/>
        </w:rPr>
      </w:pPr>
      <w:r>
        <w:rPr>
          <w:rFonts w:eastAsia="MS Mincho" w:cs="Arial"/>
          <w:szCs w:val="22"/>
        </w:rPr>
        <w:t>3° un (e) membre de l’enseignement primaire ordinaire ;</w:t>
      </w:r>
    </w:p>
    <w:p>
      <w:pPr>
        <w:ind w:firstLine="284"/>
        <w:jc w:val="both"/>
        <w:rPr>
          <w:rFonts w:eastAsia="MS Mincho" w:cs="Arial"/>
          <w:szCs w:val="22"/>
        </w:rPr>
      </w:pPr>
      <w:r>
        <w:rPr>
          <w:rFonts w:eastAsia="MS Mincho" w:cs="Arial"/>
          <w:szCs w:val="22"/>
        </w:rPr>
        <w:t>4° un (e) membre des centres psycho médico-sociaux ;</w:t>
      </w:r>
    </w:p>
    <w:p>
      <w:pPr>
        <w:ind w:left="284"/>
        <w:jc w:val="both"/>
        <w:rPr>
          <w:rFonts w:cs="Arial"/>
          <w:szCs w:val="22"/>
        </w:rPr>
      </w:pPr>
      <w:r>
        <w:rPr>
          <w:rFonts w:eastAsia="MS Mincho" w:cs="Arial"/>
          <w:szCs w:val="22"/>
        </w:rPr>
        <w:t xml:space="preserve">5° deux membres désignés par les </w:t>
      </w:r>
      <w:r>
        <w:rPr>
          <w:rFonts w:eastAsia="MS Mincho" w:cs="Arial"/>
          <w:bCs/>
          <w:szCs w:val="22"/>
        </w:rPr>
        <w:t>des organisations représentatives des parents d'élèves au niveau communautaire.</w:t>
      </w:r>
    </w:p>
    <w:p>
      <w:pPr>
        <w:jc w:val="both"/>
        <w:rPr>
          <w:rFonts w:cs="Arial"/>
          <w:szCs w:val="22"/>
        </w:rPr>
      </w:pPr>
    </w:p>
    <w:p>
      <w:pPr>
        <w:jc w:val="both"/>
        <w:rPr>
          <w:rFonts w:cs="Arial"/>
          <w:szCs w:val="22"/>
        </w:rPr>
      </w:pPr>
      <w:r>
        <w:rPr>
          <w:rFonts w:cs="Arial"/>
          <w:szCs w:val="22"/>
        </w:rPr>
        <w:t>La Chambre de recours enjoint l’inspecteur et le directeur de l’établissement scolaire de produire à son intention tout document qu’elle juge utile à sa prise de décision. Elle peut entendre toute personne qu’elle juge utile.</w:t>
      </w:r>
    </w:p>
    <w:p>
      <w:pPr>
        <w:rPr>
          <w:rFonts w:cs="Arial"/>
          <w:szCs w:val="22"/>
        </w:rPr>
      </w:pPr>
    </w:p>
    <w:p>
      <w:pPr>
        <w:jc w:val="both"/>
        <w:rPr>
          <w:rFonts w:cs="Arial"/>
          <w:szCs w:val="22"/>
        </w:rPr>
      </w:pPr>
      <w:r>
        <w:rPr>
          <w:rFonts w:cs="Arial"/>
          <w:szCs w:val="22"/>
        </w:rPr>
        <w:t xml:space="preserve">La Chambre de recours siège au plus tard entre le 15 et le 30 juin de l’année scolaire en cours. Sa décision est notifiée au requérant par l’Administration. </w:t>
      </w:r>
    </w:p>
    <w:p>
      <w:pPr>
        <w:jc w:val="both"/>
        <w:rPr>
          <w:rFonts w:cs="Arial"/>
          <w:szCs w:val="22"/>
        </w:rPr>
      </w:pPr>
    </w:p>
    <w:p>
      <w:pPr>
        <w:jc w:val="both"/>
        <w:rPr>
          <w:rFonts w:cs="Arial"/>
          <w:szCs w:val="22"/>
        </w:rPr>
      </w:pPr>
      <w:r>
        <w:rPr>
          <w:rFonts w:cs="Arial"/>
          <w:szCs w:val="22"/>
        </w:rPr>
        <w:t>Tout établissement scolaire qui accepte l’inscription d’un enfant dans une année complémentaire sans document mentionnant l’autorisation favorable délivrée par l’Inspection ou la Chambre de recours, ne sera pas autorisé à comptabiliser cet élève.</w:t>
      </w:r>
    </w:p>
    <w:p>
      <w:pPr>
        <w:rPr>
          <w:rFonts w:cs="Arial"/>
          <w:szCs w:val="22"/>
        </w:rPr>
      </w:pPr>
    </w:p>
    <w:p>
      <w:pPr>
        <w:jc w:val="both"/>
        <w:rPr>
          <w:rFonts w:cs="Arial"/>
          <w:szCs w:val="22"/>
        </w:rPr>
      </w:pPr>
      <w:r>
        <w:rPr>
          <w:rFonts w:cs="Arial"/>
          <w:szCs w:val="22"/>
        </w:rPr>
        <w:t xml:space="preserve">L’enfant fréquentant l’enseignement maternel au cours de la première année de la scolarité obligatoire, est tenu de fréquenter régulièrement l’école. </w:t>
      </w:r>
    </w:p>
    <w:p>
      <w:pPr>
        <w:rPr>
          <w:rFonts w:cs="Arial"/>
          <w:szCs w:val="22"/>
          <w:highlight w:val="cyan"/>
        </w:rPr>
      </w:pPr>
    </w:p>
    <w:p>
      <w:pPr>
        <w:jc w:val="both"/>
      </w:pPr>
      <w:r>
        <w:rPr>
          <w:rFonts w:cs="Arial"/>
          <w:szCs w:val="22"/>
        </w:rPr>
        <w:t>Au sein de l’école, une copie du dossier sera tenue à disposition du Service de la Vérification de la Population scolaire.</w:t>
      </w:r>
    </w:p>
    <w:p>
      <w:pPr>
        <w:jc w:val="both"/>
      </w:pPr>
    </w:p>
    <w:p>
      <w:pPr>
        <w:jc w:val="both"/>
      </w:pPr>
    </w:p>
    <w:p>
      <w:pPr>
        <w:pStyle w:val="Titre3"/>
      </w:pPr>
      <w:bookmarkStart w:id="363" w:name="_2.3.2._Dans_l’enseignement"/>
      <w:bookmarkStart w:id="364" w:name="Section2_3_2"/>
      <w:bookmarkStart w:id="365" w:name="_Toc423419975"/>
      <w:bookmarkStart w:id="366" w:name="_Toc450645182"/>
      <w:bookmarkStart w:id="367" w:name="_Toc453942418"/>
      <w:bookmarkStart w:id="368" w:name="_Toc454888035"/>
      <w:bookmarkStart w:id="369" w:name="_Toc486241699"/>
      <w:bookmarkEnd w:id="363"/>
      <w:r>
        <w:t>2.3.2</w:t>
      </w:r>
      <w:bookmarkEnd w:id="364"/>
      <w:r>
        <w:t>. Avancement en 1</w:t>
      </w:r>
      <w:r>
        <w:rPr>
          <w:vertAlign w:val="superscript"/>
        </w:rPr>
        <w:t>ère</w:t>
      </w:r>
      <w:r>
        <w:t xml:space="preserve"> primaire</w:t>
      </w:r>
      <w:bookmarkEnd w:id="365"/>
      <w:bookmarkEnd w:id="366"/>
      <w:bookmarkEnd w:id="367"/>
      <w:bookmarkEnd w:id="368"/>
      <w:bookmarkEnd w:id="369"/>
    </w:p>
    <w:p>
      <w:pPr>
        <w:autoSpaceDE w:val="0"/>
        <w:autoSpaceDN w:val="0"/>
        <w:adjustRightInd w:val="0"/>
        <w:spacing w:line="120" w:lineRule="auto"/>
        <w:jc w:val="both"/>
        <w:rPr>
          <w:sz w:val="26"/>
          <w:szCs w:val="26"/>
        </w:rPr>
      </w:pPr>
    </w:p>
    <w:p>
      <w:pPr>
        <w:jc w:val="both"/>
      </w:pPr>
      <w:bookmarkStart w:id="370" w:name="_2.3.2.1._Avancement_en"/>
      <w:bookmarkEnd w:id="370"/>
      <w:r>
        <w:t xml:space="preserve">A la demande des parents, un élève peut fréquenter la première année de l'enseignement primaire dès l'âge de 5 ans. </w:t>
      </w:r>
    </w:p>
    <w:p>
      <w:pPr>
        <w:jc w:val="both"/>
        <w:rPr>
          <w:rFonts w:cs="Arial"/>
          <w:szCs w:val="22"/>
        </w:rPr>
      </w:pPr>
    </w:p>
    <w:p>
      <w:pPr>
        <w:jc w:val="both"/>
        <w:rPr>
          <w:szCs w:val="22"/>
        </w:rPr>
      </w:pPr>
      <w:r>
        <w:rPr>
          <w:rFonts w:cs="Arial"/>
          <w:szCs w:val="22"/>
        </w:rPr>
        <w:t xml:space="preserve">Pour ce faire, les parents </w:t>
      </w:r>
      <w:r>
        <w:rPr>
          <w:szCs w:val="22"/>
        </w:rPr>
        <w:t>doivent constituer un dossier de demande de dérogation comportant les 3 documents suivants :</w:t>
      </w:r>
    </w:p>
    <w:p>
      <w:pPr>
        <w:ind w:left="993" w:hanging="285"/>
        <w:jc w:val="both"/>
        <w:rPr>
          <w:szCs w:val="22"/>
        </w:rPr>
      </w:pPr>
      <w:r>
        <w:rPr>
          <w:szCs w:val="22"/>
        </w:rPr>
        <w:t>1/ l'attestation d'avis (</w:t>
      </w:r>
      <w:hyperlink w:anchor="Annexe_23A" w:history="1">
        <w:r>
          <w:rPr>
            <w:rStyle w:val="Lienhypertexte"/>
            <w:rFonts w:cs="Arial"/>
            <w:color w:val="auto"/>
            <w:szCs w:val="22"/>
          </w:rPr>
          <w:t>annexe 2.3.A</w:t>
        </w:r>
      </w:hyperlink>
      <w:r>
        <w:rPr>
          <w:szCs w:val="22"/>
        </w:rPr>
        <w:t>) et l’avis « favorable » ou « défavorable » du directeur de l'école que fréquente l’enfant durant l’année scolaire qui précède celle pour laquelle l’avis est requis ;</w:t>
      </w:r>
    </w:p>
    <w:p>
      <w:pPr>
        <w:ind w:left="993" w:hanging="285"/>
        <w:jc w:val="both"/>
        <w:rPr>
          <w:szCs w:val="22"/>
        </w:rPr>
      </w:pPr>
      <w:r>
        <w:rPr>
          <w:szCs w:val="22"/>
        </w:rPr>
        <w:t>2/ l'attestation d'avis (</w:t>
      </w:r>
      <w:hyperlink w:anchor="Annexe_23B" w:history="1">
        <w:r>
          <w:rPr>
            <w:rStyle w:val="Lienhypertexte"/>
            <w:rFonts w:cs="Arial"/>
            <w:color w:val="auto"/>
            <w:szCs w:val="22"/>
          </w:rPr>
          <w:t>annexe 2.3.B</w:t>
        </w:r>
      </w:hyperlink>
      <w:r>
        <w:rPr>
          <w:szCs w:val="22"/>
        </w:rPr>
        <w:t>) et l’avis « favorable » ou « défavorable » du centre PMS de l’école susvisée ;</w:t>
      </w:r>
    </w:p>
    <w:p>
      <w:pPr>
        <w:ind w:left="993" w:hanging="285"/>
        <w:jc w:val="both"/>
        <w:rPr>
          <w:szCs w:val="22"/>
        </w:rPr>
      </w:pPr>
      <w:r>
        <w:rPr>
          <w:szCs w:val="22"/>
        </w:rPr>
        <w:t>3/ la déclaration écrite, datée et signée, par laquelle ils réclament le bénéfice de la disposition sur base des deux avis exprimés (</w:t>
      </w:r>
      <w:hyperlink w:anchor="Annexe_23C" w:history="1">
        <w:r>
          <w:rPr>
            <w:rStyle w:val="Lienhypertexte"/>
            <w:rFonts w:cs="Arial"/>
            <w:color w:val="auto"/>
            <w:szCs w:val="22"/>
          </w:rPr>
          <w:t>annexe 2.3.C</w:t>
        </w:r>
      </w:hyperlink>
      <w:r>
        <w:rPr>
          <w:szCs w:val="22"/>
        </w:rPr>
        <w:t>).</w:t>
      </w:r>
    </w:p>
    <w:p>
      <w:pPr>
        <w:jc w:val="both"/>
        <w:rPr>
          <w:rFonts w:cs="Arial"/>
          <w:szCs w:val="22"/>
        </w:rPr>
      </w:pPr>
    </w:p>
    <w:p>
      <w:pPr>
        <w:jc w:val="both"/>
        <w:rPr>
          <w:rFonts w:cs="Arial"/>
          <w:szCs w:val="22"/>
        </w:rPr>
      </w:pPr>
      <w:r>
        <w:rPr>
          <w:rFonts w:cs="Arial"/>
          <w:szCs w:val="22"/>
        </w:rPr>
        <w:t xml:space="preserve">Les attestations d’avis (annexes </w:t>
      </w:r>
      <w:hyperlink w:anchor="Annexe_23A" w:history="1">
        <w:r>
          <w:rPr>
            <w:rStyle w:val="Lienhypertexte"/>
            <w:rFonts w:cs="Arial"/>
            <w:color w:val="auto"/>
            <w:szCs w:val="22"/>
          </w:rPr>
          <w:t>2.3.A</w:t>
        </w:r>
      </w:hyperlink>
      <w:r>
        <w:rPr>
          <w:rFonts w:cs="Arial"/>
          <w:szCs w:val="22"/>
        </w:rPr>
        <w:t xml:space="preserve"> et </w:t>
      </w:r>
      <w:hyperlink w:anchor="Annexe_23B" w:history="1">
        <w:r>
          <w:rPr>
            <w:rStyle w:val="Lienhypertexte"/>
            <w:rFonts w:cs="Arial"/>
            <w:color w:val="auto"/>
            <w:szCs w:val="22"/>
          </w:rPr>
          <w:t>2.3.B</w:t>
        </w:r>
      </w:hyperlink>
      <w:r>
        <w:rPr>
          <w:rFonts w:cs="Arial"/>
          <w:szCs w:val="22"/>
        </w:rPr>
        <w:t xml:space="preserve">) doivent être signées respectivement par le chef d’établissement et par le directeur du centre PMS compétent. </w:t>
      </w:r>
    </w:p>
    <w:p>
      <w:pPr>
        <w:jc w:val="both"/>
        <w:rPr>
          <w:rFonts w:cs="Arial"/>
          <w:szCs w:val="22"/>
        </w:rPr>
      </w:pPr>
    </w:p>
    <w:p>
      <w:pPr>
        <w:jc w:val="both"/>
      </w:pPr>
      <w:r>
        <w:t xml:space="preserve">L’avis émis par la direction d’école ne peut en aucun cas être le simple reflet d’une opinion mais bien le résultat élaboré après avoir consulté tous les membres concernés de l’équipe éducative. </w:t>
      </w:r>
    </w:p>
    <w:p>
      <w:pPr>
        <w:jc w:val="both"/>
      </w:pPr>
    </w:p>
    <w:p>
      <w:pPr>
        <w:jc w:val="both"/>
        <w:rPr>
          <w:rFonts w:cs="Arial"/>
          <w:szCs w:val="22"/>
        </w:rPr>
      </w:pPr>
      <w:r>
        <w:t xml:space="preserve">L’avis émis par le CPMS ne peut en aucun cas être le simple reflet d’une opinion mais bien le résultat élaboré des moyens mis en œuvre par l’équipe psycho-médico-sociale en fonction des caractéristiques et des besoins propres à chaque cas. Une synthèse des constats de l’équipe doit explicitement figurer au dossier individuel de l’élève (article 6 de l’arrêté royal du 13 août 1962). </w:t>
      </w:r>
    </w:p>
    <w:p>
      <w:pPr>
        <w:jc w:val="both"/>
        <w:rPr>
          <w:rFonts w:cs="Arial"/>
          <w:szCs w:val="22"/>
        </w:rPr>
      </w:pPr>
    </w:p>
    <w:p>
      <w:pPr>
        <w:jc w:val="both"/>
        <w:rPr>
          <w:rFonts w:cs="Arial"/>
          <w:szCs w:val="22"/>
        </w:rPr>
      </w:pPr>
      <w:r>
        <w:rPr>
          <w:rFonts w:cs="Arial"/>
          <w:szCs w:val="22"/>
        </w:rPr>
        <w:t>L’</w:t>
      </w:r>
      <w:hyperlink w:anchor="Annexe_23C" w:history="1">
        <w:r>
          <w:rPr>
            <w:rStyle w:val="Lienhypertexte"/>
            <w:rFonts w:cs="Arial"/>
            <w:color w:val="auto"/>
            <w:szCs w:val="22"/>
          </w:rPr>
          <w:t>annexe 2.3.C</w:t>
        </w:r>
      </w:hyperlink>
      <w:r>
        <w:rPr>
          <w:rFonts w:cs="Arial"/>
          <w:szCs w:val="22"/>
        </w:rPr>
        <w:t xml:space="preserve"> doit être réclamée par les parents à la direction de l’école où ils souhaitent inscrire leur enfant. Elle sera remise, accompagnée des avis du chef d’établissement et du CPMS, en 3 exemplaires à ladite école. </w:t>
      </w:r>
    </w:p>
    <w:p>
      <w:pPr>
        <w:jc w:val="both"/>
        <w:rPr>
          <w:rFonts w:cs="Arial"/>
          <w:szCs w:val="22"/>
        </w:rPr>
      </w:pPr>
    </w:p>
    <w:p>
      <w:pPr>
        <w:jc w:val="both"/>
        <w:rPr>
          <w:rFonts w:cs="Arial"/>
          <w:szCs w:val="22"/>
        </w:rPr>
      </w:pPr>
      <w:r>
        <w:t>Pour autant que le dossier soit complet et comporte bien les avis « favorable » ou « défavorable » de la direction de l’école et du centre PMS, les parents prennent la décision finale d’avancement en 1</w:t>
      </w:r>
      <w:r>
        <w:rPr>
          <w:vertAlign w:val="superscript"/>
        </w:rPr>
        <w:t>ère</w:t>
      </w:r>
      <w:r>
        <w:t xml:space="preserve"> primaire</w:t>
      </w:r>
      <w:r>
        <w:rPr>
          <w:i/>
        </w:rPr>
        <w:t>.</w:t>
      </w:r>
      <w:r>
        <w:t xml:space="preserve"> </w:t>
      </w:r>
    </w:p>
    <w:p>
      <w:pPr>
        <w:jc w:val="both"/>
        <w:rPr>
          <w:rFonts w:cs="Arial"/>
          <w:szCs w:val="22"/>
        </w:rPr>
      </w:pPr>
    </w:p>
    <w:p>
      <w:pPr>
        <w:jc w:val="both"/>
        <w:rPr>
          <w:rFonts w:cs="Arial"/>
          <w:szCs w:val="22"/>
        </w:rPr>
      </w:pPr>
      <w:r>
        <w:rPr>
          <w:rFonts w:cs="Arial"/>
          <w:szCs w:val="22"/>
        </w:rPr>
        <w:t>Les documents doivent être conservés à l’école dans le dossier de l’élève à disposition des services d’Inspection et de Vérification. Ils ne doivent pas être envoyés à l’Administration.</w:t>
      </w:r>
    </w:p>
    <w:p>
      <w:pPr>
        <w:jc w:val="both"/>
        <w:rPr>
          <w:rFonts w:cs="Arial"/>
          <w:szCs w:val="22"/>
        </w:rPr>
      </w:pPr>
    </w:p>
    <w:p>
      <w:pPr>
        <w:jc w:val="both"/>
      </w:pPr>
      <w:r>
        <w:t>Un élève avancé en 1</w:t>
      </w:r>
      <w:r>
        <w:rPr>
          <w:vertAlign w:val="superscript"/>
        </w:rPr>
        <w:t>ère</w:t>
      </w:r>
      <w:r>
        <w:t xml:space="preserve"> primaire dont le dossier d’avancement n’est pas complet à la date du 30 septembre ou du 15 janvier, ne peut être comptabilisé à ces 2 dates. </w:t>
      </w:r>
    </w:p>
    <w:p>
      <w:pPr>
        <w:jc w:val="both"/>
      </w:pPr>
    </w:p>
    <w:p>
      <w:pPr>
        <w:jc w:val="both"/>
      </w:pPr>
      <w:r>
        <w:t>L’élève avancé en 1</w:t>
      </w:r>
      <w:r>
        <w:rPr>
          <w:vertAlign w:val="superscript"/>
        </w:rPr>
        <w:t>ère</w:t>
      </w:r>
      <w:r>
        <w:t xml:space="preserve"> primaire est considéré comme étant en âge d’obligation scolaire et est dès lors soumis aux règles d’inscription et de comptabilisation de l’enseignement primaire. </w:t>
      </w:r>
    </w:p>
    <w:p>
      <w:pPr>
        <w:jc w:val="both"/>
      </w:pPr>
      <w:bookmarkStart w:id="371" w:name="_2.2.2.2._Maintien_en"/>
      <w:bookmarkStart w:id="372" w:name="_2.3.2.2._Maintien_en"/>
      <w:bookmarkEnd w:id="371"/>
      <w:bookmarkEnd w:id="372"/>
    </w:p>
    <w:p>
      <w:pPr>
        <w:jc w:val="both"/>
      </w:pPr>
    </w:p>
    <w:p>
      <w:pPr>
        <w:pStyle w:val="Titre3"/>
      </w:pPr>
      <w:bookmarkStart w:id="373" w:name="section2_3_3"/>
      <w:bookmarkStart w:id="374" w:name="_Toc486241700"/>
      <w:r>
        <w:t xml:space="preserve">2.3.3. </w:t>
      </w:r>
      <w:bookmarkEnd w:id="373"/>
      <w:r>
        <w:t>Maintien en primaire (P8 – P9)</w:t>
      </w:r>
      <w:bookmarkEnd w:id="374"/>
      <w:r>
        <w:t xml:space="preserve"> </w:t>
      </w:r>
    </w:p>
    <w:p>
      <w:pPr>
        <w:autoSpaceDE w:val="0"/>
        <w:autoSpaceDN w:val="0"/>
        <w:adjustRightInd w:val="0"/>
        <w:spacing w:line="120" w:lineRule="auto"/>
        <w:jc w:val="both"/>
        <w:rPr>
          <w:sz w:val="26"/>
          <w:szCs w:val="26"/>
        </w:rPr>
      </w:pPr>
    </w:p>
    <w:p>
      <w:pPr>
        <w:jc w:val="both"/>
      </w:pPr>
      <w:r>
        <w:t>A la demande des parents, un élève peut :</w:t>
      </w:r>
    </w:p>
    <w:p>
      <w:pPr>
        <w:pStyle w:val="Paragraphedeliste"/>
        <w:numPr>
          <w:ilvl w:val="0"/>
          <w:numId w:val="186"/>
        </w:numPr>
        <w:contextualSpacing/>
        <w:jc w:val="both"/>
        <w:rPr>
          <w:rFonts w:cs="Arial"/>
          <w:szCs w:val="22"/>
          <w:u w:val="single"/>
        </w:rPr>
      </w:pPr>
      <w:r>
        <w:t>fréquenter l’enseignement primaire durant 8 années, auquel cas il peut, au cours de la 8</w:t>
      </w:r>
      <w:r>
        <w:rPr>
          <w:vertAlign w:val="superscript"/>
        </w:rPr>
        <w:t>e</w:t>
      </w:r>
      <w:r>
        <w:t xml:space="preserve"> année, être admis en 6</w:t>
      </w:r>
      <w:r>
        <w:rPr>
          <w:vertAlign w:val="superscript"/>
        </w:rPr>
        <w:t>e</w:t>
      </w:r>
      <w:r>
        <w:t xml:space="preserve"> année ;</w:t>
      </w:r>
    </w:p>
    <w:p>
      <w:pPr>
        <w:pStyle w:val="Paragraphedeliste"/>
        <w:numPr>
          <w:ilvl w:val="0"/>
          <w:numId w:val="186"/>
        </w:numPr>
        <w:contextualSpacing/>
        <w:jc w:val="both"/>
        <w:rPr>
          <w:rFonts w:cs="Arial"/>
          <w:szCs w:val="22"/>
          <w:u w:val="single"/>
        </w:rPr>
      </w:pPr>
      <w:r>
        <w:t xml:space="preserve">fréquenter l’enseignement primaire durant 9 années dans des cas spécifiques liés à une maladie de longue durée. </w:t>
      </w:r>
    </w:p>
    <w:p>
      <w:pPr>
        <w:jc w:val="both"/>
        <w:rPr>
          <w:rFonts w:cs="Arial"/>
          <w:szCs w:val="22"/>
        </w:rPr>
      </w:pPr>
    </w:p>
    <w:p>
      <w:pPr>
        <w:jc w:val="both"/>
        <w:rPr>
          <w:szCs w:val="22"/>
        </w:rPr>
      </w:pPr>
      <w:r>
        <w:rPr>
          <w:rFonts w:cs="Arial"/>
          <w:szCs w:val="22"/>
        </w:rPr>
        <w:t xml:space="preserve">Pour ce faire, les parents </w:t>
      </w:r>
      <w:r>
        <w:rPr>
          <w:szCs w:val="22"/>
        </w:rPr>
        <w:t>doivent constituer un dossier de demande de dérogation comportant les 3 documents suivants :</w:t>
      </w:r>
    </w:p>
    <w:p>
      <w:pPr>
        <w:ind w:left="993" w:hanging="285"/>
        <w:jc w:val="both"/>
        <w:rPr>
          <w:szCs w:val="22"/>
        </w:rPr>
      </w:pPr>
      <w:r>
        <w:rPr>
          <w:szCs w:val="22"/>
        </w:rPr>
        <w:t>1/ l'attestation d'avis (</w:t>
      </w:r>
      <w:hyperlink w:anchor="Annexe_23A" w:history="1">
        <w:r>
          <w:rPr>
            <w:rStyle w:val="Lienhypertexte"/>
            <w:rFonts w:cs="Arial"/>
            <w:color w:val="auto"/>
            <w:szCs w:val="22"/>
          </w:rPr>
          <w:t>annexe 2.3.A</w:t>
        </w:r>
      </w:hyperlink>
      <w:r>
        <w:rPr>
          <w:szCs w:val="22"/>
        </w:rPr>
        <w:t>) et l’avis « favorable » ou « défavorable » du directeur de l'école que fréquente l’enfant durant l’année scolaire qui précède celle pour laquelle l’avis est requis ;</w:t>
      </w:r>
    </w:p>
    <w:p>
      <w:pPr>
        <w:ind w:left="993" w:hanging="285"/>
        <w:jc w:val="both"/>
        <w:rPr>
          <w:szCs w:val="22"/>
        </w:rPr>
      </w:pPr>
      <w:r>
        <w:rPr>
          <w:szCs w:val="22"/>
        </w:rPr>
        <w:t>2/ l'attestation d'avis (</w:t>
      </w:r>
      <w:hyperlink w:anchor="Annexe_23B" w:history="1">
        <w:r>
          <w:rPr>
            <w:rStyle w:val="Lienhypertexte"/>
            <w:rFonts w:cs="Arial"/>
            <w:color w:val="auto"/>
            <w:szCs w:val="22"/>
          </w:rPr>
          <w:t>annexe 2.3.B</w:t>
        </w:r>
      </w:hyperlink>
      <w:r>
        <w:rPr>
          <w:szCs w:val="22"/>
        </w:rPr>
        <w:t>) et l’avis « favorable » ou « défavorable » du centre PMS de l’école susvisée ;</w:t>
      </w:r>
    </w:p>
    <w:p>
      <w:pPr>
        <w:ind w:left="993" w:hanging="285"/>
        <w:jc w:val="both"/>
        <w:rPr>
          <w:szCs w:val="22"/>
        </w:rPr>
      </w:pPr>
      <w:r>
        <w:rPr>
          <w:szCs w:val="22"/>
        </w:rPr>
        <w:t>3/ la déclaration écrite, datée et signée, par laquelle ils réclament le bénéfice de la disposition sur base des deux avis exprimés (</w:t>
      </w:r>
      <w:hyperlink w:anchor="Annexe_23C" w:history="1">
        <w:r>
          <w:rPr>
            <w:rStyle w:val="Lienhypertexte"/>
            <w:rFonts w:cs="Arial"/>
            <w:color w:val="auto"/>
            <w:szCs w:val="22"/>
          </w:rPr>
          <w:t>annexe 2.3.C</w:t>
        </w:r>
      </w:hyperlink>
      <w:r>
        <w:rPr>
          <w:szCs w:val="22"/>
        </w:rPr>
        <w:t>).</w:t>
      </w:r>
    </w:p>
    <w:p>
      <w:pPr>
        <w:jc w:val="both"/>
        <w:rPr>
          <w:rFonts w:cs="Arial"/>
          <w:szCs w:val="22"/>
        </w:rPr>
      </w:pPr>
    </w:p>
    <w:p>
      <w:pPr>
        <w:jc w:val="both"/>
        <w:rPr>
          <w:rFonts w:cs="Arial"/>
          <w:szCs w:val="22"/>
        </w:rPr>
      </w:pPr>
      <w:r>
        <w:rPr>
          <w:rFonts w:cs="Arial"/>
          <w:szCs w:val="22"/>
        </w:rPr>
        <w:t xml:space="preserve">Les attestations d’avis (annexes </w:t>
      </w:r>
      <w:hyperlink w:anchor="Annexe_23A" w:history="1">
        <w:r>
          <w:rPr>
            <w:rStyle w:val="Lienhypertexte"/>
            <w:rFonts w:cs="Arial"/>
            <w:color w:val="auto"/>
            <w:szCs w:val="22"/>
          </w:rPr>
          <w:t>2.3.A</w:t>
        </w:r>
      </w:hyperlink>
      <w:r>
        <w:rPr>
          <w:rFonts w:cs="Arial"/>
          <w:szCs w:val="22"/>
        </w:rPr>
        <w:t xml:space="preserve"> et </w:t>
      </w:r>
      <w:hyperlink w:anchor="Annexe_23B" w:history="1">
        <w:r>
          <w:rPr>
            <w:rStyle w:val="Lienhypertexte"/>
            <w:rFonts w:cs="Arial"/>
            <w:color w:val="auto"/>
            <w:szCs w:val="22"/>
          </w:rPr>
          <w:t>2.3.B</w:t>
        </w:r>
      </w:hyperlink>
      <w:r>
        <w:rPr>
          <w:rFonts w:cs="Arial"/>
          <w:szCs w:val="22"/>
        </w:rPr>
        <w:t xml:space="preserve">) doivent être signées respectivement par le chef d’établissement et par le directeur du centre PMS compétent. </w:t>
      </w:r>
    </w:p>
    <w:p>
      <w:pPr>
        <w:jc w:val="both"/>
        <w:rPr>
          <w:rFonts w:cs="Arial"/>
          <w:szCs w:val="22"/>
        </w:rPr>
      </w:pPr>
    </w:p>
    <w:p>
      <w:pPr>
        <w:jc w:val="both"/>
      </w:pPr>
      <w:r>
        <w:t xml:space="preserve">L’avis émis par la direction d’école ne peut en aucun cas être le simple reflet d’une opinion mais bien le résultat élaboré après avoir consulté tous les membres concernés de l’équipe éducative. </w:t>
      </w:r>
    </w:p>
    <w:p>
      <w:pPr>
        <w:jc w:val="both"/>
      </w:pPr>
    </w:p>
    <w:p>
      <w:pPr>
        <w:jc w:val="both"/>
        <w:rPr>
          <w:rFonts w:cs="Arial"/>
          <w:szCs w:val="22"/>
        </w:rPr>
      </w:pPr>
      <w:r>
        <w:t xml:space="preserve">L’avis émis par le CPMS ne peut en aucun cas être le simple reflet d’une opinion mais bien le résultat élaboré des moyens mis en œuvre par l’équipe psycho-médico-sociale en fonction des caractéristiques et des besoins propres à chaque cas. Une synthèse des constats de l’équipe doit explicitement figurer au dossier individuel de l’élève (article 6 de l’arrêté royal du 13 août 1962). </w:t>
      </w:r>
    </w:p>
    <w:p>
      <w:pPr>
        <w:jc w:val="both"/>
        <w:rPr>
          <w:rFonts w:cs="Arial"/>
          <w:szCs w:val="22"/>
        </w:rPr>
      </w:pPr>
    </w:p>
    <w:p>
      <w:pPr>
        <w:jc w:val="both"/>
        <w:rPr>
          <w:rFonts w:cs="Arial"/>
          <w:szCs w:val="22"/>
        </w:rPr>
      </w:pPr>
      <w:r>
        <w:rPr>
          <w:rFonts w:cs="Arial"/>
          <w:szCs w:val="22"/>
        </w:rPr>
        <w:t>L’</w:t>
      </w:r>
      <w:hyperlink w:anchor="Annexe_23C" w:history="1">
        <w:r>
          <w:rPr>
            <w:rStyle w:val="Lienhypertexte"/>
            <w:rFonts w:cs="Arial"/>
            <w:color w:val="auto"/>
            <w:szCs w:val="22"/>
          </w:rPr>
          <w:t>annexe 2.3.C</w:t>
        </w:r>
      </w:hyperlink>
      <w:r>
        <w:rPr>
          <w:rFonts w:cs="Arial"/>
          <w:szCs w:val="22"/>
        </w:rPr>
        <w:t xml:space="preserve"> doit être réclamée par les parents à la direction de l’école où ils souhaitent inscrire leur enfant. Elle sera remise, accompagnée des avis du chef d’établissement et du CPMS, en 3 exemplaires à ladite école. </w:t>
      </w:r>
    </w:p>
    <w:p>
      <w:pPr>
        <w:jc w:val="both"/>
        <w:rPr>
          <w:rFonts w:cs="Arial"/>
          <w:szCs w:val="22"/>
        </w:rPr>
      </w:pPr>
    </w:p>
    <w:p>
      <w:pPr>
        <w:jc w:val="both"/>
        <w:rPr>
          <w:rFonts w:cs="Arial"/>
          <w:szCs w:val="22"/>
        </w:rPr>
      </w:pPr>
    </w:p>
    <w:p>
      <w:pPr>
        <w:jc w:val="both"/>
        <w:rPr>
          <w:rFonts w:cs="Arial"/>
          <w:szCs w:val="22"/>
        </w:rPr>
      </w:pPr>
    </w:p>
    <w:p>
      <w:pPr>
        <w:jc w:val="both"/>
        <w:rPr>
          <w:rFonts w:cs="Arial"/>
          <w:szCs w:val="22"/>
        </w:rPr>
      </w:pPr>
    </w:p>
    <w:p>
      <w:pPr>
        <w:jc w:val="both"/>
        <w:rPr>
          <w:rFonts w:cs="Arial"/>
          <w:szCs w:val="22"/>
        </w:rPr>
      </w:pPr>
    </w:p>
    <w:p>
      <w:pPr>
        <w:jc w:val="both"/>
        <w:rPr>
          <w:rFonts w:cs="Arial"/>
          <w:szCs w:val="22"/>
        </w:rPr>
      </w:pPr>
    </w:p>
    <w:p>
      <w:pPr>
        <w:spacing w:after="120"/>
        <w:jc w:val="both"/>
        <w:rPr>
          <w:rFonts w:cs="Arial"/>
          <w:szCs w:val="22"/>
          <w:lang w:val="fr-BE"/>
        </w:rPr>
      </w:pPr>
      <w:r>
        <w:rPr>
          <w:rFonts w:cs="Arial"/>
          <w:szCs w:val="22"/>
        </w:rPr>
        <w:t xml:space="preserve">Les parents </w:t>
      </w:r>
      <w:r>
        <w:rPr>
          <w:rFonts w:cs="Arial"/>
          <w:szCs w:val="22"/>
          <w:lang w:val="fr-BE"/>
        </w:rPr>
        <w:t>envoient la demande accompagnée des avis du chef d’établissement et du centre psycho-médico-social à la Direction générale de l’enseignement obligatoire du Ministère de la Communauté française, à l’adresse suivante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2"/>
      </w:tblGrid>
      <w:tr>
        <w:trPr>
          <w:trHeight w:val="1308"/>
          <w:jc w:val="center"/>
        </w:trPr>
        <w:tc>
          <w:tcPr>
            <w:tcW w:w="7082" w:type="dxa"/>
          </w:tcPr>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u w:val="single"/>
              </w:rPr>
            </w:pPr>
            <w:r>
              <w:rPr>
                <w:rFonts w:cs="Arial"/>
                <w:color w:val="auto"/>
                <w:szCs w:val="22"/>
                <w:u w:val="single"/>
              </w:rPr>
              <w:t>Ministère de la Fédération Wallonie-Bruxelles</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Direction générale de l’Enseignement obligatoire</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Rue Adolphe Lavallée, 1 - Bureau 2 F 211</w:t>
            </w:r>
          </w:p>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color w:val="auto"/>
                <w:szCs w:val="22"/>
              </w:rPr>
            </w:pPr>
            <w:r>
              <w:rPr>
                <w:rFonts w:cs="Arial"/>
                <w:color w:val="auto"/>
                <w:szCs w:val="22"/>
              </w:rPr>
              <w:t>1080 BRUXELLES</w:t>
            </w:r>
          </w:p>
        </w:tc>
      </w:tr>
    </w:tbl>
    <w:p>
      <w:pPr>
        <w:pStyle w:val="Corpsdetexte2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rPr>
          <w:rFonts w:cs="Arial"/>
          <w:color w:val="auto"/>
          <w:szCs w:val="22"/>
        </w:rPr>
      </w:pPr>
    </w:p>
    <w:p>
      <w:pPr>
        <w:jc w:val="both"/>
      </w:pPr>
      <w:r>
        <w:t>Un élève maintenu en primaire pendant une 8</w:t>
      </w:r>
      <w:r>
        <w:rPr>
          <w:vertAlign w:val="superscript"/>
        </w:rPr>
        <w:t>e</w:t>
      </w:r>
      <w:r>
        <w:t xml:space="preserve"> ou une 9</w:t>
      </w:r>
      <w:r>
        <w:rPr>
          <w:vertAlign w:val="superscript"/>
        </w:rPr>
        <w:t>e</w:t>
      </w:r>
      <w:r>
        <w:t xml:space="preserve"> année qui n’a pas obtenu la dérogation ministérielle à la date du 30 septembre ou du 15 janvier (la date figurant sur la dérogation faisant foi), ne peut être comptabilisé à ces 2 dates. </w:t>
      </w:r>
    </w:p>
    <w:p>
      <w:pPr>
        <w:jc w:val="both"/>
      </w:pPr>
    </w:p>
    <w:p>
      <w:pPr>
        <w:jc w:val="both"/>
      </w:pPr>
      <w:r>
        <w:rPr>
          <w:rFonts w:cs="Arial"/>
          <w:szCs w:val="22"/>
        </w:rPr>
        <w:t>La dérogation octroyée doit être conservée dans le dossier de l’élève et mise à disposition des services d’Inspection et de Vérification.</w:t>
      </w:r>
    </w:p>
    <w:p>
      <w:pPr>
        <w:jc w:val="both"/>
      </w:pPr>
    </w:p>
    <w:p>
      <w:pPr>
        <w:pStyle w:val="Titre2"/>
      </w:pPr>
      <w:bookmarkStart w:id="375" w:name="_Chapitre_2.4._Changements"/>
      <w:bookmarkEnd w:id="375"/>
      <w:r>
        <w:br w:type="page"/>
      </w:r>
      <w:bookmarkStart w:id="376" w:name="Chapitre2_4"/>
      <w:bookmarkStart w:id="377" w:name="_Toc295931971"/>
      <w:bookmarkStart w:id="378" w:name="_Toc295913723"/>
      <w:bookmarkStart w:id="379" w:name="_Toc423419979"/>
      <w:bookmarkStart w:id="380" w:name="_Toc450645186"/>
      <w:bookmarkStart w:id="381" w:name="_Toc453942422"/>
      <w:bookmarkStart w:id="382" w:name="_Toc454888039"/>
      <w:bookmarkStart w:id="383" w:name="_Toc486241701"/>
      <w:bookmarkStart w:id="384" w:name="_Toc207192148"/>
      <w:r>
        <w:t>Chapitre 2.4.</w:t>
      </w:r>
      <w:bookmarkEnd w:id="376"/>
      <w:r>
        <w:t xml:space="preserve"> Changements d'école et d'implantation en cours d'année scolaire ou en cours de cycle</w:t>
      </w:r>
      <w:bookmarkEnd w:id="377"/>
      <w:bookmarkEnd w:id="378"/>
      <w:bookmarkEnd w:id="379"/>
      <w:bookmarkEnd w:id="380"/>
      <w:bookmarkEnd w:id="381"/>
      <w:bookmarkEnd w:id="382"/>
      <w:bookmarkEnd w:id="383"/>
    </w:p>
    <w:p>
      <w:pPr>
        <w:jc w:val="both"/>
        <w:rPr>
          <w:spacing w:val="2"/>
          <w:sz w:val="28"/>
          <w:lang w:val="fr-BE"/>
        </w:rPr>
      </w:pPr>
    </w:p>
    <w:p>
      <w:pPr>
        <w:tabs>
          <w:tab w:val="left" w:pos="1800"/>
        </w:tabs>
        <w:ind w:left="1799" w:hanging="1800"/>
        <w:jc w:val="both"/>
        <w:rPr>
          <w:i/>
        </w:rPr>
      </w:pPr>
      <w:r>
        <w:rPr>
          <w:b/>
          <w:i/>
          <w:u w:val="single"/>
        </w:rPr>
        <w:t>Base légale</w:t>
      </w:r>
      <w:r>
        <w:rPr>
          <w:b/>
          <w:i/>
        </w:rPr>
        <w:t>:</w:t>
      </w:r>
      <w:r>
        <w:rPr>
          <w:i/>
        </w:rPr>
        <w:tab/>
      </w:r>
      <w:hyperlink r:id="rId49" w:history="1">
        <w:r>
          <w:rPr>
            <w:rStyle w:val="Lienhypertexte"/>
            <w:i/>
            <w:color w:val="auto"/>
          </w:rPr>
          <w:t>Décret-Missions du 24/07/1997, article 79 §2</w:t>
        </w:r>
      </w:hyperlink>
      <w:r>
        <w:rPr>
          <w:i/>
        </w:rPr>
        <w:t>.</w:t>
      </w:r>
    </w:p>
    <w:p>
      <w:pPr>
        <w:tabs>
          <w:tab w:val="left" w:pos="1800"/>
        </w:tabs>
        <w:ind w:left="1799" w:hanging="1800"/>
        <w:jc w:val="both"/>
        <w:rPr>
          <w:szCs w:val="22"/>
          <w:lang w:val="fr-BE"/>
        </w:rPr>
      </w:pPr>
      <w:r>
        <w:rPr>
          <w:i/>
        </w:rPr>
        <w:tab/>
      </w:r>
    </w:p>
    <w:p>
      <w:pPr>
        <w:pStyle w:val="Titre3"/>
      </w:pPr>
      <w:bookmarkStart w:id="385" w:name="_2.3.1._Principes_et"/>
      <w:bookmarkStart w:id="386" w:name="_Toc207192142"/>
      <w:bookmarkStart w:id="387" w:name="_Toc295931972"/>
      <w:bookmarkStart w:id="388" w:name="_Toc295913724"/>
      <w:bookmarkStart w:id="389" w:name="_Toc423419980"/>
      <w:bookmarkStart w:id="390" w:name="_Toc450645187"/>
      <w:bookmarkStart w:id="391" w:name="_Toc453942423"/>
      <w:bookmarkStart w:id="392" w:name="_Toc454888040"/>
      <w:bookmarkStart w:id="393" w:name="_Toc486241702"/>
      <w:bookmarkEnd w:id="385"/>
      <w:r>
        <w:t>2.4.1. Principes et définitions</w:t>
      </w:r>
      <w:bookmarkEnd w:id="386"/>
      <w:bookmarkEnd w:id="387"/>
      <w:bookmarkEnd w:id="388"/>
      <w:bookmarkEnd w:id="389"/>
      <w:bookmarkEnd w:id="390"/>
      <w:bookmarkEnd w:id="391"/>
      <w:bookmarkEnd w:id="392"/>
      <w:bookmarkEnd w:id="393"/>
    </w:p>
    <w:p>
      <w:pPr>
        <w:jc w:val="both"/>
        <w:rPr>
          <w:spacing w:val="2"/>
          <w:sz w:val="16"/>
          <w:szCs w:val="16"/>
        </w:rPr>
      </w:pPr>
    </w:p>
    <w:p>
      <w:pPr>
        <w:jc w:val="both"/>
        <w:rPr>
          <w:spacing w:val="2"/>
        </w:rPr>
      </w:pPr>
      <w:r>
        <w:rPr>
          <w:spacing w:val="2"/>
        </w:rPr>
        <w:t xml:space="preserve">Les dispositions qui suivent s'appliquent à tout enfant fréquentant une école de niveau maternel ou primaire organisée ou subventionnée par </w:t>
      </w:r>
      <w:smartTag w:uri="urn:schemas-microsoft-com:office:smarttags" w:element="PersonName">
        <w:smartTagPr>
          <w:attr w:name="ProductID" w:val="la F￩d￩ration Wallonie-Bruxelles"/>
        </w:smartTagPr>
        <w:r>
          <w:rPr>
            <w:spacing w:val="2"/>
          </w:rPr>
          <w:t>la Fédération Wallonie-Bruxelles</w:t>
        </w:r>
      </w:smartTag>
      <w:r>
        <w:rPr>
          <w:spacing w:val="2"/>
        </w:rPr>
        <w:t>.</w:t>
      </w:r>
    </w:p>
    <w:p>
      <w:pPr>
        <w:jc w:val="both"/>
        <w:rPr>
          <w:spacing w:val="2"/>
          <w:sz w:val="12"/>
          <w:szCs w:val="12"/>
        </w:rPr>
      </w:pPr>
    </w:p>
    <w:p>
      <w:pPr>
        <w:pStyle w:val="Corpsdetexte2"/>
        <w:rPr>
          <w:b/>
          <w:i/>
          <w:szCs w:val="22"/>
        </w:rPr>
      </w:pPr>
      <w:r>
        <w:rPr>
          <w:b/>
          <w:i/>
          <w:szCs w:val="22"/>
        </w:rPr>
        <w:t xml:space="preserve">Le directeur de l’école de départ </w:t>
      </w:r>
      <w:r>
        <w:rPr>
          <w:b/>
          <w:i/>
          <w:szCs w:val="22"/>
          <w:u w:val="single"/>
        </w:rPr>
        <w:t>doit, le jour de la demande, mettre à la disposition</w:t>
      </w:r>
      <w:r>
        <w:rPr>
          <w:b/>
          <w:i/>
          <w:szCs w:val="22"/>
        </w:rPr>
        <w:t xml:space="preserve"> des parents sollicitant un changement d’école ou d’implantation, les formulaires servant à introduire la demande, même s’il ne juge pas ce changement opportun.</w:t>
      </w:r>
    </w:p>
    <w:p>
      <w:pPr>
        <w:pStyle w:val="Corpsdetexte2"/>
        <w:rPr>
          <w:b/>
          <w:i/>
          <w:szCs w:val="22"/>
        </w:rPr>
      </w:pPr>
    </w:p>
    <w:p>
      <w:pPr>
        <w:pStyle w:val="Corpsdetexte2"/>
        <w:rPr>
          <w:b/>
          <w:i/>
          <w:szCs w:val="22"/>
        </w:rPr>
      </w:pPr>
      <w:r>
        <w:rPr>
          <w:b/>
          <w:i/>
          <w:szCs w:val="22"/>
        </w:rPr>
        <w:t>La formule I (</w:t>
      </w:r>
      <w:hyperlink w:anchor="Annexe_24A" w:history="1">
        <w:r>
          <w:rPr>
            <w:rStyle w:val="Lienhypertexte"/>
            <w:b/>
            <w:i/>
            <w:szCs w:val="22"/>
          </w:rPr>
          <w:t>annexe 2.4.A</w:t>
        </w:r>
      </w:hyperlink>
      <w:r>
        <w:rPr>
          <w:b/>
          <w:i/>
          <w:szCs w:val="22"/>
        </w:rPr>
        <w:t xml:space="preserve"> recto) peut également être téléchargée sur le site </w:t>
      </w:r>
      <w:hyperlink r:id="rId50" w:history="1">
        <w:r>
          <w:rPr>
            <w:rStyle w:val="Lienhypertexte"/>
            <w:b/>
            <w:i/>
            <w:color w:val="auto"/>
            <w:szCs w:val="22"/>
          </w:rPr>
          <w:t>www.enseignement.be</w:t>
        </w:r>
      </w:hyperlink>
      <w:r>
        <w:rPr>
          <w:b/>
          <w:i/>
          <w:szCs w:val="22"/>
        </w:rPr>
        <w:t xml:space="preserve"> (onglet « école de A à Z » - « plus »).</w:t>
      </w:r>
    </w:p>
    <w:p>
      <w:pPr>
        <w:jc w:val="both"/>
        <w:rPr>
          <w:spacing w:val="2"/>
          <w:sz w:val="12"/>
          <w:szCs w:val="12"/>
        </w:rPr>
      </w:pPr>
    </w:p>
    <w:p>
      <w:pPr>
        <w:jc w:val="both"/>
        <w:rPr>
          <w:spacing w:val="2"/>
        </w:rPr>
      </w:pPr>
      <w:r>
        <w:rPr>
          <w:spacing w:val="2"/>
        </w:rPr>
        <w:t xml:space="preserve">En début d’année scolaire, </w:t>
      </w:r>
      <w:r>
        <w:rPr>
          <w:spacing w:val="2"/>
          <w:u w:val="single"/>
        </w:rPr>
        <w:t>les directions d’école</w:t>
      </w:r>
      <w:r>
        <w:rPr>
          <w:spacing w:val="2"/>
        </w:rPr>
        <w:t xml:space="preserve"> donnent aux parents toutes les informations utiles en matière de changement d’école et d’implantation en cours d’année scolaire (niveau maternel) ou en cours de cycle (niveau primaire).</w:t>
      </w:r>
    </w:p>
    <w:p>
      <w:pPr>
        <w:jc w:val="both"/>
        <w:rPr>
          <w:spacing w:val="2"/>
          <w:sz w:val="12"/>
          <w:szCs w:val="12"/>
        </w:rPr>
      </w:pPr>
    </w:p>
    <w:p>
      <w:pPr>
        <w:jc w:val="both"/>
        <w:rPr>
          <w:rStyle w:val="Lienhypertexte"/>
          <w:color w:val="auto"/>
          <w:spacing w:val="2"/>
          <w:szCs w:val="22"/>
        </w:rPr>
      </w:pPr>
      <w:r>
        <w:rPr>
          <w:spacing w:val="2"/>
        </w:rPr>
        <w:t xml:space="preserve">Les demandes doivent obligatoirement être établies à l’aide des </w:t>
      </w:r>
      <w:r>
        <w:rPr>
          <w:spacing w:val="2"/>
          <w:szCs w:val="22"/>
        </w:rPr>
        <w:fldChar w:fldCharType="begin"/>
      </w:r>
      <w:r>
        <w:rPr>
          <w:spacing w:val="2"/>
          <w:szCs w:val="22"/>
        </w:rPr>
        <w:instrText>HYPERLINK  \l "Annexe_24A"</w:instrText>
      </w:r>
      <w:r>
        <w:rPr>
          <w:spacing w:val="2"/>
          <w:szCs w:val="22"/>
        </w:rPr>
        <w:fldChar w:fldCharType="separate"/>
      </w:r>
      <w:r>
        <w:rPr>
          <w:rStyle w:val="Lienhypertexte"/>
          <w:color w:val="auto"/>
          <w:spacing w:val="2"/>
          <w:szCs w:val="22"/>
        </w:rPr>
        <w:t xml:space="preserve">annexes 2.4.A. à 2.4.D. </w:t>
      </w:r>
    </w:p>
    <w:p>
      <w:pPr>
        <w:jc w:val="both"/>
        <w:rPr>
          <w:spacing w:val="2"/>
          <w:sz w:val="12"/>
          <w:szCs w:val="12"/>
        </w:rPr>
      </w:pPr>
      <w:r>
        <w:rPr>
          <w:spacing w:val="2"/>
          <w:szCs w:val="22"/>
        </w:rPr>
        <w:fldChar w:fldCharType="end"/>
      </w:r>
    </w:p>
    <w:p>
      <w:pPr>
        <w:jc w:val="both"/>
        <w:rPr>
          <w:spacing w:val="2"/>
        </w:rPr>
      </w:pPr>
      <w:r>
        <w:rPr>
          <w:spacing w:val="2"/>
        </w:rPr>
        <w:t xml:space="preserve">Dans tous les cas, les parents qui introduisent une demande de changement d’école ou d’implantation </w:t>
      </w:r>
      <w:r>
        <w:rPr>
          <w:b/>
          <w:spacing w:val="2"/>
          <w:u w:val="single"/>
        </w:rPr>
        <w:t>motivent personnellement</w:t>
      </w:r>
      <w:r>
        <w:rPr>
          <w:spacing w:val="2"/>
        </w:rPr>
        <w:t xml:space="preserve"> celle-ci dans le cadre réservé à cet effet au sein de </w:t>
      </w:r>
      <w:hyperlink w:anchor="Annexe_24A" w:history="1">
        <w:r>
          <w:rPr>
            <w:rStyle w:val="Lienhypertexte"/>
            <w:spacing w:val="2"/>
          </w:rPr>
          <w:t>l’annexe 2.4.A</w:t>
        </w:r>
      </w:hyperlink>
      <w:r>
        <w:rPr>
          <w:spacing w:val="2"/>
        </w:rPr>
        <w:t>. (formule I recto).</w:t>
      </w:r>
    </w:p>
    <w:p>
      <w:pPr>
        <w:jc w:val="both"/>
        <w:rPr>
          <w:spacing w:val="2"/>
          <w:sz w:val="12"/>
          <w:szCs w:val="12"/>
        </w:rPr>
      </w:pPr>
    </w:p>
    <w:p>
      <w:pPr>
        <w:pStyle w:val="Corpsdetexte"/>
        <w:rPr>
          <w:spacing w:val="0"/>
          <w:szCs w:val="22"/>
          <w:u w:val="single"/>
        </w:rPr>
      </w:pPr>
      <w:r>
        <w:rPr>
          <w:spacing w:val="0"/>
          <w:szCs w:val="22"/>
        </w:rPr>
        <w:t xml:space="preserve">Les dossiers de changement d’école ou d’implantation doivent être conservés par l’école de départ </w:t>
      </w:r>
      <w:r>
        <w:rPr>
          <w:spacing w:val="0"/>
          <w:szCs w:val="22"/>
          <w:u w:val="single"/>
        </w:rPr>
        <w:t>et</w:t>
      </w:r>
      <w:r>
        <w:rPr>
          <w:spacing w:val="0"/>
          <w:szCs w:val="22"/>
        </w:rPr>
        <w:t xml:space="preserve"> par l’école d’arrivée. Ils sont tenus à la disposition du </w:t>
      </w:r>
      <w:r>
        <w:rPr>
          <w:spacing w:val="0"/>
          <w:szCs w:val="22"/>
          <w:u w:val="single"/>
        </w:rPr>
        <w:t>Service général de l’Inspection et du Service de Vérification.</w:t>
      </w:r>
    </w:p>
    <w:p>
      <w:pPr>
        <w:jc w:val="both"/>
        <w:rPr>
          <w:sz w:val="12"/>
          <w:szCs w:val="12"/>
        </w:rPr>
      </w:pPr>
    </w:p>
    <w:p>
      <w:pPr>
        <w:jc w:val="both"/>
        <w:rPr>
          <w:spacing w:val="2"/>
        </w:rPr>
      </w:pPr>
    </w:p>
    <w:p>
      <w:pPr>
        <w:jc w:val="both"/>
        <w:rPr>
          <w:b/>
          <w:spacing w:val="2"/>
          <w:szCs w:val="22"/>
          <w:u w:val="single"/>
        </w:rPr>
      </w:pPr>
      <w:r>
        <w:rPr>
          <w:b/>
          <w:spacing w:val="2"/>
          <w:szCs w:val="22"/>
          <w:u w:val="single"/>
        </w:rPr>
        <w:t xml:space="preserve">Dispositions particulières en ce qui concerne </w:t>
      </w:r>
      <w:r>
        <w:rPr>
          <w:rFonts w:cs="Arial"/>
          <w:b/>
          <w:szCs w:val="22"/>
          <w:u w:val="single"/>
          <w:lang w:val="fr-BE"/>
        </w:rPr>
        <w:t>la problématique des enfants de demandeurs d’asile hébergés dans des centres FEDASIL – élèves primo-arrivants (simplification administrative).</w:t>
      </w:r>
    </w:p>
    <w:p>
      <w:pPr>
        <w:jc w:val="both"/>
        <w:rPr>
          <w:spacing w:val="2"/>
          <w:szCs w:val="22"/>
          <w:u w:val="single"/>
        </w:rPr>
      </w:pPr>
    </w:p>
    <w:p>
      <w:pPr>
        <w:jc w:val="both"/>
        <w:rPr>
          <w:spacing w:val="2"/>
        </w:rPr>
      </w:pPr>
      <w:r>
        <w:rPr>
          <w:spacing w:val="2"/>
        </w:rPr>
        <w:t>Deux situations peuvent se présenter: l’enfant et/ou sa famille quitte le centre Fedasil pour un autre centre ou la famille de l’enfant a reçu un ordre de quitter le territoire.</w:t>
      </w:r>
    </w:p>
    <w:p>
      <w:pPr>
        <w:jc w:val="both"/>
        <w:rPr>
          <w:spacing w:val="2"/>
        </w:rPr>
      </w:pPr>
    </w:p>
    <w:p>
      <w:pPr>
        <w:jc w:val="both"/>
        <w:rPr>
          <w:spacing w:val="2"/>
          <w:u w:val="dotted"/>
        </w:rPr>
      </w:pPr>
      <w:r>
        <w:rPr>
          <w:spacing w:val="2"/>
        </w:rPr>
        <w:t xml:space="preserve">1°) </w:t>
      </w:r>
      <w:r>
        <w:rPr>
          <w:spacing w:val="2"/>
          <w:u w:val="dotted"/>
        </w:rPr>
        <w:t>Départ de l’élève d’un centre Fedasil vers un autre centre</w:t>
      </w:r>
    </w:p>
    <w:p>
      <w:pPr>
        <w:jc w:val="both"/>
        <w:rPr>
          <w:spacing w:val="2"/>
        </w:rPr>
      </w:pPr>
    </w:p>
    <w:p>
      <w:pPr>
        <w:ind w:left="359"/>
        <w:jc w:val="both"/>
        <w:rPr>
          <w:spacing w:val="2"/>
        </w:rPr>
      </w:pPr>
      <w:r>
        <w:rPr>
          <w:spacing w:val="2"/>
        </w:rPr>
        <w:t>Avant les 9½ jours d’absence, le directeur de l’école de départ prendra contact avec le référent scolaire du centre afin de s’assurer que l’élève et sa famille ont quitté le centre pour être affectés dans un autre centre.</w:t>
      </w:r>
    </w:p>
    <w:p>
      <w:pPr>
        <w:ind w:left="359"/>
        <w:jc w:val="both"/>
        <w:rPr>
          <w:spacing w:val="2"/>
        </w:rPr>
      </w:pPr>
      <w:r>
        <w:rPr>
          <w:spacing w:val="2"/>
        </w:rPr>
        <w:t>Si tel est le cas, la direction de l’école de départ pourra alors clôturer l’inscription de l’élève au sein de son établissement et émettre les documents de changement d’école à adresser à l’attention du référent scolaire du nouveau centre.</w:t>
      </w:r>
    </w:p>
    <w:p>
      <w:pPr>
        <w:ind w:left="359"/>
        <w:jc w:val="both"/>
        <w:rPr>
          <w:i/>
          <w:spacing w:val="2"/>
        </w:rPr>
      </w:pPr>
      <w:r>
        <w:rPr>
          <w:i/>
          <w:spacing w:val="2"/>
        </w:rPr>
        <w:t xml:space="preserve">La signature des parents sur le formulaire ne sera, </w:t>
      </w:r>
      <w:r>
        <w:rPr>
          <w:b/>
          <w:i/>
          <w:spacing w:val="2"/>
          <w:u w:val="single"/>
        </w:rPr>
        <w:t>dans ce cas précis</w:t>
      </w:r>
      <w:r>
        <w:rPr>
          <w:i/>
          <w:spacing w:val="2"/>
        </w:rPr>
        <w:t>, pas requise.</w:t>
      </w:r>
    </w:p>
    <w:p>
      <w:pPr>
        <w:ind w:left="359"/>
        <w:jc w:val="both"/>
        <w:rPr>
          <w:spacing w:val="2"/>
        </w:rPr>
      </w:pPr>
    </w:p>
    <w:p>
      <w:pPr>
        <w:ind w:left="359"/>
        <w:jc w:val="both"/>
        <w:rPr>
          <w:spacing w:val="2"/>
        </w:rPr>
      </w:pPr>
      <w:r>
        <w:rPr>
          <w:spacing w:val="2"/>
        </w:rPr>
        <w:t>L’école d’arrivée choisie par le nouveau centre devra simplement procéder comme à l’accoutumée et renvoyer une copie de l’</w:t>
      </w:r>
      <w:hyperlink w:anchor="Annexe_24A_2" w:history="1">
        <w:r>
          <w:rPr>
            <w:rStyle w:val="Lienhypertexte"/>
            <w:color w:val="auto"/>
            <w:spacing w:val="2"/>
          </w:rPr>
          <w:t>annexe 2.4.A(2)</w:t>
        </w:r>
      </w:hyperlink>
      <w:r>
        <w:rPr>
          <w:spacing w:val="2"/>
        </w:rPr>
        <w:t xml:space="preserve"> avec le cadre C complété à l’école de départ.</w:t>
      </w:r>
    </w:p>
    <w:p>
      <w:pPr>
        <w:jc w:val="both"/>
        <w:rPr>
          <w:spacing w:val="2"/>
        </w:rPr>
      </w:pPr>
    </w:p>
    <w:p>
      <w:pPr>
        <w:jc w:val="both"/>
        <w:rPr>
          <w:spacing w:val="2"/>
        </w:rPr>
      </w:pPr>
      <w:r>
        <w:rPr>
          <w:spacing w:val="2"/>
        </w:rPr>
        <w:t xml:space="preserve">2°) </w:t>
      </w:r>
      <w:r>
        <w:rPr>
          <w:spacing w:val="2"/>
          <w:u w:val="dotted"/>
        </w:rPr>
        <w:t>Ordre de quitter le territoire</w:t>
      </w:r>
    </w:p>
    <w:p>
      <w:pPr>
        <w:tabs>
          <w:tab w:val="left" w:pos="360"/>
        </w:tabs>
        <w:ind w:left="359"/>
        <w:jc w:val="both"/>
        <w:rPr>
          <w:spacing w:val="2"/>
        </w:rPr>
      </w:pPr>
      <w:r>
        <w:rPr>
          <w:spacing w:val="2"/>
        </w:rPr>
        <w:t>Avant les 9½ jours d’absence de l’élève, l’école de départ devra contacter le référent scolaire attaché au centre.</w:t>
      </w:r>
    </w:p>
    <w:p>
      <w:pPr>
        <w:tabs>
          <w:tab w:val="left" w:pos="360"/>
        </w:tabs>
        <w:ind w:left="359"/>
        <w:jc w:val="both"/>
        <w:rPr>
          <w:spacing w:val="2"/>
        </w:rPr>
      </w:pPr>
    </w:p>
    <w:p>
      <w:pPr>
        <w:tabs>
          <w:tab w:val="left" w:pos="360"/>
        </w:tabs>
        <w:ind w:left="359"/>
        <w:jc w:val="both"/>
        <w:rPr>
          <w:spacing w:val="2"/>
        </w:rPr>
      </w:pPr>
      <w:r>
        <w:rPr>
          <w:spacing w:val="2"/>
        </w:rPr>
        <w:t>S’il s’avère que le changement de centre n’a pas été préconisé et que l’élève et sa famille ne sont plus hébergés dans le centre initial, la direction de l’école de départ pourra clôturer l’inscription de l’élève au sein de son établissement.</w:t>
      </w:r>
    </w:p>
    <w:p>
      <w:pPr>
        <w:tabs>
          <w:tab w:val="left" w:pos="360"/>
        </w:tabs>
        <w:ind w:left="359"/>
        <w:jc w:val="both"/>
        <w:rPr>
          <w:spacing w:val="2"/>
        </w:rPr>
      </w:pPr>
      <w:r>
        <w:rPr>
          <w:spacing w:val="2"/>
        </w:rPr>
        <w:t xml:space="preserve">Si une inscription de l’élève est demandée au sein d’une nouvelle école en cours d’année scolaire, le nouvel établissement devra uniquement introduire une demande de dérogation pour inscription (primaire) tardive (voir </w:t>
      </w:r>
      <w:hyperlink w:anchor="_2.2.3.__" w:history="1">
        <w:r>
          <w:rPr>
            <w:rStyle w:val="Lienhypertexte"/>
            <w:color w:val="auto"/>
            <w:spacing w:val="2"/>
          </w:rPr>
          <w:t>section 2.2.3.</w:t>
        </w:r>
      </w:hyperlink>
      <w:r>
        <w:rPr>
          <w:spacing w:val="2"/>
        </w:rPr>
        <w:t>)</w:t>
      </w:r>
    </w:p>
    <w:p>
      <w:pPr>
        <w:jc w:val="both"/>
        <w:rPr>
          <w:spacing w:val="2"/>
        </w:rPr>
      </w:pPr>
    </w:p>
    <w:p>
      <w:pPr>
        <w:pStyle w:val="Titre4"/>
      </w:pPr>
      <w:bookmarkStart w:id="394" w:name="_Toc110930703"/>
      <w:bookmarkStart w:id="395" w:name="_Toc165786021"/>
      <w:bookmarkStart w:id="396" w:name="_Toc167618978"/>
      <w:bookmarkStart w:id="397" w:name="_Toc170010398"/>
      <w:bookmarkStart w:id="398" w:name="_Toc172713832"/>
      <w:bookmarkStart w:id="399" w:name="_Toc207192143"/>
      <w:bookmarkStart w:id="400" w:name="_Toc295931973"/>
      <w:bookmarkStart w:id="401" w:name="_Toc295913725"/>
      <w:bookmarkStart w:id="402" w:name="_Toc423419981"/>
      <w:bookmarkStart w:id="403" w:name="_Toc450645188"/>
      <w:bookmarkStart w:id="404" w:name="_Toc453942424"/>
      <w:bookmarkStart w:id="405" w:name="_Toc454888041"/>
      <w:bookmarkStart w:id="406" w:name="_Toc486241703"/>
      <w:r>
        <w:t>2.</w:t>
      </w:r>
      <w:r>
        <w:rPr>
          <w:rStyle w:val="Titre6Car"/>
        </w:rPr>
        <w:t>4</w:t>
      </w:r>
      <w:r>
        <w:t>.1.1. Autorité parentale</w:t>
      </w:r>
      <w:bookmarkEnd w:id="394"/>
      <w:bookmarkEnd w:id="395"/>
      <w:bookmarkEnd w:id="396"/>
      <w:bookmarkEnd w:id="397"/>
      <w:bookmarkEnd w:id="398"/>
      <w:bookmarkEnd w:id="399"/>
      <w:bookmarkEnd w:id="400"/>
      <w:bookmarkEnd w:id="401"/>
      <w:bookmarkEnd w:id="402"/>
      <w:bookmarkEnd w:id="403"/>
      <w:bookmarkEnd w:id="404"/>
      <w:bookmarkEnd w:id="405"/>
      <w:bookmarkEnd w:id="406"/>
      <w:r>
        <w:t xml:space="preserve"> </w:t>
      </w:r>
    </w:p>
    <w:p>
      <w:pPr>
        <w:pStyle w:val="Corpsdetexte2"/>
        <w:ind w:left="539"/>
        <w:rPr>
          <w:sz w:val="16"/>
          <w:szCs w:val="16"/>
        </w:rPr>
      </w:pPr>
    </w:p>
    <w:p>
      <w:pPr>
        <w:pStyle w:val="Retraitcorpsdetexte"/>
        <w:tabs>
          <w:tab w:val="left" w:pos="1560"/>
        </w:tabs>
        <w:ind w:left="0"/>
        <w:rPr>
          <w:i/>
        </w:rPr>
      </w:pPr>
      <w:r>
        <w:rPr>
          <w:i/>
        </w:rPr>
        <w:t xml:space="preserve">Voir également la </w:t>
      </w:r>
      <w:hyperlink w:anchor="_2.1.2._Responsabilité_parentale" w:history="1">
        <w:r>
          <w:rPr>
            <w:rStyle w:val="Lienhypertexte"/>
            <w:i/>
            <w:color w:val="auto"/>
          </w:rPr>
          <w:t>section 2.1.2.</w:t>
        </w:r>
      </w:hyperlink>
      <w:r>
        <w:rPr>
          <w:i/>
        </w:rPr>
        <w:t xml:space="preserve"> et la </w:t>
      </w:r>
      <w:hyperlink r:id="rId51" w:history="1">
        <w:r>
          <w:rPr>
            <w:rStyle w:val="Lienhypertexte"/>
            <w:i/>
          </w:rPr>
          <w:t>circulaire n°90 du 19 mars 2002 relative à l’exercice de l’autorité parentale en matière scolaire</w:t>
        </w:r>
      </w:hyperlink>
      <w:r>
        <w:rPr>
          <w:i/>
          <w:u w:val="single"/>
        </w:rPr>
        <w:t>.</w:t>
      </w:r>
    </w:p>
    <w:p>
      <w:pPr>
        <w:pStyle w:val="Retraitcorpsdetexte"/>
        <w:tabs>
          <w:tab w:val="left" w:pos="1560"/>
        </w:tabs>
        <w:ind w:left="0"/>
        <w:rPr>
          <w:sz w:val="12"/>
          <w:szCs w:val="12"/>
        </w:rPr>
      </w:pPr>
    </w:p>
    <w:p>
      <w:pPr>
        <w:pStyle w:val="Retraitcorpsdetexte"/>
        <w:ind w:left="0"/>
        <w:rPr>
          <w:szCs w:val="22"/>
        </w:rPr>
      </w:pPr>
      <w:r>
        <w:rPr>
          <w:szCs w:val="22"/>
        </w:rPr>
        <w:t xml:space="preserve">Les articles 373 et 374 du Code civil précisent que les père et mère, qu’ils vivent ou non ensemble, exercent en principe conjointement leur autorité parentale sur la personne de l’enfant. Ce principe implique que les décisions relatives à l’enfant, comme un changement d’école, doivent être prises avec l’accord des deux parents. </w:t>
      </w:r>
    </w:p>
    <w:p>
      <w:pPr>
        <w:pStyle w:val="Retraitcorpsdetexte"/>
        <w:ind w:left="0"/>
        <w:rPr>
          <w:sz w:val="12"/>
          <w:szCs w:val="12"/>
        </w:rPr>
      </w:pPr>
    </w:p>
    <w:p>
      <w:pPr>
        <w:pStyle w:val="Retraitcorpsdetexte"/>
        <w:ind w:left="0"/>
        <w:rPr>
          <w:szCs w:val="22"/>
        </w:rPr>
      </w:pPr>
      <w:r>
        <w:rPr>
          <w:szCs w:val="22"/>
        </w:rPr>
        <w:t>Toutefois, à l’égard des tiers de bonne foi, chacun d’eux est censé agir avec l’accord de l’autre. En d’autres termes, lorsqu’un parent demande le changement d’école d’un élève, il est censé agir avec l’accord de l’autre aux yeux du directeur, tiers présumé de bonne foi.</w:t>
      </w:r>
    </w:p>
    <w:p>
      <w:pPr>
        <w:pStyle w:val="Retraitcorpsdetexte"/>
        <w:ind w:left="0"/>
        <w:rPr>
          <w:sz w:val="12"/>
          <w:szCs w:val="12"/>
        </w:rPr>
      </w:pPr>
    </w:p>
    <w:p>
      <w:pPr>
        <w:pStyle w:val="Retraitcorpsdetexte"/>
        <w:ind w:left="0"/>
      </w:pPr>
      <w:r>
        <w:t>Lorsqu’aucune décision judiciaire n’est connue du directeur d’école, celui-ci agira en fonction des principes de droit commun, qui sont les suivants:</w:t>
      </w:r>
    </w:p>
    <w:p>
      <w:pPr>
        <w:pStyle w:val="Retraitcorpsdetexte"/>
        <w:ind w:left="0"/>
        <w:rPr>
          <w:sz w:val="12"/>
          <w:szCs w:val="12"/>
        </w:rPr>
      </w:pPr>
    </w:p>
    <w:p>
      <w:pPr>
        <w:pStyle w:val="Retraitcorpsdetexte"/>
        <w:numPr>
          <w:ilvl w:val="0"/>
          <w:numId w:val="95"/>
        </w:numPr>
        <w:tabs>
          <w:tab w:val="clear" w:pos="720"/>
          <w:tab w:val="num" w:pos="359"/>
        </w:tabs>
        <w:ind w:left="359"/>
        <w:rPr>
          <w:spacing w:val="-6"/>
          <w:szCs w:val="22"/>
        </w:rPr>
      </w:pPr>
      <w:r>
        <w:rPr>
          <w:spacing w:val="-6"/>
          <w:szCs w:val="22"/>
        </w:rPr>
        <w:t xml:space="preserve">toute décision relative à l’enfant doit être prise de commun accord par les parents, </w:t>
      </w:r>
      <w:r>
        <w:rPr>
          <w:spacing w:val="-6"/>
          <w:szCs w:val="22"/>
        </w:rPr>
        <w:br/>
        <w:t>mais chaque parent est présumé, lorsqu’il agit seul avec un tiers comme un directeur d’école, avoir reçu un mandat de l’autre pour prendre les décisions relatives à l’enfant;</w:t>
      </w:r>
    </w:p>
    <w:p>
      <w:pPr>
        <w:pStyle w:val="Retraitcorpsdetexte"/>
        <w:numPr>
          <w:ilvl w:val="0"/>
          <w:numId w:val="95"/>
        </w:numPr>
        <w:tabs>
          <w:tab w:val="clear" w:pos="720"/>
          <w:tab w:val="num" w:pos="359"/>
        </w:tabs>
        <w:ind w:left="359"/>
      </w:pPr>
      <w:r>
        <w:t>cette présomption cesse lorsque le tiers n’est plus de bonne foi, c’est-à-dire lorsqu’il sait ou doit savoir que l’autre parent s’oppose à la décision prise;</w:t>
      </w:r>
    </w:p>
    <w:p>
      <w:pPr>
        <w:pStyle w:val="Retraitcorpsdetexte"/>
        <w:numPr>
          <w:ilvl w:val="0"/>
          <w:numId w:val="95"/>
        </w:numPr>
        <w:tabs>
          <w:tab w:val="clear" w:pos="720"/>
          <w:tab w:val="num" w:pos="359"/>
        </w:tabs>
        <w:ind w:left="359"/>
      </w:pPr>
      <w:r>
        <w:t>le simple fait que les parents vivent séparés n’implique pas, en soi, qu’ils ne s’entendent pas au sujet de l’éducation de leur enfant, et la simple connaissance de la séparation par le directeur d’école ne renverse pas la présomption de bonne foi dans son chef, ni d’évidence le fait qu’un seul des parents se présente pour prendre la décision.</w:t>
      </w:r>
    </w:p>
    <w:p>
      <w:pPr>
        <w:pStyle w:val="Retraitcorpsdetexte"/>
        <w:ind w:left="0"/>
        <w:rPr>
          <w:sz w:val="16"/>
          <w:szCs w:val="16"/>
        </w:rPr>
      </w:pPr>
    </w:p>
    <w:p>
      <w:pPr>
        <w:pStyle w:val="Retraitcorpsdetexte"/>
        <w:ind w:left="0"/>
      </w:pPr>
      <w:r>
        <w:t xml:space="preserve">Le directeur d’école appréciera, </w:t>
      </w:r>
      <w:r>
        <w:rPr>
          <w:b/>
          <w:bCs/>
        </w:rPr>
        <w:t>compte tenu de toutes les circonstances dont il a connaissance,</w:t>
      </w:r>
      <w:r>
        <w:t xml:space="preserve"> s’il peut raisonnablement croire que le parent qui désire prendre une décision qui concerne un élève ou un futur élève de son établissement, a obtenu le consentement de l’autre parent ou qu’à tout le moins ce dernier ne s’y est pas opposé.</w:t>
      </w:r>
    </w:p>
    <w:p>
      <w:pPr>
        <w:tabs>
          <w:tab w:val="left" w:pos="426"/>
        </w:tabs>
        <w:jc w:val="both"/>
        <w:rPr>
          <w:szCs w:val="22"/>
        </w:rPr>
      </w:pPr>
    </w:p>
    <w:p>
      <w:pPr>
        <w:jc w:val="both"/>
      </w:pPr>
      <w:r>
        <w:rPr>
          <w:spacing w:val="2"/>
        </w:rPr>
        <w:t>Il</w:t>
      </w:r>
      <w:r>
        <w:t xml:space="preserve"> ne revient donc pas à une direction d’établissement de statuer sur un changement d’école lorsqu’elle est avertie préalablement à sa prise de décision que la demande introduite par le premier parent ne rencontre pas l’assentiment de l’autre et que l’autorité parentale est exercée conjointement.</w:t>
      </w:r>
    </w:p>
    <w:p>
      <w:pPr>
        <w:jc w:val="both"/>
      </w:pPr>
    </w:p>
    <w:p>
      <w:pPr>
        <w:tabs>
          <w:tab w:val="left" w:pos="426"/>
        </w:tabs>
        <w:jc w:val="both"/>
        <w:rPr>
          <w:sz w:val="12"/>
          <w:szCs w:val="12"/>
        </w:rPr>
      </w:pPr>
      <w:r>
        <w:t>Dans ce cas, la direction transmet directement les formulaires de demande de changement d’école à la Direction générale de l’Enseignement obligatoire qui adressera un courrier aux parents concernés afin de les avertir de l’irrecevabilité de la demande compte tenu de leur désaccord et renverra ces derniers devant le tribunal de la famille qui constitue la seule instance habilitée à prendre une décision en matière de différend lié à l’autorité parentale conjointe.</w:t>
      </w:r>
    </w:p>
    <w:p>
      <w:pPr>
        <w:tabs>
          <w:tab w:val="left" w:pos="426"/>
        </w:tabs>
        <w:jc w:val="both"/>
        <w:rPr>
          <w:szCs w:val="22"/>
        </w:rPr>
      </w:pPr>
    </w:p>
    <w:p>
      <w:pPr>
        <w:pStyle w:val="Corpsdetexte2"/>
        <w:tabs>
          <w:tab w:val="left" w:pos="426"/>
        </w:tabs>
        <w:rPr>
          <w:spacing w:val="-6"/>
        </w:rPr>
      </w:pPr>
      <w:r>
        <w:rPr>
          <w:spacing w:val="-6"/>
        </w:rPr>
        <w:t>En cas d’hébergement alterné, les parents doivent choisir une école de commun accord. L’enfant ne peut pas fréquenter et être inscrit dans deux écoles à la fois. Cela pour favoriser la continuité des apprentissages, pour le bien-être et l’adaptation de l’enfant dans l’école et pour éviter les doubles inscriptions.</w:t>
      </w:r>
    </w:p>
    <w:p>
      <w:pPr>
        <w:pStyle w:val="Corpsdetexte2"/>
        <w:tabs>
          <w:tab w:val="left" w:pos="426"/>
        </w:tabs>
        <w:rPr>
          <w:sz w:val="12"/>
          <w:szCs w:val="12"/>
        </w:rPr>
      </w:pPr>
    </w:p>
    <w:p>
      <w:pPr>
        <w:jc w:val="both"/>
        <w:rPr>
          <w:spacing w:val="2"/>
        </w:rPr>
      </w:pPr>
      <w:r>
        <w:rPr>
          <w:spacing w:val="2"/>
        </w:rPr>
        <w:t>Même en cas de placement, les parents, en tant que titulaires de l’autorité parentale en vertu des règles de droit civil (sauf décision judiciaire contraire), sont les seuls habilités à remplir et signer les formulaires de demande de changement d’école.</w:t>
      </w:r>
      <w:bookmarkStart w:id="407" w:name="_Toc207192144"/>
      <w:bookmarkStart w:id="408" w:name="_Toc295931974"/>
      <w:bookmarkStart w:id="409" w:name="_Toc295913726"/>
    </w:p>
    <w:p>
      <w:pPr>
        <w:pStyle w:val="Titre4"/>
      </w:pPr>
      <w:r>
        <w:rPr>
          <w:rStyle w:val="Titre6Car"/>
        </w:rPr>
        <w:br w:type="page"/>
      </w:r>
      <w:bookmarkStart w:id="410" w:name="_Toc423419982"/>
      <w:bookmarkStart w:id="411" w:name="_Toc450645189"/>
      <w:bookmarkStart w:id="412" w:name="_Toc453942425"/>
      <w:bookmarkStart w:id="413" w:name="_Toc454888042"/>
      <w:bookmarkStart w:id="414" w:name="_Toc486241704"/>
      <w:r>
        <w:t>2.4.1.2. Changements d’école ou d’implantation à comptage séparé: principes</w:t>
      </w:r>
      <w:bookmarkEnd w:id="407"/>
      <w:bookmarkEnd w:id="408"/>
      <w:bookmarkEnd w:id="409"/>
      <w:bookmarkEnd w:id="410"/>
      <w:bookmarkEnd w:id="411"/>
      <w:bookmarkEnd w:id="412"/>
      <w:bookmarkEnd w:id="413"/>
      <w:bookmarkEnd w:id="414"/>
    </w:p>
    <w:p>
      <w:pPr>
        <w:jc w:val="both"/>
        <w:rPr>
          <w:spacing w:val="2"/>
          <w:szCs w:val="22"/>
        </w:rPr>
      </w:pPr>
    </w:p>
    <w:p>
      <w:pPr>
        <w:pStyle w:val="Titre5"/>
      </w:pPr>
      <w:bookmarkStart w:id="415" w:name="_Toc423419983"/>
      <w:bookmarkStart w:id="416" w:name="_Toc450645190"/>
      <w:bookmarkStart w:id="417" w:name="_Toc453942426"/>
      <w:bookmarkStart w:id="418" w:name="_Toc454888043"/>
      <w:bookmarkStart w:id="419" w:name="_Toc486241705"/>
      <w:r>
        <w:t>2.4.1.2.1. Enseignement maternel</w:t>
      </w:r>
      <w:bookmarkEnd w:id="415"/>
      <w:bookmarkEnd w:id="416"/>
      <w:bookmarkEnd w:id="417"/>
      <w:bookmarkEnd w:id="418"/>
      <w:bookmarkEnd w:id="419"/>
    </w:p>
    <w:p>
      <w:pPr>
        <w:jc w:val="both"/>
        <w:rPr>
          <w:rFonts w:cs="Arial"/>
          <w:spacing w:val="2"/>
          <w:sz w:val="16"/>
          <w:szCs w:val="16"/>
        </w:rPr>
      </w:pPr>
    </w:p>
    <w:p>
      <w:pPr>
        <w:jc w:val="both"/>
        <w:rPr>
          <w:rFonts w:cs="Arial"/>
          <w:spacing w:val="2"/>
          <w:szCs w:val="22"/>
        </w:rPr>
      </w:pPr>
      <w:r>
        <w:rPr>
          <w:rFonts w:cs="Arial"/>
          <w:spacing w:val="2"/>
          <w:szCs w:val="22"/>
        </w:rPr>
        <w:t>Quelle que soit l’année dans laquelle il est inscrit, un élève de l’enseignement maternel ne peut changer d’école ou d’implantation à comptage séparé au-delà du</w:t>
      </w:r>
      <w:r>
        <w:rPr>
          <w:rFonts w:cs="Arial"/>
          <w:spacing w:val="2"/>
          <w:szCs w:val="22"/>
          <w:u w:val="single"/>
        </w:rPr>
        <w:t xml:space="preserve"> 15 septembre</w:t>
      </w:r>
      <w:r>
        <w:rPr>
          <w:rFonts w:cs="Arial"/>
          <w:spacing w:val="2"/>
          <w:szCs w:val="22"/>
        </w:rPr>
        <w:t>.</w:t>
      </w:r>
    </w:p>
    <w:p>
      <w:pPr>
        <w:jc w:val="both"/>
        <w:rPr>
          <w:rFonts w:cs="Arial"/>
          <w:spacing w:val="2"/>
          <w:sz w:val="16"/>
          <w:szCs w:val="16"/>
        </w:rPr>
      </w:pPr>
    </w:p>
    <w:p>
      <w:pPr>
        <w:pStyle w:val="Corpsdetexte2"/>
      </w:pPr>
      <w:r>
        <w:rPr>
          <w:u w:val="single"/>
        </w:rPr>
        <w:t>Remarque:</w:t>
      </w:r>
      <w:r>
        <w:t xml:space="preserve"> dans le cas d’une </w:t>
      </w:r>
      <w:r>
        <w:rPr>
          <w:b/>
        </w:rPr>
        <w:t>1</w:t>
      </w:r>
      <w:r>
        <w:rPr>
          <w:b/>
          <w:vertAlign w:val="superscript"/>
        </w:rPr>
        <w:t>ère</w:t>
      </w:r>
      <w:r>
        <w:rPr>
          <w:b/>
        </w:rPr>
        <w:t xml:space="preserve"> inscription en Fédération Wallonie-Bruxelles en cours d’année scolaire </w:t>
      </w:r>
      <w:r>
        <w:t>(exemples: arrivée d’un élève en Belgique ou venant d’une autre communauté ou provenant d’une école privée non subventionnée, 1</w:t>
      </w:r>
      <w:r>
        <w:rPr>
          <w:vertAlign w:val="superscript"/>
        </w:rPr>
        <w:t>ère</w:t>
      </w:r>
      <w:r>
        <w:t xml:space="preserve"> entrée à l’école maternelle …)</w:t>
      </w:r>
      <w:r>
        <w:rPr>
          <w:b/>
        </w:rPr>
        <w:t>,</w:t>
      </w:r>
      <w:r>
        <w:t xml:space="preserve"> il est admis que le délai de 15 jours calendrier prenne cours à partir du 1</w:t>
      </w:r>
      <w:r>
        <w:rPr>
          <w:vertAlign w:val="superscript"/>
        </w:rPr>
        <w:t>er</w:t>
      </w:r>
      <w:r>
        <w:t xml:space="preserve"> jour de présence à l’école. Ce délai n’intervient qu’une seule fois par année scolaire et un seul changement est autorisé sur cette période.</w:t>
      </w:r>
    </w:p>
    <w:p>
      <w:pPr>
        <w:pStyle w:val="Corpsdetexte2"/>
        <w:ind w:left="359"/>
        <w:rPr>
          <w:spacing w:val="2"/>
          <w:szCs w:val="22"/>
        </w:rPr>
      </w:pPr>
    </w:p>
    <w:p>
      <w:pPr>
        <w:pStyle w:val="Titre5"/>
      </w:pPr>
      <w:bookmarkStart w:id="420" w:name="_Toc423419984"/>
      <w:bookmarkStart w:id="421" w:name="_Toc450645191"/>
      <w:bookmarkStart w:id="422" w:name="_Toc453942427"/>
      <w:bookmarkStart w:id="423" w:name="_Toc454888044"/>
      <w:bookmarkStart w:id="424" w:name="_Toc486241706"/>
      <w:r>
        <w:t>2.4.1.2.2. Enseignement primaire</w:t>
      </w:r>
      <w:bookmarkEnd w:id="420"/>
      <w:bookmarkEnd w:id="421"/>
      <w:bookmarkEnd w:id="422"/>
      <w:bookmarkEnd w:id="423"/>
      <w:bookmarkEnd w:id="424"/>
    </w:p>
    <w:p>
      <w:pPr>
        <w:jc w:val="both"/>
        <w:rPr>
          <w:rFonts w:cs="Arial"/>
          <w:spacing w:val="2"/>
          <w:sz w:val="16"/>
          <w:szCs w:val="16"/>
        </w:rPr>
      </w:pPr>
    </w:p>
    <w:p>
      <w:pPr>
        <w:ind w:left="359" w:hanging="360"/>
        <w:jc w:val="both"/>
        <w:rPr>
          <w:rFonts w:cs="Arial"/>
          <w:spacing w:val="2"/>
          <w:szCs w:val="22"/>
          <w:u w:val="single"/>
        </w:rPr>
      </w:pPr>
      <w:r>
        <w:rPr>
          <w:rFonts w:cs="Arial"/>
          <w:spacing w:val="2"/>
          <w:szCs w:val="22"/>
        </w:rPr>
        <w:t xml:space="preserve">a) </w:t>
      </w:r>
      <w:r>
        <w:rPr>
          <w:rFonts w:cs="Arial"/>
          <w:spacing w:val="2"/>
          <w:szCs w:val="22"/>
        </w:rPr>
        <w:tab/>
      </w:r>
      <w:r>
        <w:rPr>
          <w:rFonts w:cs="Arial"/>
          <w:spacing w:val="2"/>
          <w:szCs w:val="22"/>
          <w:u w:val="single"/>
        </w:rPr>
        <w:t>P1, P3, P5</w:t>
      </w:r>
    </w:p>
    <w:p>
      <w:pPr>
        <w:ind w:left="359" w:hanging="360"/>
        <w:jc w:val="both"/>
        <w:rPr>
          <w:rFonts w:cs="Arial"/>
          <w:spacing w:val="2"/>
          <w:sz w:val="16"/>
          <w:szCs w:val="16"/>
        </w:rPr>
      </w:pPr>
    </w:p>
    <w:p>
      <w:pPr>
        <w:ind w:left="359"/>
        <w:jc w:val="both"/>
        <w:rPr>
          <w:rFonts w:cs="Arial"/>
          <w:spacing w:val="2"/>
          <w:szCs w:val="22"/>
        </w:rPr>
      </w:pPr>
      <w:r>
        <w:rPr>
          <w:rFonts w:cs="Arial"/>
          <w:spacing w:val="2"/>
          <w:szCs w:val="22"/>
        </w:rPr>
        <w:t xml:space="preserve">Un élève qui </w:t>
      </w:r>
      <w:r>
        <w:rPr>
          <w:rFonts w:cs="Arial"/>
          <w:spacing w:val="2"/>
          <w:szCs w:val="22"/>
          <w:u w:val="single"/>
        </w:rPr>
        <w:t>débute</w:t>
      </w:r>
      <w:r>
        <w:rPr>
          <w:rFonts w:cs="Arial"/>
          <w:spacing w:val="2"/>
          <w:szCs w:val="22"/>
        </w:rPr>
        <w:t xml:space="preserve"> une première (P1), troisième (P3) ou cinquième (P5) année primaire peut changer d’école ou d’implantation à comptage séparé librement jusqu’au 15 septembre.</w:t>
      </w:r>
    </w:p>
    <w:p>
      <w:pPr>
        <w:ind w:left="359"/>
        <w:jc w:val="both"/>
        <w:rPr>
          <w:rFonts w:cs="Arial"/>
          <w:spacing w:val="2"/>
          <w:szCs w:val="22"/>
        </w:rPr>
      </w:pPr>
      <w:r>
        <w:rPr>
          <w:rFonts w:cs="Arial"/>
          <w:spacing w:val="2"/>
          <w:szCs w:val="22"/>
          <w:u w:val="single"/>
        </w:rPr>
        <w:t>Exemple</w:t>
      </w:r>
      <w:r>
        <w:rPr>
          <w:rFonts w:cs="Arial"/>
          <w:spacing w:val="2"/>
          <w:szCs w:val="22"/>
        </w:rPr>
        <w:t>: élèves inscrits au 01.09 en P1, P3, P5 = l’inscription au sein d’une autre école est possible sans demande de dérogation.</w:t>
      </w:r>
    </w:p>
    <w:p>
      <w:pPr>
        <w:jc w:val="both"/>
        <w:rPr>
          <w:rFonts w:cs="Arial"/>
          <w:b/>
          <w:spacing w:val="2"/>
          <w:sz w:val="16"/>
          <w:szCs w:val="16"/>
        </w:rPr>
      </w:pPr>
    </w:p>
    <w:p>
      <w:pPr>
        <w:ind w:left="359" w:hanging="360"/>
        <w:jc w:val="both"/>
        <w:rPr>
          <w:rFonts w:cs="Arial"/>
          <w:spacing w:val="2"/>
          <w:szCs w:val="22"/>
        </w:rPr>
      </w:pPr>
      <w:r>
        <w:rPr>
          <w:rFonts w:cs="Arial"/>
          <w:spacing w:val="2"/>
          <w:szCs w:val="22"/>
        </w:rPr>
        <w:t xml:space="preserve">b) </w:t>
      </w:r>
      <w:r>
        <w:rPr>
          <w:rFonts w:cs="Arial"/>
          <w:spacing w:val="2"/>
          <w:szCs w:val="22"/>
        </w:rPr>
        <w:tab/>
      </w:r>
      <w:r>
        <w:rPr>
          <w:rFonts w:cs="Arial"/>
          <w:spacing w:val="2"/>
          <w:szCs w:val="22"/>
          <w:u w:val="single"/>
        </w:rPr>
        <w:t>P2, P4, P6</w:t>
      </w:r>
    </w:p>
    <w:p>
      <w:pPr>
        <w:ind w:left="359"/>
        <w:jc w:val="both"/>
        <w:rPr>
          <w:rFonts w:cs="Arial"/>
          <w:spacing w:val="2"/>
          <w:sz w:val="16"/>
          <w:szCs w:val="16"/>
        </w:rPr>
      </w:pPr>
    </w:p>
    <w:p>
      <w:pPr>
        <w:ind w:left="359"/>
        <w:jc w:val="both"/>
        <w:rPr>
          <w:rFonts w:cs="Arial"/>
          <w:spacing w:val="2"/>
          <w:szCs w:val="22"/>
        </w:rPr>
      </w:pPr>
      <w:r>
        <w:rPr>
          <w:rFonts w:cs="Arial"/>
          <w:spacing w:val="2"/>
          <w:szCs w:val="22"/>
        </w:rPr>
        <w:t>Un élève de l’enseignement primaire qui se trouve en cours de cycle et entame une deuxième (P2), quatrième (P4) ou sixième (P6) année primaire doit poursuivre sa scolarité dans l’école ou l’implantation à comptage séparé où il a débuté le cycle. Cet élève ne peut, à aucun moment, être inscrit au sein d’un autre établissement, sans procédure de changement d’école, au terme de sa première, troisième ou cinquième année primaire.</w:t>
      </w:r>
    </w:p>
    <w:p>
      <w:pPr>
        <w:ind w:left="359" w:hanging="360"/>
        <w:jc w:val="both"/>
        <w:rPr>
          <w:rFonts w:cs="Arial"/>
          <w:spacing w:val="2"/>
          <w:szCs w:val="22"/>
        </w:rPr>
      </w:pPr>
      <w:r>
        <w:rPr>
          <w:rFonts w:cs="Arial"/>
          <w:spacing w:val="2"/>
          <w:szCs w:val="22"/>
        </w:rPr>
        <w:tab/>
      </w:r>
    </w:p>
    <w:p>
      <w:pPr>
        <w:ind w:hanging="1"/>
        <w:jc w:val="both"/>
        <w:rPr>
          <w:rFonts w:cs="Arial"/>
          <w:spacing w:val="2"/>
          <w:szCs w:val="22"/>
        </w:rPr>
      </w:pPr>
      <w:r>
        <w:rPr>
          <w:rFonts w:cs="Arial"/>
          <w:spacing w:val="2"/>
          <w:szCs w:val="22"/>
          <w:u w:val="single"/>
        </w:rPr>
        <w:t>Exemple:</w:t>
      </w:r>
      <w:r>
        <w:rPr>
          <w:rFonts w:cs="Arial"/>
          <w:spacing w:val="2"/>
          <w:szCs w:val="22"/>
        </w:rPr>
        <w:t xml:space="preserve"> un élève qui termine avec succès une P1, P3 ou P5 dans une école ou implantation ne peut être inscrit en P2, P4 ou P6 dans une autre école ou dans une autre implantation à comptage séparé.</w:t>
      </w:r>
    </w:p>
    <w:p>
      <w:pPr>
        <w:ind w:left="359" w:hanging="360"/>
        <w:jc w:val="both"/>
        <w:rPr>
          <w:rFonts w:cs="Arial"/>
          <w:spacing w:val="2"/>
          <w:sz w:val="16"/>
          <w:szCs w:val="16"/>
        </w:rPr>
      </w:pPr>
    </w:p>
    <w:p>
      <w:pPr>
        <w:ind w:left="359" w:hanging="360"/>
        <w:jc w:val="both"/>
        <w:rPr>
          <w:szCs w:val="22"/>
        </w:rPr>
      </w:pPr>
      <w:r>
        <w:rPr>
          <w:szCs w:val="22"/>
        </w:rPr>
        <w:t xml:space="preserve">c) </w:t>
      </w:r>
      <w:r>
        <w:rPr>
          <w:szCs w:val="22"/>
        </w:rPr>
        <w:tab/>
      </w:r>
      <w:r>
        <w:rPr>
          <w:szCs w:val="22"/>
          <w:u w:val="single"/>
        </w:rPr>
        <w:t>Année complémentaire</w:t>
      </w:r>
    </w:p>
    <w:p>
      <w:pPr>
        <w:ind w:left="359"/>
        <w:jc w:val="both"/>
        <w:rPr>
          <w:szCs w:val="22"/>
        </w:rPr>
      </w:pPr>
    </w:p>
    <w:p>
      <w:pPr>
        <w:ind w:left="359"/>
        <w:jc w:val="both"/>
        <w:rPr>
          <w:szCs w:val="22"/>
        </w:rPr>
      </w:pPr>
      <w:r>
        <w:rPr>
          <w:szCs w:val="22"/>
        </w:rPr>
        <w:t xml:space="preserve">Un élève de l’enseignement primaire qui bénéficie d’une année complémentaire l’effectue toujours au sein du même cycle. S’il souhaite faire une année complémentaire dans un autre établissement, les parents devront introduire une demande de changement d’école selon la procédure décrite dans ce chapitre. </w:t>
      </w:r>
    </w:p>
    <w:p>
      <w:pPr>
        <w:ind w:left="356" w:hanging="357"/>
        <w:jc w:val="both"/>
        <w:rPr>
          <w:szCs w:val="22"/>
        </w:rPr>
      </w:pPr>
      <w:r>
        <w:rPr>
          <w:szCs w:val="22"/>
        </w:rPr>
        <w:tab/>
      </w:r>
      <w:r>
        <w:rPr>
          <w:szCs w:val="22"/>
          <w:u w:val="single"/>
        </w:rPr>
        <w:t>Exemples</w:t>
      </w:r>
      <w:r>
        <w:rPr>
          <w:szCs w:val="22"/>
        </w:rPr>
        <w:t xml:space="preserve">: </w:t>
      </w:r>
    </w:p>
    <w:p>
      <w:pPr>
        <w:ind w:left="359"/>
        <w:jc w:val="both"/>
        <w:rPr>
          <w:szCs w:val="22"/>
        </w:rPr>
      </w:pPr>
      <w:r>
        <w:rPr>
          <w:szCs w:val="22"/>
        </w:rPr>
        <w:t>1) un élève doit effectuer une année complémentaire au terme d’une P1. L’enfant ne pourra changer d’école pour accomplir cette année complémentaire que si la procédure de changement d’école est respectée.</w:t>
      </w:r>
    </w:p>
    <w:p>
      <w:pPr>
        <w:ind w:left="359"/>
        <w:jc w:val="both"/>
        <w:rPr>
          <w:szCs w:val="22"/>
        </w:rPr>
      </w:pPr>
      <w:r>
        <w:rPr>
          <w:szCs w:val="22"/>
        </w:rPr>
        <w:t>2) Un élève doit effectuer une année complémentaire au terme d’une P4. L’enfant ne pourra changer d’école pour accomplir cette année complémentaire que si la procédure de changement d’école est respectée.</w:t>
      </w:r>
    </w:p>
    <w:p>
      <w:pPr>
        <w:spacing w:before="100" w:beforeAutospacing="1" w:after="100" w:afterAutospacing="1"/>
        <w:ind w:left="356" w:hanging="357"/>
        <w:jc w:val="both"/>
        <w:rPr>
          <w:sz w:val="24"/>
        </w:rPr>
      </w:pPr>
      <w:r>
        <w:rPr>
          <w:sz w:val="24"/>
        </w:rPr>
        <w:sym w:font="Webdings" w:char="F0EA"/>
      </w:r>
      <w:r>
        <w:rPr>
          <w:sz w:val="24"/>
        </w:rPr>
        <w:tab/>
      </w:r>
      <w:r>
        <w:rPr>
          <w:szCs w:val="22"/>
        </w:rPr>
        <w:t>Il est donc impératif, en cas d’inscription d’un nouvel élève, de rester attentif au parcours scolaire de cet enfant et plus particulièrement de s’assurer qu’il n’effectue pas une année complémentaire. En cas de doute sur le parcours scolaire d’un élève, le directeur peut, au moment de l’inscription, réclamer tout document attestant de l’année d’étude suivie l’année scolaire précédente par l’élève, ou une copie de la couverture du bulletin, sur laquelle sont indiqués le nom de l’élève et sa classe.</w:t>
      </w:r>
    </w:p>
    <w:p>
      <w:pPr>
        <w:pStyle w:val="Corpsdetexte2"/>
      </w:pPr>
      <w:r>
        <w:rPr>
          <w:u w:val="single"/>
        </w:rPr>
        <w:t>Remarque:</w:t>
      </w:r>
      <w:r>
        <w:t xml:space="preserve"> dans le cas d’une </w:t>
      </w:r>
      <w:r>
        <w:rPr>
          <w:b/>
        </w:rPr>
        <w:t>1</w:t>
      </w:r>
      <w:r>
        <w:rPr>
          <w:b/>
          <w:vertAlign w:val="superscript"/>
        </w:rPr>
        <w:t>ère</w:t>
      </w:r>
      <w:r>
        <w:rPr>
          <w:b/>
        </w:rPr>
        <w:t xml:space="preserve"> inscription en Fédération Wallonie-Bruxelles en cours d’année scolaire </w:t>
      </w:r>
      <w:r>
        <w:t>(exemples: arrivée d’un élève en Belgique ou venant d’une autre communauté ou provenant d’une école privée non subventionnée, fin d’un enseignement à domicile …)</w:t>
      </w:r>
      <w:r>
        <w:rPr>
          <w:b/>
        </w:rPr>
        <w:t>,</w:t>
      </w:r>
      <w:r>
        <w:t xml:space="preserve"> il est admis que le délai de 15 jours calendrier prenne cours à partir du 1</w:t>
      </w:r>
      <w:r>
        <w:rPr>
          <w:vertAlign w:val="superscript"/>
        </w:rPr>
        <w:t>er</w:t>
      </w:r>
      <w:r>
        <w:t xml:space="preserve"> jour de présence à l’école. Ce délai n’intervient qu’une seule fois par année scolaire et un seul changement est autorisé sur cette période.</w:t>
      </w:r>
    </w:p>
    <w:p>
      <w:pPr>
        <w:pStyle w:val="Corpsdetexte2"/>
        <w:rPr>
          <w:sz w:val="16"/>
          <w:szCs w:val="16"/>
        </w:rPr>
      </w:pPr>
    </w:p>
    <w:p>
      <w:pPr>
        <w:pStyle w:val="Corpsdetexte2"/>
      </w:pPr>
      <w:r>
        <w:t xml:space="preserve">Le délai de 15 jours calendrier n’est pas applicable aux élèves se trouvant en cours de cycle et ayant bénéficié d’une autorisation de changement d’école. </w:t>
      </w:r>
    </w:p>
    <w:p>
      <w:pPr>
        <w:pStyle w:val="Corpsdetexte2"/>
      </w:pPr>
      <w:r>
        <w:rPr>
          <w:u w:val="single"/>
        </w:rPr>
        <w:t>Exemple</w:t>
      </w:r>
      <w:r>
        <w:t xml:space="preserve">: les parents d’un élève qui a effectué avec succès sa première année primaire décident de le changer d’école pour qu’il effectue la deuxième année dans une autre école. En cas d’autorisation de changement d’école, le délai de 15 jours calendrier n’est pas applicable. </w:t>
      </w:r>
    </w:p>
    <w:p>
      <w:pPr>
        <w:jc w:val="both"/>
        <w:rPr>
          <w:spacing w:val="2"/>
          <w:sz w:val="16"/>
          <w:szCs w:val="16"/>
        </w:rPr>
      </w:pPr>
    </w:p>
    <w:p>
      <w:pPr>
        <w:jc w:val="both"/>
        <w:rPr>
          <w:spacing w:val="2"/>
        </w:rPr>
      </w:pPr>
      <w:r>
        <w:rPr>
          <w:b/>
          <w:spacing w:val="2"/>
        </w:rPr>
        <w:t>Le passage de l’enseignement maternel vers l’enseignement primaire n’est pas concerné</w:t>
      </w:r>
      <w:r>
        <w:rPr>
          <w:spacing w:val="2"/>
        </w:rPr>
        <w:t>.</w:t>
      </w:r>
    </w:p>
    <w:p>
      <w:pPr>
        <w:jc w:val="both"/>
        <w:rPr>
          <w:rFonts w:cs="Arial"/>
          <w:spacing w:val="2"/>
          <w:sz w:val="16"/>
          <w:szCs w:val="16"/>
        </w:rPr>
      </w:pPr>
    </w:p>
    <w:p>
      <w:pPr>
        <w:jc w:val="both"/>
        <w:rPr>
          <w:rFonts w:cs="Arial"/>
          <w:spacing w:val="2"/>
          <w:szCs w:val="22"/>
        </w:rPr>
      </w:pPr>
      <w:r>
        <w:rPr>
          <w:rFonts w:cs="Arial"/>
          <w:spacing w:val="2"/>
          <w:szCs w:val="22"/>
        </w:rPr>
        <w:t>On peut résumer ces principes de la manière suivante:</w:t>
      </w:r>
    </w:p>
    <w:p>
      <w:pPr>
        <w:jc w:val="both"/>
        <w:rPr>
          <w:rFonts w:cs="Arial"/>
          <w:spacing w:val="2"/>
          <w:sz w:val="16"/>
          <w:szCs w:val="16"/>
        </w:rPr>
      </w:pPr>
    </w:p>
    <w:tbl>
      <w:tblPr>
        <w:tblW w:w="9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8"/>
        <w:gridCol w:w="10"/>
        <w:gridCol w:w="1800"/>
        <w:gridCol w:w="720"/>
        <w:gridCol w:w="720"/>
        <w:gridCol w:w="720"/>
        <w:gridCol w:w="720"/>
        <w:gridCol w:w="720"/>
        <w:gridCol w:w="771"/>
      </w:tblGrid>
      <w:tr>
        <w:tc>
          <w:tcPr>
            <w:tcW w:w="3348" w:type="dxa"/>
            <w:gridSpan w:val="2"/>
          </w:tcPr>
          <w:p>
            <w:pPr>
              <w:jc w:val="both"/>
              <w:rPr>
                <w:rFonts w:cs="Arial"/>
                <w:spacing w:val="2"/>
                <w:szCs w:val="22"/>
              </w:rPr>
            </w:pPr>
          </w:p>
        </w:tc>
        <w:tc>
          <w:tcPr>
            <w:tcW w:w="1800" w:type="dxa"/>
          </w:tcPr>
          <w:p>
            <w:pPr>
              <w:jc w:val="both"/>
              <w:rPr>
                <w:rFonts w:cs="Arial"/>
                <w:spacing w:val="2"/>
                <w:szCs w:val="22"/>
              </w:rPr>
            </w:pPr>
            <w:r>
              <w:rPr>
                <w:rFonts w:cs="Arial"/>
                <w:spacing w:val="2"/>
                <w:szCs w:val="22"/>
              </w:rPr>
              <w:t>Enseignement maternel</w:t>
            </w:r>
          </w:p>
        </w:tc>
        <w:tc>
          <w:tcPr>
            <w:tcW w:w="4371" w:type="dxa"/>
            <w:gridSpan w:val="6"/>
          </w:tcPr>
          <w:p>
            <w:pPr>
              <w:jc w:val="both"/>
              <w:rPr>
                <w:rFonts w:cs="Arial"/>
                <w:spacing w:val="2"/>
                <w:szCs w:val="22"/>
              </w:rPr>
            </w:pPr>
            <w:r>
              <w:rPr>
                <w:rFonts w:cs="Arial"/>
                <w:spacing w:val="2"/>
                <w:szCs w:val="22"/>
              </w:rPr>
              <w:t>Enseignement primaire</w:t>
            </w:r>
          </w:p>
        </w:tc>
      </w:tr>
      <w:tr>
        <w:trPr>
          <w:cantSplit/>
        </w:trPr>
        <w:tc>
          <w:tcPr>
            <w:tcW w:w="3348" w:type="dxa"/>
            <w:gridSpan w:val="2"/>
            <w:vMerge w:val="restart"/>
          </w:tcPr>
          <w:p>
            <w:pPr>
              <w:jc w:val="both"/>
              <w:rPr>
                <w:rFonts w:cs="Arial"/>
                <w:spacing w:val="2"/>
                <w:szCs w:val="22"/>
              </w:rPr>
            </w:pPr>
          </w:p>
          <w:p>
            <w:pPr>
              <w:jc w:val="both"/>
              <w:rPr>
                <w:rFonts w:cs="Arial"/>
                <w:spacing w:val="2"/>
                <w:szCs w:val="22"/>
              </w:rPr>
            </w:pPr>
          </w:p>
          <w:p>
            <w:pPr>
              <w:jc w:val="both"/>
              <w:rPr>
                <w:rFonts w:cs="Arial"/>
                <w:spacing w:val="2"/>
                <w:szCs w:val="22"/>
              </w:rPr>
            </w:pPr>
            <w:r>
              <w:rPr>
                <w:rFonts w:cs="Arial"/>
                <w:spacing w:val="2"/>
                <w:szCs w:val="22"/>
              </w:rPr>
              <w:t xml:space="preserve">Changement libre jusqu’au 15 septembre </w:t>
            </w:r>
          </w:p>
        </w:tc>
        <w:tc>
          <w:tcPr>
            <w:tcW w:w="1800" w:type="dxa"/>
            <w:vMerge w:val="restart"/>
          </w:tcPr>
          <w:p>
            <w:pPr>
              <w:jc w:val="both"/>
              <w:rPr>
                <w:rFonts w:cs="Arial"/>
                <w:spacing w:val="2"/>
                <w:szCs w:val="22"/>
              </w:rPr>
            </w:pPr>
          </w:p>
          <w:p>
            <w:pPr>
              <w:jc w:val="both"/>
              <w:rPr>
                <w:rFonts w:cs="Arial"/>
                <w:spacing w:val="2"/>
                <w:szCs w:val="22"/>
              </w:rPr>
            </w:pPr>
          </w:p>
          <w:p>
            <w:pPr>
              <w:jc w:val="both"/>
              <w:rPr>
                <w:rFonts w:cs="Arial"/>
                <w:spacing w:val="2"/>
                <w:szCs w:val="22"/>
              </w:rPr>
            </w:pPr>
          </w:p>
          <w:p>
            <w:pPr>
              <w:jc w:val="both"/>
              <w:rPr>
                <w:rFonts w:cs="Arial"/>
                <w:spacing w:val="2"/>
                <w:szCs w:val="22"/>
              </w:rPr>
            </w:pPr>
            <w:r>
              <w:rPr>
                <w:rFonts w:cs="Arial"/>
                <w:spacing w:val="2"/>
                <w:szCs w:val="22"/>
              </w:rPr>
              <w:t>OUI</w:t>
            </w:r>
          </w:p>
        </w:tc>
        <w:tc>
          <w:tcPr>
            <w:tcW w:w="1440" w:type="dxa"/>
            <w:gridSpan w:val="2"/>
          </w:tcPr>
          <w:p>
            <w:pPr>
              <w:jc w:val="both"/>
              <w:rPr>
                <w:rFonts w:cs="Arial"/>
                <w:spacing w:val="2"/>
                <w:szCs w:val="22"/>
              </w:rPr>
            </w:pPr>
            <w:r>
              <w:rPr>
                <w:rFonts w:cs="Arial"/>
                <w:spacing w:val="2"/>
                <w:szCs w:val="22"/>
              </w:rPr>
              <w:t>Cycle</w:t>
            </w:r>
          </w:p>
        </w:tc>
        <w:tc>
          <w:tcPr>
            <w:tcW w:w="1440" w:type="dxa"/>
            <w:gridSpan w:val="2"/>
          </w:tcPr>
          <w:p>
            <w:pPr>
              <w:jc w:val="both"/>
              <w:rPr>
                <w:rFonts w:cs="Arial"/>
                <w:spacing w:val="2"/>
                <w:szCs w:val="22"/>
              </w:rPr>
            </w:pPr>
            <w:r>
              <w:rPr>
                <w:rFonts w:cs="Arial"/>
                <w:spacing w:val="2"/>
                <w:szCs w:val="22"/>
              </w:rPr>
              <w:t>Cycle</w:t>
            </w:r>
          </w:p>
        </w:tc>
        <w:tc>
          <w:tcPr>
            <w:tcW w:w="1491" w:type="dxa"/>
            <w:gridSpan w:val="2"/>
          </w:tcPr>
          <w:p>
            <w:pPr>
              <w:jc w:val="both"/>
              <w:rPr>
                <w:rFonts w:cs="Arial"/>
                <w:spacing w:val="2"/>
                <w:szCs w:val="22"/>
              </w:rPr>
            </w:pPr>
            <w:r>
              <w:rPr>
                <w:rFonts w:cs="Arial"/>
                <w:spacing w:val="2"/>
                <w:szCs w:val="22"/>
              </w:rPr>
              <w:t>Cycle</w:t>
            </w:r>
          </w:p>
        </w:tc>
      </w:tr>
      <w:tr>
        <w:trPr>
          <w:cantSplit/>
        </w:trPr>
        <w:tc>
          <w:tcPr>
            <w:tcW w:w="3348" w:type="dxa"/>
            <w:gridSpan w:val="2"/>
            <w:vMerge/>
          </w:tcPr>
          <w:p>
            <w:pPr>
              <w:jc w:val="both"/>
              <w:rPr>
                <w:rFonts w:cs="Arial"/>
                <w:spacing w:val="2"/>
                <w:szCs w:val="22"/>
              </w:rPr>
            </w:pPr>
          </w:p>
        </w:tc>
        <w:tc>
          <w:tcPr>
            <w:tcW w:w="1800" w:type="dxa"/>
            <w:vMerge/>
          </w:tcPr>
          <w:p>
            <w:pPr>
              <w:jc w:val="both"/>
              <w:rPr>
                <w:rFonts w:cs="Arial"/>
                <w:spacing w:val="2"/>
                <w:szCs w:val="22"/>
              </w:rPr>
            </w:pPr>
          </w:p>
        </w:tc>
        <w:tc>
          <w:tcPr>
            <w:tcW w:w="720" w:type="dxa"/>
          </w:tcPr>
          <w:p>
            <w:pPr>
              <w:jc w:val="both"/>
              <w:rPr>
                <w:rFonts w:cs="Arial"/>
                <w:spacing w:val="2"/>
                <w:szCs w:val="22"/>
              </w:rPr>
            </w:pPr>
            <w:r>
              <w:rPr>
                <w:rFonts w:cs="Arial"/>
                <w:spacing w:val="2"/>
                <w:szCs w:val="22"/>
              </w:rPr>
              <w:t>P1</w:t>
            </w:r>
          </w:p>
        </w:tc>
        <w:tc>
          <w:tcPr>
            <w:tcW w:w="720" w:type="dxa"/>
          </w:tcPr>
          <w:p>
            <w:pPr>
              <w:jc w:val="both"/>
              <w:rPr>
                <w:rFonts w:cs="Arial"/>
                <w:spacing w:val="2"/>
                <w:szCs w:val="22"/>
              </w:rPr>
            </w:pPr>
            <w:r>
              <w:rPr>
                <w:rFonts w:cs="Arial"/>
                <w:spacing w:val="2"/>
                <w:szCs w:val="22"/>
              </w:rPr>
              <w:t>P2</w:t>
            </w:r>
          </w:p>
        </w:tc>
        <w:tc>
          <w:tcPr>
            <w:tcW w:w="720" w:type="dxa"/>
          </w:tcPr>
          <w:p>
            <w:pPr>
              <w:jc w:val="both"/>
              <w:rPr>
                <w:rFonts w:cs="Arial"/>
                <w:spacing w:val="2"/>
                <w:szCs w:val="22"/>
              </w:rPr>
            </w:pPr>
            <w:r>
              <w:rPr>
                <w:rFonts w:cs="Arial"/>
                <w:spacing w:val="2"/>
                <w:szCs w:val="22"/>
              </w:rPr>
              <w:t>P3</w:t>
            </w:r>
          </w:p>
        </w:tc>
        <w:tc>
          <w:tcPr>
            <w:tcW w:w="720" w:type="dxa"/>
          </w:tcPr>
          <w:p>
            <w:pPr>
              <w:jc w:val="both"/>
              <w:rPr>
                <w:rFonts w:cs="Arial"/>
                <w:spacing w:val="2"/>
                <w:szCs w:val="22"/>
              </w:rPr>
            </w:pPr>
            <w:r>
              <w:rPr>
                <w:rFonts w:cs="Arial"/>
                <w:spacing w:val="2"/>
                <w:szCs w:val="22"/>
              </w:rPr>
              <w:t>P4</w:t>
            </w:r>
          </w:p>
        </w:tc>
        <w:tc>
          <w:tcPr>
            <w:tcW w:w="720" w:type="dxa"/>
          </w:tcPr>
          <w:p>
            <w:pPr>
              <w:jc w:val="both"/>
              <w:rPr>
                <w:rFonts w:cs="Arial"/>
                <w:spacing w:val="2"/>
                <w:szCs w:val="22"/>
              </w:rPr>
            </w:pPr>
            <w:r>
              <w:rPr>
                <w:rFonts w:cs="Arial"/>
                <w:spacing w:val="2"/>
                <w:szCs w:val="22"/>
              </w:rPr>
              <w:t>P5</w:t>
            </w:r>
          </w:p>
        </w:tc>
        <w:tc>
          <w:tcPr>
            <w:tcW w:w="771" w:type="dxa"/>
          </w:tcPr>
          <w:p>
            <w:pPr>
              <w:jc w:val="both"/>
              <w:rPr>
                <w:rFonts w:cs="Arial"/>
                <w:spacing w:val="2"/>
                <w:szCs w:val="22"/>
              </w:rPr>
            </w:pPr>
            <w:r>
              <w:rPr>
                <w:rFonts w:cs="Arial"/>
                <w:spacing w:val="2"/>
                <w:szCs w:val="22"/>
              </w:rPr>
              <w:t>P6</w:t>
            </w:r>
          </w:p>
        </w:tc>
      </w:tr>
      <w:tr>
        <w:trPr>
          <w:cantSplit/>
        </w:trPr>
        <w:tc>
          <w:tcPr>
            <w:tcW w:w="3348" w:type="dxa"/>
            <w:gridSpan w:val="2"/>
            <w:vMerge/>
            <w:tcBorders>
              <w:bottom w:val="single" w:sz="4" w:space="0" w:color="auto"/>
            </w:tcBorders>
          </w:tcPr>
          <w:p>
            <w:pPr>
              <w:jc w:val="both"/>
              <w:rPr>
                <w:rFonts w:cs="Arial"/>
                <w:spacing w:val="2"/>
                <w:szCs w:val="22"/>
              </w:rPr>
            </w:pPr>
          </w:p>
        </w:tc>
        <w:tc>
          <w:tcPr>
            <w:tcW w:w="1800" w:type="dxa"/>
            <w:vMerge/>
            <w:tcBorders>
              <w:bottom w:val="single" w:sz="4" w:space="0" w:color="auto"/>
            </w:tcBorders>
          </w:tcPr>
          <w:p>
            <w:pPr>
              <w:jc w:val="both"/>
              <w:rPr>
                <w:rFonts w:cs="Arial"/>
                <w:spacing w:val="2"/>
                <w:szCs w:val="22"/>
              </w:rPr>
            </w:pPr>
          </w:p>
        </w:tc>
        <w:tc>
          <w:tcPr>
            <w:tcW w:w="720" w:type="dxa"/>
          </w:tcPr>
          <w:p>
            <w:pPr>
              <w:jc w:val="both"/>
              <w:rPr>
                <w:rFonts w:cs="Arial"/>
                <w:spacing w:val="2"/>
                <w:szCs w:val="22"/>
              </w:rPr>
            </w:pPr>
          </w:p>
          <w:p>
            <w:pPr>
              <w:jc w:val="both"/>
              <w:rPr>
                <w:rFonts w:cs="Arial"/>
                <w:spacing w:val="2"/>
                <w:szCs w:val="22"/>
              </w:rPr>
            </w:pPr>
            <w:r>
              <w:rPr>
                <w:rFonts w:cs="Arial"/>
                <w:spacing w:val="2"/>
                <w:szCs w:val="22"/>
              </w:rPr>
              <w:t>OUI</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OUI</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OUI</w:t>
            </w:r>
          </w:p>
        </w:tc>
        <w:tc>
          <w:tcPr>
            <w:tcW w:w="771" w:type="dxa"/>
          </w:tcPr>
          <w:p>
            <w:pPr>
              <w:jc w:val="both"/>
              <w:rPr>
                <w:rFonts w:cs="Arial"/>
                <w:spacing w:val="2"/>
                <w:szCs w:val="22"/>
              </w:rPr>
            </w:pPr>
          </w:p>
          <w:p>
            <w:pPr>
              <w:jc w:val="both"/>
              <w:rPr>
                <w:rFonts w:cs="Arial"/>
                <w:spacing w:val="2"/>
                <w:szCs w:val="22"/>
              </w:rPr>
            </w:pPr>
            <w:r>
              <w:rPr>
                <w:rFonts w:cs="Arial"/>
                <w:spacing w:val="2"/>
                <w:szCs w:val="22"/>
              </w:rPr>
              <w:t>NON</w:t>
            </w:r>
          </w:p>
        </w:tc>
      </w:tr>
      <w:tr>
        <w:tc>
          <w:tcPr>
            <w:tcW w:w="3338" w:type="dxa"/>
            <w:tcBorders>
              <w:top w:val="single" w:sz="4" w:space="0" w:color="auto"/>
              <w:left w:val="nil"/>
              <w:bottom w:val="nil"/>
              <w:right w:val="nil"/>
            </w:tcBorders>
          </w:tcPr>
          <w:p>
            <w:pPr>
              <w:jc w:val="both"/>
              <w:rPr>
                <w:rFonts w:cs="Arial"/>
                <w:spacing w:val="2"/>
                <w:szCs w:val="22"/>
              </w:rPr>
            </w:pPr>
          </w:p>
        </w:tc>
        <w:tc>
          <w:tcPr>
            <w:tcW w:w="1810" w:type="dxa"/>
            <w:gridSpan w:val="2"/>
            <w:tcBorders>
              <w:top w:val="single" w:sz="4" w:space="0" w:color="auto"/>
              <w:left w:val="nil"/>
              <w:bottom w:val="nil"/>
              <w:right w:val="single" w:sz="4" w:space="0" w:color="auto"/>
            </w:tcBorders>
          </w:tcPr>
          <w:p>
            <w:pPr>
              <w:jc w:val="both"/>
              <w:rPr>
                <w:rFonts w:cs="Arial"/>
                <w:spacing w:val="2"/>
                <w:szCs w:val="22"/>
              </w:rPr>
            </w:pPr>
          </w:p>
        </w:tc>
        <w:tc>
          <w:tcPr>
            <w:tcW w:w="4371" w:type="dxa"/>
            <w:gridSpan w:val="6"/>
            <w:tcBorders>
              <w:left w:val="single" w:sz="4" w:space="0" w:color="auto"/>
              <w:bottom w:val="nil"/>
            </w:tcBorders>
          </w:tcPr>
          <w:p>
            <w:pPr>
              <w:jc w:val="both"/>
              <w:rPr>
                <w:rFonts w:cs="Arial"/>
                <w:spacing w:val="2"/>
                <w:szCs w:val="22"/>
              </w:rPr>
            </w:pPr>
            <w:r>
              <w:rPr>
                <w:rFonts w:cs="Arial"/>
                <w:spacing w:val="2"/>
                <w:szCs w:val="22"/>
              </w:rPr>
              <w:t>Année complémentaire (après la 1</w:t>
            </w:r>
            <w:r>
              <w:rPr>
                <w:rFonts w:cs="Arial"/>
                <w:spacing w:val="2"/>
                <w:szCs w:val="22"/>
                <w:vertAlign w:val="superscript"/>
              </w:rPr>
              <w:t>ère</w:t>
            </w:r>
            <w:r>
              <w:rPr>
                <w:rFonts w:cs="Arial"/>
                <w:spacing w:val="2"/>
                <w:szCs w:val="22"/>
              </w:rPr>
              <w:t xml:space="preserve"> ou la 2</w:t>
            </w:r>
            <w:r>
              <w:rPr>
                <w:rFonts w:cs="Arial"/>
                <w:spacing w:val="2"/>
                <w:szCs w:val="22"/>
                <w:vertAlign w:val="superscript"/>
              </w:rPr>
              <w:t>e</w:t>
            </w:r>
            <w:r>
              <w:rPr>
                <w:rFonts w:cs="Arial"/>
                <w:spacing w:val="2"/>
                <w:szCs w:val="22"/>
              </w:rPr>
              <w:t xml:space="preserve"> année du cycle)</w:t>
            </w:r>
          </w:p>
        </w:tc>
      </w:tr>
      <w:tr>
        <w:trPr>
          <w:cantSplit/>
        </w:trPr>
        <w:tc>
          <w:tcPr>
            <w:tcW w:w="3338" w:type="dxa"/>
            <w:vMerge w:val="restart"/>
            <w:tcBorders>
              <w:top w:val="nil"/>
              <w:left w:val="nil"/>
              <w:bottom w:val="nil"/>
              <w:right w:val="nil"/>
            </w:tcBorders>
          </w:tcPr>
          <w:p>
            <w:pPr>
              <w:jc w:val="both"/>
              <w:rPr>
                <w:rFonts w:cs="Arial"/>
                <w:spacing w:val="2"/>
                <w:szCs w:val="22"/>
              </w:rPr>
            </w:pPr>
          </w:p>
        </w:tc>
        <w:tc>
          <w:tcPr>
            <w:tcW w:w="1810" w:type="dxa"/>
            <w:gridSpan w:val="2"/>
            <w:vMerge w:val="restart"/>
            <w:tcBorders>
              <w:top w:val="nil"/>
              <w:left w:val="nil"/>
              <w:bottom w:val="nil"/>
              <w:right w:val="single" w:sz="4" w:space="0" w:color="auto"/>
            </w:tcBorders>
          </w:tcPr>
          <w:p>
            <w:pPr>
              <w:jc w:val="both"/>
              <w:rPr>
                <w:rFonts w:cs="Arial"/>
                <w:spacing w:val="2"/>
                <w:szCs w:val="22"/>
              </w:rPr>
            </w:pPr>
          </w:p>
        </w:tc>
        <w:tc>
          <w:tcPr>
            <w:tcW w:w="720" w:type="dxa"/>
            <w:tcBorders>
              <w:left w:val="single" w:sz="4" w:space="0" w:color="auto"/>
            </w:tcBorders>
          </w:tcPr>
          <w:p>
            <w:pPr>
              <w:jc w:val="both"/>
              <w:rPr>
                <w:rFonts w:cs="Arial"/>
                <w:spacing w:val="2"/>
                <w:szCs w:val="22"/>
              </w:rPr>
            </w:pPr>
            <w:r>
              <w:rPr>
                <w:rFonts w:cs="Arial"/>
                <w:spacing w:val="2"/>
                <w:szCs w:val="22"/>
              </w:rPr>
              <w:t>P1</w:t>
            </w:r>
          </w:p>
        </w:tc>
        <w:tc>
          <w:tcPr>
            <w:tcW w:w="720" w:type="dxa"/>
          </w:tcPr>
          <w:p>
            <w:pPr>
              <w:jc w:val="both"/>
              <w:rPr>
                <w:rFonts w:cs="Arial"/>
                <w:spacing w:val="2"/>
                <w:szCs w:val="22"/>
              </w:rPr>
            </w:pPr>
            <w:r>
              <w:rPr>
                <w:rFonts w:cs="Arial"/>
                <w:spacing w:val="2"/>
                <w:szCs w:val="22"/>
              </w:rPr>
              <w:t>P2</w:t>
            </w:r>
          </w:p>
        </w:tc>
        <w:tc>
          <w:tcPr>
            <w:tcW w:w="720" w:type="dxa"/>
          </w:tcPr>
          <w:p>
            <w:pPr>
              <w:jc w:val="both"/>
              <w:rPr>
                <w:rFonts w:cs="Arial"/>
                <w:spacing w:val="2"/>
                <w:szCs w:val="22"/>
              </w:rPr>
            </w:pPr>
            <w:r>
              <w:rPr>
                <w:rFonts w:cs="Arial"/>
                <w:spacing w:val="2"/>
                <w:szCs w:val="22"/>
              </w:rPr>
              <w:t>P3</w:t>
            </w:r>
          </w:p>
        </w:tc>
        <w:tc>
          <w:tcPr>
            <w:tcW w:w="720" w:type="dxa"/>
          </w:tcPr>
          <w:p>
            <w:pPr>
              <w:jc w:val="both"/>
              <w:rPr>
                <w:rFonts w:cs="Arial"/>
                <w:spacing w:val="2"/>
                <w:szCs w:val="22"/>
              </w:rPr>
            </w:pPr>
            <w:r>
              <w:rPr>
                <w:rFonts w:cs="Arial"/>
                <w:spacing w:val="2"/>
                <w:szCs w:val="22"/>
              </w:rPr>
              <w:t>P4</w:t>
            </w:r>
          </w:p>
        </w:tc>
        <w:tc>
          <w:tcPr>
            <w:tcW w:w="720" w:type="dxa"/>
          </w:tcPr>
          <w:p>
            <w:pPr>
              <w:jc w:val="both"/>
              <w:rPr>
                <w:rFonts w:cs="Arial"/>
                <w:spacing w:val="2"/>
                <w:szCs w:val="22"/>
              </w:rPr>
            </w:pPr>
            <w:r>
              <w:rPr>
                <w:rFonts w:cs="Arial"/>
                <w:spacing w:val="2"/>
                <w:szCs w:val="22"/>
              </w:rPr>
              <w:t>P5</w:t>
            </w:r>
          </w:p>
        </w:tc>
        <w:tc>
          <w:tcPr>
            <w:tcW w:w="771" w:type="dxa"/>
          </w:tcPr>
          <w:p>
            <w:pPr>
              <w:jc w:val="both"/>
              <w:rPr>
                <w:rFonts w:cs="Arial"/>
                <w:spacing w:val="2"/>
                <w:szCs w:val="22"/>
              </w:rPr>
            </w:pPr>
            <w:r>
              <w:rPr>
                <w:rFonts w:cs="Arial"/>
                <w:spacing w:val="2"/>
                <w:szCs w:val="22"/>
              </w:rPr>
              <w:t>P6</w:t>
            </w:r>
          </w:p>
        </w:tc>
      </w:tr>
      <w:tr>
        <w:trPr>
          <w:cantSplit/>
        </w:trPr>
        <w:tc>
          <w:tcPr>
            <w:tcW w:w="3338" w:type="dxa"/>
            <w:vMerge/>
            <w:tcBorders>
              <w:top w:val="nil"/>
              <w:left w:val="nil"/>
              <w:bottom w:val="nil"/>
              <w:right w:val="nil"/>
            </w:tcBorders>
          </w:tcPr>
          <w:p>
            <w:pPr>
              <w:jc w:val="both"/>
              <w:rPr>
                <w:rFonts w:cs="Arial"/>
                <w:spacing w:val="2"/>
                <w:szCs w:val="22"/>
              </w:rPr>
            </w:pPr>
          </w:p>
        </w:tc>
        <w:tc>
          <w:tcPr>
            <w:tcW w:w="1810" w:type="dxa"/>
            <w:gridSpan w:val="2"/>
            <w:vMerge/>
            <w:tcBorders>
              <w:top w:val="nil"/>
              <w:left w:val="nil"/>
              <w:bottom w:val="nil"/>
              <w:right w:val="single" w:sz="4" w:space="0" w:color="auto"/>
            </w:tcBorders>
          </w:tcPr>
          <w:p>
            <w:pPr>
              <w:jc w:val="both"/>
              <w:rPr>
                <w:rFonts w:cs="Arial"/>
                <w:spacing w:val="2"/>
                <w:szCs w:val="22"/>
              </w:rPr>
            </w:pPr>
          </w:p>
        </w:tc>
        <w:tc>
          <w:tcPr>
            <w:tcW w:w="720" w:type="dxa"/>
            <w:tcBorders>
              <w:left w:val="single" w:sz="4" w:space="0" w:color="auto"/>
            </w:tcBorders>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20" w:type="dxa"/>
          </w:tcPr>
          <w:p>
            <w:pPr>
              <w:jc w:val="both"/>
              <w:rPr>
                <w:rFonts w:cs="Arial"/>
                <w:spacing w:val="2"/>
                <w:szCs w:val="22"/>
              </w:rPr>
            </w:pPr>
          </w:p>
          <w:p>
            <w:pPr>
              <w:jc w:val="both"/>
              <w:rPr>
                <w:rFonts w:cs="Arial"/>
                <w:spacing w:val="2"/>
                <w:szCs w:val="22"/>
              </w:rPr>
            </w:pPr>
            <w:r>
              <w:rPr>
                <w:rFonts w:cs="Arial"/>
                <w:spacing w:val="2"/>
                <w:szCs w:val="22"/>
              </w:rPr>
              <w:t>NON</w:t>
            </w:r>
          </w:p>
        </w:tc>
        <w:tc>
          <w:tcPr>
            <w:tcW w:w="771" w:type="dxa"/>
          </w:tcPr>
          <w:p>
            <w:pPr>
              <w:jc w:val="both"/>
              <w:rPr>
                <w:rFonts w:cs="Arial"/>
                <w:spacing w:val="2"/>
                <w:szCs w:val="22"/>
              </w:rPr>
            </w:pPr>
          </w:p>
          <w:p>
            <w:pPr>
              <w:jc w:val="both"/>
              <w:rPr>
                <w:rFonts w:cs="Arial"/>
                <w:spacing w:val="2"/>
                <w:szCs w:val="22"/>
              </w:rPr>
            </w:pPr>
            <w:r>
              <w:rPr>
                <w:rFonts w:cs="Arial"/>
                <w:spacing w:val="2"/>
                <w:szCs w:val="22"/>
              </w:rPr>
              <w:t>NON</w:t>
            </w:r>
          </w:p>
        </w:tc>
      </w:tr>
    </w:tbl>
    <w:p>
      <w:pPr>
        <w:jc w:val="both"/>
        <w:rPr>
          <w:rFonts w:cs="Arial"/>
          <w:spacing w:val="2"/>
          <w:sz w:val="18"/>
          <w:szCs w:val="18"/>
        </w:rPr>
      </w:pPr>
    </w:p>
    <w:p>
      <w:pPr>
        <w:ind w:left="719" w:hanging="720"/>
        <w:jc w:val="both"/>
        <w:rPr>
          <w:rFonts w:cs="Arial"/>
          <w:b/>
          <w:spacing w:val="2"/>
          <w:sz w:val="20"/>
          <w:szCs w:val="20"/>
        </w:rPr>
      </w:pPr>
      <w:r>
        <w:rPr>
          <w:rFonts w:cs="Arial"/>
          <w:spacing w:val="2"/>
          <w:sz w:val="40"/>
          <w:szCs w:val="40"/>
        </w:rPr>
        <w:sym w:font="Webdings" w:char="F0EA"/>
      </w:r>
      <w:r>
        <w:rPr>
          <w:rFonts w:cs="Arial"/>
          <w:spacing w:val="2"/>
          <w:sz w:val="40"/>
          <w:szCs w:val="40"/>
        </w:rPr>
        <w:tab/>
      </w:r>
      <w:r>
        <w:rPr>
          <w:rFonts w:cs="Arial"/>
          <w:spacing w:val="2"/>
          <w:sz w:val="20"/>
          <w:szCs w:val="20"/>
        </w:rPr>
        <w:t>Toute direction qui accepte l’inscription d’un enfant en cours de cycle ou en cours d’année scolaire sans document de changement d’école mentionnant l’autorisation de l’école de départ ou de l’administration, ne sera pas autorisée à comptabiliser cet élève. (voir</w:t>
      </w:r>
      <w:r>
        <w:rPr>
          <w:rFonts w:cs="Arial"/>
          <w:b/>
          <w:spacing w:val="2"/>
          <w:sz w:val="20"/>
          <w:szCs w:val="20"/>
        </w:rPr>
        <w:t xml:space="preserve"> </w:t>
      </w:r>
      <w:hyperlink w:anchor="section2_4_2" w:history="1">
        <w:r>
          <w:rPr>
            <w:rStyle w:val="Lienhypertexte"/>
            <w:rFonts w:cs="Arial"/>
            <w:b/>
            <w:color w:val="auto"/>
            <w:spacing w:val="2"/>
            <w:sz w:val="20"/>
            <w:szCs w:val="20"/>
          </w:rPr>
          <w:t>section 2.4.2</w:t>
        </w:r>
      </w:hyperlink>
      <w:r>
        <w:rPr>
          <w:rFonts w:cs="Arial"/>
          <w:spacing w:val="2"/>
          <w:sz w:val="20"/>
          <w:szCs w:val="20"/>
        </w:rPr>
        <w:t>).</w:t>
      </w:r>
    </w:p>
    <w:p>
      <w:pPr>
        <w:ind w:left="707"/>
        <w:jc w:val="both"/>
        <w:rPr>
          <w:rFonts w:cs="Arial"/>
          <w:spacing w:val="2"/>
          <w:sz w:val="20"/>
          <w:szCs w:val="20"/>
          <w:u w:val="single"/>
        </w:rPr>
      </w:pPr>
      <w:r>
        <w:rPr>
          <w:rFonts w:cs="Arial"/>
          <w:spacing w:val="2"/>
          <w:sz w:val="20"/>
          <w:szCs w:val="20"/>
        </w:rPr>
        <w:t xml:space="preserve">Toute direction qui constate, à la rentrée, l’absence d’un élève se trouvant au sein d’un cycle dans son établissement devra prendre les contacts nécessaires auprès des parents. </w:t>
      </w:r>
      <w:r>
        <w:rPr>
          <w:rFonts w:cs="Arial"/>
          <w:spacing w:val="2"/>
          <w:sz w:val="20"/>
          <w:szCs w:val="20"/>
          <w:u w:val="single"/>
        </w:rPr>
        <w:t>L’absence injustifiée de l’élève ne permettra néanmoins pas à l’école d’origine de comptabiliser l’élève puisqu’il n’y aura pas eu de fréquentation scolaire.</w:t>
      </w:r>
    </w:p>
    <w:p>
      <w:pPr>
        <w:jc w:val="both"/>
        <w:rPr>
          <w:rFonts w:cs="Arial"/>
          <w:spacing w:val="2"/>
          <w:szCs w:val="22"/>
        </w:rPr>
      </w:pPr>
    </w:p>
    <w:p>
      <w:pPr>
        <w:pStyle w:val="Titre5"/>
      </w:pPr>
      <w:bookmarkStart w:id="425" w:name="_Toc295931975"/>
      <w:bookmarkStart w:id="426" w:name="_Toc423419985"/>
      <w:bookmarkStart w:id="427" w:name="_Toc450645192"/>
      <w:bookmarkStart w:id="428" w:name="_Toc453942428"/>
      <w:bookmarkStart w:id="429" w:name="_Toc454888045"/>
      <w:bookmarkStart w:id="430" w:name="_Toc486241707"/>
      <w:r>
        <w:t>2.4.1.2.3. Dérogations</w:t>
      </w:r>
      <w:bookmarkEnd w:id="425"/>
      <w:bookmarkEnd w:id="426"/>
      <w:bookmarkEnd w:id="427"/>
      <w:bookmarkEnd w:id="428"/>
      <w:bookmarkEnd w:id="429"/>
      <w:bookmarkEnd w:id="430"/>
    </w:p>
    <w:p>
      <w:pPr>
        <w:jc w:val="both"/>
        <w:rPr>
          <w:rFonts w:cs="Arial"/>
          <w:spacing w:val="2"/>
          <w:sz w:val="16"/>
          <w:szCs w:val="16"/>
        </w:rPr>
      </w:pPr>
    </w:p>
    <w:p>
      <w:pPr>
        <w:jc w:val="both"/>
        <w:rPr>
          <w:rFonts w:cs="Arial"/>
          <w:spacing w:val="2"/>
          <w:szCs w:val="22"/>
        </w:rPr>
      </w:pPr>
      <w:r>
        <w:rPr>
          <w:rFonts w:cs="Arial"/>
          <w:spacing w:val="2"/>
          <w:szCs w:val="22"/>
        </w:rPr>
        <w:t xml:space="preserve">Par </w:t>
      </w:r>
      <w:r>
        <w:rPr>
          <w:rFonts w:cs="Arial"/>
          <w:spacing w:val="2"/>
          <w:szCs w:val="22"/>
          <w:u w:val="single"/>
        </w:rPr>
        <w:t>exception</w:t>
      </w:r>
      <w:r>
        <w:rPr>
          <w:rFonts w:cs="Arial"/>
          <w:spacing w:val="2"/>
          <w:szCs w:val="22"/>
        </w:rPr>
        <w:t xml:space="preserve"> aux principes qui précèdent, un changement d’école est ou peut être autorisé à tout moment dans 2 séries de circonstances comme expliqué ci-dessous.</w:t>
      </w:r>
    </w:p>
    <w:p>
      <w:pPr>
        <w:jc w:val="both"/>
        <w:rPr>
          <w:rFonts w:cs="Arial"/>
          <w:spacing w:val="-4"/>
          <w:szCs w:val="22"/>
        </w:rPr>
      </w:pPr>
    </w:p>
    <w:p>
      <w:pPr>
        <w:pStyle w:val="Titre4"/>
      </w:pPr>
      <w:bookmarkStart w:id="431" w:name="_2.3.2._Motifs_pouvant"/>
      <w:bookmarkStart w:id="432" w:name="_Toc207192145"/>
      <w:bookmarkStart w:id="433" w:name="_Toc295931976"/>
      <w:bookmarkStart w:id="434" w:name="_Toc295913727"/>
      <w:bookmarkStart w:id="435" w:name="_Toc423419986"/>
      <w:bookmarkStart w:id="436" w:name="_Toc450645193"/>
      <w:bookmarkStart w:id="437" w:name="_Toc453942429"/>
      <w:bookmarkStart w:id="438" w:name="_Toc454888046"/>
      <w:bookmarkStart w:id="439" w:name="_Toc486241708"/>
      <w:bookmarkEnd w:id="431"/>
      <w:r>
        <w:t>2.4.1.3. Motifs pouvant justifier un changement</w:t>
      </w:r>
      <w:bookmarkEnd w:id="432"/>
      <w:r>
        <w:t>.</w:t>
      </w:r>
      <w:bookmarkEnd w:id="433"/>
      <w:bookmarkEnd w:id="434"/>
      <w:bookmarkEnd w:id="435"/>
      <w:bookmarkEnd w:id="436"/>
      <w:bookmarkEnd w:id="437"/>
      <w:bookmarkEnd w:id="438"/>
      <w:bookmarkEnd w:id="439"/>
    </w:p>
    <w:p>
      <w:pPr>
        <w:pStyle w:val="Corpsdetexte2"/>
        <w:rPr>
          <w:spacing w:val="2"/>
          <w:sz w:val="16"/>
          <w:szCs w:val="16"/>
        </w:rPr>
      </w:pPr>
    </w:p>
    <w:p>
      <w:pPr>
        <w:jc w:val="both"/>
        <w:rPr>
          <w:rFonts w:cs="Arial"/>
          <w:szCs w:val="22"/>
        </w:rPr>
      </w:pPr>
      <w:r>
        <w:rPr>
          <w:rFonts w:cs="Arial"/>
          <w:szCs w:val="22"/>
        </w:rPr>
        <w:t>Il faut distinguer 2 séries de motifs:</w:t>
      </w:r>
    </w:p>
    <w:p>
      <w:pPr>
        <w:numPr>
          <w:ilvl w:val="0"/>
          <w:numId w:val="40"/>
        </w:numPr>
        <w:ind w:left="719"/>
        <w:jc w:val="both"/>
        <w:rPr>
          <w:rFonts w:cs="Arial"/>
          <w:szCs w:val="22"/>
        </w:rPr>
      </w:pPr>
      <w:r>
        <w:rPr>
          <w:rFonts w:cs="Arial"/>
          <w:szCs w:val="22"/>
        </w:rPr>
        <w:t>ceux qui sont expressément et limitativement énumérés par le décret « Missions »;</w:t>
      </w:r>
    </w:p>
    <w:p>
      <w:pPr>
        <w:numPr>
          <w:ilvl w:val="0"/>
          <w:numId w:val="40"/>
        </w:numPr>
        <w:ind w:left="719"/>
        <w:jc w:val="both"/>
        <w:rPr>
          <w:rFonts w:cs="Arial"/>
          <w:szCs w:val="22"/>
        </w:rPr>
      </w:pPr>
      <w:r>
        <w:rPr>
          <w:rFonts w:cs="Arial"/>
          <w:szCs w:val="22"/>
        </w:rPr>
        <w:t>ceux qui relèvent du cas de force majeure ou de la nécessité absolue.</w:t>
      </w:r>
    </w:p>
    <w:p>
      <w:pPr>
        <w:jc w:val="both"/>
        <w:rPr>
          <w:szCs w:val="22"/>
        </w:rPr>
      </w:pPr>
    </w:p>
    <w:p>
      <w:pPr>
        <w:pStyle w:val="Titre5"/>
      </w:pPr>
      <w:bookmarkStart w:id="440" w:name="_2.3.2.1._Circonstances_"/>
      <w:bookmarkStart w:id="441" w:name="_2.3.1.3.1._Les_motifs"/>
      <w:bookmarkStart w:id="442" w:name="_2.4.1.3.1._Les_motifs"/>
      <w:bookmarkStart w:id="443" w:name="_Toc110930705"/>
      <w:bookmarkStart w:id="444" w:name="_Toc165786023"/>
      <w:bookmarkStart w:id="445" w:name="_Toc167618980"/>
      <w:bookmarkStart w:id="446" w:name="_Toc170010400"/>
      <w:bookmarkStart w:id="447" w:name="_Toc172713834"/>
      <w:bookmarkStart w:id="448" w:name="_Toc423419987"/>
      <w:bookmarkStart w:id="449" w:name="_Toc450645194"/>
      <w:bookmarkStart w:id="450" w:name="_Toc453942430"/>
      <w:bookmarkStart w:id="451" w:name="_Toc454888047"/>
      <w:bookmarkStart w:id="452" w:name="_Toc486241709"/>
      <w:bookmarkEnd w:id="440"/>
      <w:bookmarkEnd w:id="441"/>
      <w:bookmarkEnd w:id="442"/>
      <w:r>
        <w:t>2.4.1.3.1.</w:t>
      </w:r>
      <w:bookmarkEnd w:id="443"/>
      <w:bookmarkEnd w:id="444"/>
      <w:bookmarkEnd w:id="445"/>
      <w:bookmarkEnd w:id="446"/>
      <w:bookmarkEnd w:id="447"/>
      <w:r>
        <w:t xml:space="preserve"> Les motifs énumérés par le décret « Missions » (article 79, §4)</w:t>
      </w:r>
      <w:bookmarkEnd w:id="448"/>
      <w:bookmarkEnd w:id="449"/>
      <w:bookmarkEnd w:id="450"/>
      <w:bookmarkEnd w:id="451"/>
      <w:bookmarkEnd w:id="452"/>
    </w:p>
    <w:p>
      <w:pPr>
        <w:pStyle w:val="Corpsdetexte2"/>
        <w:rPr>
          <w:spacing w:val="2"/>
          <w:sz w:val="16"/>
        </w:rPr>
      </w:pPr>
    </w:p>
    <w:p>
      <w:pPr>
        <w:pStyle w:val="Corpsdetexte2"/>
        <w:rPr>
          <w:spacing w:val="2"/>
        </w:rPr>
      </w:pPr>
      <w:r>
        <w:rPr>
          <w:spacing w:val="2"/>
        </w:rPr>
        <w:t xml:space="preserve">Lorsqu'un changement d'école ou d’implantation à comptage séparé est demandé après le </w:t>
      </w:r>
      <w:r>
        <w:rPr>
          <w:spacing w:val="2"/>
        </w:rPr>
        <w:br/>
        <w:t xml:space="preserve">15 septembre ou en cours de cycle (niveau primaire uniquement) pour l’une des raisons énumérées ci-dessous, la procédure relève uniquement du </w:t>
      </w:r>
      <w:r>
        <w:rPr>
          <w:b/>
          <w:spacing w:val="2"/>
        </w:rPr>
        <w:t xml:space="preserve">directeur de l’école de départ </w:t>
      </w:r>
      <w:r>
        <w:rPr>
          <w:spacing w:val="2"/>
        </w:rPr>
        <w:t xml:space="preserve">qui pour autant que les raisons invoquées soient établies, ne dispose d’aucun pouvoir d’appréciation sur l’opportunité du changement et doit donc, </w:t>
      </w:r>
      <w:r>
        <w:rPr>
          <w:b/>
          <w:spacing w:val="2"/>
          <w:u w:val="single"/>
        </w:rPr>
        <w:t>le jour même</w:t>
      </w:r>
      <w:r>
        <w:rPr>
          <w:spacing w:val="2"/>
        </w:rPr>
        <w:t>, accorder le changement sollicité :</w:t>
      </w:r>
    </w:p>
    <w:p>
      <w:pPr>
        <w:jc w:val="both"/>
        <w:rPr>
          <w:spacing w:val="2"/>
          <w:sz w:val="12"/>
        </w:rPr>
      </w:pPr>
    </w:p>
    <w:p>
      <w:pPr>
        <w:pStyle w:val="Corpsdetexte2"/>
        <w:numPr>
          <w:ilvl w:val="0"/>
          <w:numId w:val="41"/>
        </w:numPr>
        <w:spacing w:after="20"/>
        <w:ind w:left="713" w:hanging="357"/>
      </w:pPr>
      <w:r>
        <w:t>le passage de l’élève d’une école à régime d’externat vers un internat et vice versa ;</w:t>
      </w:r>
    </w:p>
    <w:p>
      <w:pPr>
        <w:pStyle w:val="Corpsdetexte2"/>
        <w:numPr>
          <w:ilvl w:val="0"/>
          <w:numId w:val="41"/>
        </w:numPr>
        <w:spacing w:after="20"/>
        <w:ind w:left="713" w:hanging="357"/>
      </w:pPr>
      <w:r>
        <w:t>le changement répondant à une mesure de placement prise par un magistrat ou par un organisme agréé en exécution de la loi du 8 avril 1965 relative à la protection de la jeunesse ou répondant à une mesure d’aide prise dans le cadre du décret du 4 mars 1991 relatif à l’aide de la jeunesse (une copie de la décision de l’autorité ou de l’organisme agréé est jointe à la demande de changement d’école ou d’implantation);</w:t>
      </w:r>
    </w:p>
    <w:p>
      <w:pPr>
        <w:pStyle w:val="Corpsdetexte2"/>
        <w:numPr>
          <w:ilvl w:val="0"/>
          <w:numId w:val="41"/>
        </w:numPr>
        <w:spacing w:after="20"/>
        <w:ind w:left="713" w:hanging="357"/>
      </w:pPr>
      <w:r>
        <w:t>la suppression, après le 15 septembre, du service du restaurant ou de la cantine scolaire, d’un service de transport gratuit ou non, ou des garderies du matin et/ou du soir, si l’élève bénéficiait de l’un de ces services et si la nouvelle école lui offre ledit service;</w:t>
      </w:r>
    </w:p>
    <w:p>
      <w:pPr>
        <w:pStyle w:val="Corpsdetexte2"/>
        <w:numPr>
          <w:ilvl w:val="0"/>
          <w:numId w:val="41"/>
        </w:numPr>
        <w:spacing w:after="20"/>
        <w:ind w:left="713" w:hanging="357"/>
      </w:pPr>
      <w:r>
        <w:t>le changement de domicile (l’attestation par les services de l’état civil de la demande de domiciliation ou tout autre document attestant du changement de domicile est joint à la demande. La nouvelle adresse doit apparaître sur les formules de demande de changement d’école ou d’implantation);</w:t>
      </w:r>
    </w:p>
    <w:p>
      <w:pPr>
        <w:pStyle w:val="Corpsdetexte2"/>
        <w:numPr>
          <w:ilvl w:val="0"/>
          <w:numId w:val="41"/>
        </w:numPr>
        <w:spacing w:after="20"/>
        <w:ind w:left="713" w:hanging="357"/>
      </w:pPr>
      <w:r>
        <w:rPr>
          <w:spacing w:val="-2"/>
        </w:rPr>
        <w:t>l’accueil de l’élève, à l’initiative des parents, dans une autre famille ou dans un centre, pour raison de maladie, de voyage ou de séparation des parents;</w:t>
      </w:r>
    </w:p>
    <w:p>
      <w:pPr>
        <w:pStyle w:val="Corpsdetexte2"/>
        <w:numPr>
          <w:ilvl w:val="0"/>
          <w:numId w:val="41"/>
        </w:numPr>
        <w:spacing w:after="20"/>
        <w:ind w:left="713" w:hanging="357"/>
      </w:pPr>
      <w:r>
        <w:t>l’impossibilité pour la personne assurant effectivement et seule l’hébergement de l’élève de le maintenir dans l’école choisie au départ, en raison de l’acceptation ou de la perte d’un emploi (une attestation de l’employeur doit être jointe à la demande de changement d’école ou d’implantation);</w:t>
      </w:r>
    </w:p>
    <w:p>
      <w:pPr>
        <w:pStyle w:val="Corpsdetexte2"/>
        <w:numPr>
          <w:ilvl w:val="0"/>
          <w:numId w:val="41"/>
        </w:numPr>
        <w:spacing w:after="20"/>
        <w:ind w:left="713" w:hanging="357"/>
        <w:rPr>
          <w:spacing w:val="-2"/>
        </w:rPr>
      </w:pPr>
      <w:r>
        <w:rPr>
          <w:spacing w:val="-2"/>
        </w:rPr>
        <w:t>la séparation des parents entraînant un changement du lieu d’hébergement de l’élève </w:t>
      </w:r>
      <w:r>
        <w:t>(l’attestation par les services de l’état civil de la demande de domiciliation ou tout autre document attestant du changement de domicile est joint à la demande. La nouvelle adresse doit apparaître sur les formules de demande de changement d’école ou d’implantation);</w:t>
      </w:r>
    </w:p>
    <w:p>
      <w:pPr>
        <w:pStyle w:val="Corpsdetexte2"/>
        <w:numPr>
          <w:ilvl w:val="0"/>
          <w:numId w:val="41"/>
        </w:numPr>
        <w:spacing w:after="20"/>
        <w:ind w:left="713" w:hanging="357"/>
        <w:rPr>
          <w:spacing w:val="-2"/>
        </w:rPr>
      </w:pPr>
      <w:r>
        <w:rPr>
          <w:spacing w:val="-2"/>
        </w:rPr>
        <w:t>(l’exclusion définitive de l’élève): Dans ce cas-ci, le dossier d’exclusion remplace valablement le dossier de changement d’école: aucun document de changement d’école n’est donc à produire;</w:t>
      </w:r>
    </w:p>
    <w:p>
      <w:pPr>
        <w:pStyle w:val="Corpsdetexte2"/>
        <w:numPr>
          <w:ilvl w:val="0"/>
          <w:numId w:val="41"/>
        </w:numPr>
        <w:spacing w:after="20"/>
        <w:ind w:left="713" w:hanging="357"/>
        <w:rPr>
          <w:spacing w:val="-2"/>
        </w:rPr>
      </w:pPr>
      <w:r>
        <w:rPr>
          <w:spacing w:val="-2"/>
        </w:rPr>
        <w:t>en ce qui concerne l’enseignement primaire, la non organisation au sein de l’école ou de l’implantation d’origine de l’année d’études que doit fréquenter l’élève.</w:t>
      </w:r>
    </w:p>
    <w:p>
      <w:pPr>
        <w:pStyle w:val="Corpsdetexte2"/>
        <w:rPr>
          <w:spacing w:val="-2"/>
          <w:sz w:val="16"/>
          <w:szCs w:val="16"/>
        </w:rPr>
      </w:pPr>
    </w:p>
    <w:p>
      <w:pPr>
        <w:pStyle w:val="Corpsdetexte2"/>
        <w:rPr>
          <w:spacing w:val="-4"/>
          <w:szCs w:val="22"/>
        </w:rPr>
      </w:pPr>
      <w:r>
        <w:rPr>
          <w:b/>
          <w:spacing w:val="-4"/>
          <w:szCs w:val="22"/>
        </w:rPr>
        <w:t>Lorsqu’une de ces circonstances autorise le changement d’école pour un élève, l’autorisation peut aussi valoir pour ses frères et sœurs ou pour tout autre mineur vivant sous le même toit.</w:t>
      </w:r>
    </w:p>
    <w:p>
      <w:pPr>
        <w:jc w:val="both"/>
      </w:pPr>
    </w:p>
    <w:p>
      <w:pPr>
        <w:pStyle w:val="Titre5"/>
      </w:pPr>
      <w:bookmarkStart w:id="453" w:name="_2.3.2.2._Raisons_liées"/>
      <w:bookmarkStart w:id="454" w:name="_2.3.1.3.1._Raisons_liées"/>
      <w:bookmarkStart w:id="455" w:name="_2.3.1.3.2._Raisons_liées"/>
      <w:bookmarkStart w:id="456" w:name="_2.4.1.3.2._Raisons_liées"/>
      <w:bookmarkStart w:id="457" w:name="section2_4_1_3_2"/>
      <w:bookmarkStart w:id="458" w:name="_Toc423419988"/>
      <w:bookmarkStart w:id="459" w:name="_Toc450645195"/>
      <w:bookmarkStart w:id="460" w:name="_Toc453942431"/>
      <w:bookmarkStart w:id="461" w:name="_Toc454888048"/>
      <w:bookmarkStart w:id="462" w:name="_Toc486241710"/>
      <w:bookmarkEnd w:id="453"/>
      <w:bookmarkEnd w:id="454"/>
      <w:bookmarkEnd w:id="455"/>
      <w:bookmarkEnd w:id="456"/>
      <w:r>
        <w:t xml:space="preserve">2.4.1.3.2. </w:t>
      </w:r>
      <w:bookmarkEnd w:id="457"/>
      <w:r>
        <w:t>Raisons liées à la force majeure ou à la nécessité absolue</w:t>
      </w:r>
      <w:bookmarkEnd w:id="458"/>
      <w:bookmarkEnd w:id="459"/>
      <w:bookmarkEnd w:id="460"/>
      <w:bookmarkEnd w:id="461"/>
      <w:bookmarkEnd w:id="462"/>
    </w:p>
    <w:p>
      <w:pPr>
        <w:pStyle w:val="Corpsdetexte2"/>
        <w:rPr>
          <w:spacing w:val="2"/>
          <w:sz w:val="16"/>
        </w:rPr>
      </w:pPr>
    </w:p>
    <w:p>
      <w:pPr>
        <w:pStyle w:val="Corpsdetexte2"/>
        <w:rPr>
          <w:spacing w:val="-2"/>
          <w:szCs w:val="22"/>
        </w:rPr>
      </w:pPr>
      <w:r>
        <w:rPr>
          <w:spacing w:val="-2"/>
          <w:szCs w:val="22"/>
        </w:rPr>
        <w:t xml:space="preserve">Lorsqu'un changement d'école ou d’implantation à comptage séparé est demandé après le </w:t>
      </w:r>
      <w:r>
        <w:rPr>
          <w:spacing w:val="-2"/>
          <w:szCs w:val="22"/>
        </w:rPr>
        <w:br/>
        <w:t xml:space="preserve">15 septembre ou en cours de cycle (niveau primaire uniquement) pour des raisons liées à la force majeure ou à la nécessité absolue et dans l’intérêt de l’élève, </w:t>
      </w:r>
      <w:r>
        <w:rPr>
          <w:spacing w:val="-2"/>
          <w:szCs w:val="22"/>
          <w:u w:val="single"/>
        </w:rPr>
        <w:t>la procédure relève, en premier lieu, du directeur de l’école fréquentée par l’élève. Elle nécessite l'intervention du service de l’Inspection de l’enseignement fondamental ordinaire uniquement en cas d’avis défavorable du directeur</w:t>
      </w:r>
      <w:r>
        <w:rPr>
          <w:spacing w:val="-2"/>
          <w:szCs w:val="22"/>
        </w:rPr>
        <w:t>.</w:t>
      </w:r>
    </w:p>
    <w:p>
      <w:pPr>
        <w:pStyle w:val="Corpsdetexte2"/>
        <w:rPr>
          <w:sz w:val="16"/>
          <w:szCs w:val="22"/>
        </w:rPr>
      </w:pPr>
    </w:p>
    <w:p>
      <w:pPr>
        <w:jc w:val="both"/>
        <w:rPr>
          <w:rFonts w:cs="Arial"/>
          <w:szCs w:val="22"/>
        </w:rPr>
      </w:pPr>
      <w:r>
        <w:rPr>
          <w:rFonts w:cs="Arial"/>
          <w:szCs w:val="22"/>
        </w:rPr>
        <w:t>On relèvera que le décret précise qu’ « </w:t>
      </w:r>
      <w:r>
        <w:rPr>
          <w:rFonts w:cs="Arial"/>
          <w:i/>
          <w:szCs w:val="22"/>
        </w:rPr>
        <w:t xml:space="preserve">on entend </w:t>
      </w:r>
      <w:r>
        <w:rPr>
          <w:rFonts w:cs="Arial"/>
          <w:b/>
          <w:i/>
          <w:szCs w:val="22"/>
          <w:u w:val="single"/>
        </w:rPr>
        <w:t>notamment</w:t>
      </w:r>
      <w:r>
        <w:rPr>
          <w:rFonts w:cs="Arial"/>
          <w:i/>
          <w:szCs w:val="22"/>
        </w:rPr>
        <w:t xml:space="preserve"> par nécessité absolue […] les cas où l'élève se trouve dans une situation de difficultés psychologique ou pédagogique telle qu'un changement d'établissement s'avère nécessaire</w:t>
      </w:r>
      <w:r>
        <w:rPr>
          <w:rFonts w:cs="Arial"/>
          <w:szCs w:val="22"/>
        </w:rPr>
        <w:t> ».</w:t>
      </w:r>
    </w:p>
    <w:p>
      <w:pPr>
        <w:pStyle w:val="Corpsdetexte2"/>
        <w:rPr>
          <w:sz w:val="16"/>
          <w:szCs w:val="22"/>
        </w:rPr>
      </w:pPr>
    </w:p>
    <w:p>
      <w:pPr>
        <w:pStyle w:val="Corpsdetexte2"/>
        <w:rPr>
          <w:b/>
          <w:spacing w:val="-4"/>
          <w:szCs w:val="22"/>
        </w:rPr>
      </w:pPr>
      <w:r>
        <w:rPr>
          <w:b/>
          <w:spacing w:val="-4"/>
          <w:szCs w:val="22"/>
        </w:rPr>
        <w:t xml:space="preserve">a) Si après audition des parents ou de la personne investie de l’autorité parentale, </w:t>
      </w:r>
      <w:r>
        <w:rPr>
          <w:b/>
          <w:spacing w:val="-4"/>
          <w:szCs w:val="22"/>
          <w:u w:val="single"/>
        </w:rPr>
        <w:t>l’avis du directeur d’école est favorable, le changement d’établissement est autorisé</w:t>
      </w:r>
      <w:r>
        <w:rPr>
          <w:b/>
          <w:spacing w:val="-4"/>
          <w:szCs w:val="22"/>
        </w:rPr>
        <w:t xml:space="preserve">. </w:t>
      </w:r>
    </w:p>
    <w:p>
      <w:pPr>
        <w:pStyle w:val="Corpsdetexte2"/>
        <w:rPr>
          <w:b/>
          <w:spacing w:val="-4"/>
          <w:szCs w:val="22"/>
        </w:rPr>
      </w:pPr>
    </w:p>
    <w:p>
      <w:pPr>
        <w:pStyle w:val="Corpsdetexte2"/>
        <w:rPr>
          <w:spacing w:val="-4"/>
          <w:szCs w:val="22"/>
        </w:rPr>
      </w:pPr>
      <w:r>
        <w:rPr>
          <w:spacing w:val="-4"/>
          <w:szCs w:val="22"/>
        </w:rPr>
        <w:t>Il est à noter que l’audition des parents ou de la personne investie de l’autorité parentale est obligatoire et doit être retranscrite dans un procès-verbal signé par les différentes parties</w:t>
      </w:r>
      <w:r>
        <w:rPr>
          <w:b/>
          <w:spacing w:val="-4"/>
          <w:szCs w:val="22"/>
        </w:rPr>
        <w:t xml:space="preserve">. </w:t>
      </w:r>
      <w:r>
        <w:rPr>
          <w:spacing w:val="-4"/>
          <w:szCs w:val="22"/>
        </w:rPr>
        <w:t>(</w:t>
      </w:r>
      <w:hyperlink w:anchor="Annexe_24D" w:history="1">
        <w:r>
          <w:rPr>
            <w:rStyle w:val="Lienhypertexte"/>
            <w:color w:val="auto"/>
            <w:spacing w:val="-4"/>
            <w:szCs w:val="22"/>
          </w:rPr>
          <w:t>Annexe 2.4.D</w:t>
        </w:r>
      </w:hyperlink>
      <w:r>
        <w:rPr>
          <w:spacing w:val="-4"/>
          <w:szCs w:val="22"/>
        </w:rPr>
        <w:t>)</w:t>
      </w:r>
    </w:p>
    <w:p>
      <w:pPr>
        <w:pStyle w:val="Corpsdetexte2"/>
        <w:rPr>
          <w:spacing w:val="-4"/>
          <w:szCs w:val="22"/>
        </w:rPr>
      </w:pPr>
    </w:p>
    <w:p>
      <w:pPr>
        <w:pStyle w:val="Corpsdetexte2"/>
        <w:rPr>
          <w:spacing w:val="-4"/>
          <w:szCs w:val="22"/>
        </w:rPr>
      </w:pPr>
    </w:p>
    <w:p>
      <w:pPr>
        <w:jc w:val="both"/>
        <w:rPr>
          <w:rFonts w:cs="Arial"/>
          <w:szCs w:val="22"/>
        </w:rPr>
      </w:pPr>
      <w:r>
        <w:rPr>
          <w:rFonts w:cs="Arial"/>
          <w:szCs w:val="22"/>
        </w:rPr>
        <w:t xml:space="preserve">b) Si l’avis du directeur d’école est </w:t>
      </w:r>
      <w:r>
        <w:rPr>
          <w:rFonts w:cs="Arial"/>
          <w:b/>
          <w:szCs w:val="22"/>
          <w:u w:val="single"/>
        </w:rPr>
        <w:t>défavorable</w:t>
      </w:r>
      <w:r>
        <w:rPr>
          <w:rFonts w:cs="Arial"/>
          <w:szCs w:val="22"/>
        </w:rPr>
        <w:t>, il transmet le dossier dans les 3 jours ouvrables au :</w:t>
      </w:r>
    </w:p>
    <w:p>
      <w:pPr>
        <w:jc w:val="center"/>
      </w:pPr>
    </w:p>
    <w:p>
      <w:pPr>
        <w:jc w:val="center"/>
      </w:pPr>
    </w:p>
    <w:p>
      <w:pPr>
        <w:pBdr>
          <w:top w:val="single" w:sz="4" w:space="1" w:color="auto"/>
          <w:left w:val="single" w:sz="4" w:space="4" w:color="auto"/>
          <w:bottom w:val="single" w:sz="4" w:space="1" w:color="auto"/>
          <w:right w:val="single" w:sz="4" w:space="4" w:color="auto"/>
        </w:pBdr>
        <w:jc w:val="center"/>
      </w:pPr>
    </w:p>
    <w:p>
      <w:pPr>
        <w:pBdr>
          <w:top w:val="single" w:sz="4" w:space="1" w:color="auto"/>
          <w:left w:val="single" w:sz="4" w:space="4" w:color="auto"/>
          <w:bottom w:val="single" w:sz="4" w:space="1" w:color="auto"/>
          <w:right w:val="single" w:sz="4" w:space="4" w:color="auto"/>
        </w:pBdr>
        <w:jc w:val="center"/>
      </w:pPr>
      <w:r>
        <w:t>Service de l’Inspection de l’enseignement fondamental ordinaire</w:t>
      </w:r>
      <w:r>
        <w:br/>
        <w:t>City Center I, boulevard du Jardin Botanique 20-22</w:t>
      </w:r>
      <w:r>
        <w:br/>
        <w:t>1000 BRUXELLES.</w:t>
      </w:r>
      <w:r>
        <w:br/>
      </w:r>
      <w:r>
        <w:sym w:font="Wingdings" w:char="F028"/>
      </w:r>
      <w:r>
        <w:t xml:space="preserve"> 02/690.80.75</w:t>
      </w:r>
    </w:p>
    <w:p>
      <w:pPr>
        <w:pBdr>
          <w:top w:val="single" w:sz="4" w:space="1" w:color="auto"/>
          <w:left w:val="single" w:sz="4" w:space="4" w:color="auto"/>
          <w:bottom w:val="single" w:sz="4" w:space="1" w:color="auto"/>
          <w:right w:val="single" w:sz="4" w:space="4" w:color="auto"/>
        </w:pBdr>
        <w:jc w:val="center"/>
        <w:rPr>
          <w:rFonts w:cs="Arial"/>
          <w:szCs w:val="22"/>
        </w:rPr>
      </w:pPr>
      <w:r>
        <w:rPr>
          <w:lang w:val="en-GB"/>
        </w:rPr>
        <w:sym w:font="Webdings" w:char="F0CA"/>
      </w:r>
      <w:r>
        <w:t xml:space="preserve"> 02/690.80.91</w:t>
      </w:r>
    </w:p>
    <w:p>
      <w:pPr>
        <w:jc w:val="both"/>
        <w:rPr>
          <w:rFonts w:cs="Arial"/>
          <w:szCs w:val="22"/>
        </w:rPr>
      </w:pPr>
      <w:r>
        <w:rPr>
          <w:rFonts w:cs="Arial"/>
          <w:szCs w:val="22"/>
        </w:rPr>
        <w:t>Celui-ci devra alors entendre les parents et émettre un avis motivé dans les 10 jours ouvrables de la réception de la demande.</w:t>
      </w:r>
    </w:p>
    <w:p>
      <w:pPr>
        <w:jc w:val="both"/>
        <w:rPr>
          <w:rFonts w:cs="Arial"/>
          <w:szCs w:val="22"/>
        </w:rPr>
      </w:pPr>
    </w:p>
    <w:p>
      <w:pPr>
        <w:jc w:val="both"/>
        <w:rPr>
          <w:rFonts w:cs="Arial"/>
          <w:szCs w:val="22"/>
        </w:rPr>
      </w:pPr>
      <w:r>
        <w:rPr>
          <w:rFonts w:cs="Arial"/>
          <w:szCs w:val="22"/>
        </w:rPr>
        <w:t>Si son avis n’est pas rendu dans ce délai, il est considéré comme favorable.</w:t>
      </w:r>
    </w:p>
    <w:p>
      <w:pPr>
        <w:jc w:val="both"/>
        <w:rPr>
          <w:rFonts w:cs="Arial"/>
          <w:szCs w:val="22"/>
        </w:rPr>
      </w:pPr>
    </w:p>
    <w:p>
      <w:pPr>
        <w:jc w:val="both"/>
        <w:rPr>
          <w:rFonts w:cs="Arial"/>
          <w:szCs w:val="22"/>
        </w:rPr>
      </w:pPr>
      <w:r>
        <w:rPr>
          <w:rFonts w:cs="Arial"/>
          <w:szCs w:val="22"/>
        </w:rPr>
        <w:t xml:space="preserve">La demande, accompagnée des avis motivés du directeur d’école et du service de l’Inspection de l’enseignement fondamental ordinaire, est ensuite transmise à </w:t>
      </w: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 qui dispose pour statuer d’un délai de 10 jours ouvrables à partir de la réception de la demande transmise par le service de l’Inspection de l’enseignement fondamental ordinaire. A défaut de décision dans ce délai, le changement est autorisé.</w:t>
      </w:r>
    </w:p>
    <w:p>
      <w:pPr>
        <w:jc w:val="both"/>
        <w:rPr>
          <w:rFonts w:cs="Arial"/>
          <w:sz w:val="12"/>
          <w:szCs w:val="12"/>
        </w:rPr>
      </w:pPr>
    </w:p>
    <w:p>
      <w:pPr>
        <w:jc w:val="both"/>
        <w:rPr>
          <w:rFonts w:cs="Arial"/>
          <w:szCs w:val="22"/>
        </w:rPr>
      </w:pPr>
      <w:r>
        <w:rPr>
          <w:rFonts w:cs="Arial"/>
          <w:szCs w:val="22"/>
        </w:rPr>
        <w:br w:type="page"/>
        <w:t xml:space="preserve">On peut donc schématiser la procédure de changement d’école </w:t>
      </w:r>
      <w:r>
        <w:rPr>
          <w:rFonts w:cs="Arial"/>
          <w:b/>
          <w:szCs w:val="22"/>
        </w:rPr>
        <w:t>en cas de force majeure ou de nécessité absolue</w:t>
      </w:r>
      <w:r>
        <w:rPr>
          <w:rFonts w:cs="Arial"/>
          <w:szCs w:val="22"/>
        </w:rPr>
        <w:t xml:space="preserve"> de la manière suivante:</w:t>
      </w:r>
    </w:p>
    <w:p>
      <w:pPr>
        <w:jc w:val="both"/>
        <w:rPr>
          <w:rFonts w:cs="Arial"/>
          <w:szCs w:val="22"/>
        </w:rPr>
      </w:pPr>
    </w:p>
    <w:p>
      <w:pPr>
        <w:jc w:val="both"/>
        <w:rPr>
          <w:rFonts w:cs="Arial"/>
          <w:sz w:val="12"/>
          <w:szCs w:val="12"/>
        </w:rPr>
      </w:pPr>
      <w:r>
        <w:rPr>
          <w:noProof/>
          <w:sz w:val="28"/>
          <w:lang w:val="fr-BE" w:eastAsia="fr-BE"/>
        </w:rPr>
        <mc:AlternateContent>
          <mc:Choice Requires="wpc">
            <w:drawing>
              <wp:inline distT="0" distB="0" distL="0" distR="0">
                <wp:extent cx="6172200" cy="6972300"/>
                <wp:effectExtent l="0" t="12700" r="4445" b="0"/>
                <wp:docPr id="59" name="Zone de dessin 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0" name="Rectangle 50"/>
                        <wps:cNvSpPr>
                          <a:spLocks noChangeArrowheads="1"/>
                        </wps:cNvSpPr>
                        <wps:spPr bwMode="auto">
                          <a:xfrm>
                            <a:off x="1485900" y="0"/>
                            <a:ext cx="2743200" cy="4572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Demande des parents ou de la personne investie de l’autorité parentale</w:t>
                              </w:r>
                            </w:p>
                          </w:txbxContent>
                        </wps:txbx>
                        <wps:bodyPr rot="0" vert="horz" wrap="square" lIns="91440" tIns="45720" rIns="91440" bIns="45720" anchor="t" anchorCtr="0" upright="1">
                          <a:noAutofit/>
                        </wps:bodyPr>
                      </wps:wsp>
                      <wps:wsp>
                        <wps:cNvPr id="31" name="Rectangle 51"/>
                        <wps:cNvSpPr>
                          <a:spLocks noChangeArrowheads="1"/>
                        </wps:cNvSpPr>
                        <wps:spPr bwMode="auto">
                          <a:xfrm>
                            <a:off x="1485900" y="685800"/>
                            <a:ext cx="2743200" cy="342900"/>
                          </a:xfrm>
                          <a:prstGeom prst="rect">
                            <a:avLst/>
                          </a:prstGeom>
                          <a:solidFill>
                            <a:srgbClr val="FFFFFF"/>
                          </a:solidFill>
                          <a:ln w="9525">
                            <a:solidFill>
                              <a:srgbClr val="000000"/>
                            </a:solidFill>
                            <a:miter lim="800000"/>
                            <a:headEnd/>
                            <a:tailEnd/>
                          </a:ln>
                        </wps:spPr>
                        <wps:txbx>
                          <w:txbxContent>
                            <w:p>
                              <w:pPr>
                                <w:jc w:val="center"/>
                                <w:rPr>
                                  <w:lang w:val="fr-BE"/>
                                </w:rPr>
                              </w:pPr>
                              <w:r>
                                <w:rPr>
                                  <w:u w:val="single"/>
                                  <w:lang w:val="fr-BE"/>
                                </w:rPr>
                                <w:t>Audition</w:t>
                              </w:r>
                              <w:r>
                                <w:rPr>
                                  <w:lang w:val="fr-BE"/>
                                </w:rPr>
                                <w:t xml:space="preserve"> par le chef d’établissement</w:t>
                              </w:r>
                            </w:p>
                          </w:txbxContent>
                        </wps:txbx>
                        <wps:bodyPr rot="0" vert="horz" wrap="square" lIns="91440" tIns="45720" rIns="91440" bIns="45720" anchor="t" anchorCtr="0" upright="1">
                          <a:noAutofit/>
                        </wps:bodyPr>
                      </wps:wsp>
                      <wps:wsp>
                        <wps:cNvPr id="32" name="Rectangle 52"/>
                        <wps:cNvSpPr>
                          <a:spLocks noChangeArrowheads="1"/>
                        </wps:cNvSpPr>
                        <wps:spPr bwMode="auto">
                          <a:xfrm>
                            <a:off x="1714500" y="1257300"/>
                            <a:ext cx="2057400" cy="3429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Avis du chef d’établissement</w:t>
                              </w:r>
                            </w:p>
                          </w:txbxContent>
                        </wps:txbx>
                        <wps:bodyPr rot="0" vert="horz" wrap="square" lIns="91440" tIns="45720" rIns="91440" bIns="45720" anchor="t" anchorCtr="0" upright="1">
                          <a:noAutofit/>
                        </wps:bodyPr>
                      </wps:wsp>
                      <wps:wsp>
                        <wps:cNvPr id="33" name="Rectangle 53"/>
                        <wps:cNvSpPr>
                          <a:spLocks noChangeArrowheads="1"/>
                        </wps:cNvSpPr>
                        <wps:spPr bwMode="auto">
                          <a:xfrm>
                            <a:off x="342900" y="1828800"/>
                            <a:ext cx="1371600" cy="3429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Favorable</w:t>
                              </w:r>
                            </w:p>
                          </w:txbxContent>
                        </wps:txbx>
                        <wps:bodyPr rot="0" vert="horz" wrap="square" lIns="91440" tIns="45720" rIns="91440" bIns="45720" anchor="t" anchorCtr="0" upright="1">
                          <a:noAutofit/>
                        </wps:bodyPr>
                      </wps:wsp>
                      <wps:wsp>
                        <wps:cNvPr id="34" name="Rectangle 54"/>
                        <wps:cNvSpPr>
                          <a:spLocks noChangeArrowheads="1"/>
                        </wps:cNvSpPr>
                        <wps:spPr bwMode="auto">
                          <a:xfrm>
                            <a:off x="3429000" y="1828800"/>
                            <a:ext cx="1485900" cy="3429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Défavorable</w:t>
                              </w:r>
                            </w:p>
                          </w:txbxContent>
                        </wps:txbx>
                        <wps:bodyPr rot="0" vert="horz" wrap="square" lIns="91440" tIns="45720" rIns="91440" bIns="45720" anchor="t" anchorCtr="0" upright="1">
                          <a:noAutofit/>
                        </wps:bodyPr>
                      </wps:wsp>
                      <wps:wsp>
                        <wps:cNvPr id="35" name="Rectangle 55"/>
                        <wps:cNvSpPr>
                          <a:spLocks noChangeArrowheads="1"/>
                        </wps:cNvSpPr>
                        <wps:spPr bwMode="auto">
                          <a:xfrm>
                            <a:off x="457200" y="2514600"/>
                            <a:ext cx="1252538" cy="457200"/>
                          </a:xfrm>
                          <a:prstGeom prst="rect">
                            <a:avLst/>
                          </a:prstGeom>
                          <a:solidFill>
                            <a:srgbClr val="FFFFFF"/>
                          </a:solidFill>
                          <a:ln w="9525">
                            <a:solidFill>
                              <a:srgbClr val="000000"/>
                            </a:solidFill>
                            <a:miter lim="800000"/>
                            <a:headEnd/>
                            <a:tailEnd/>
                          </a:ln>
                        </wps:spPr>
                        <wps:txbx>
                          <w:txbxContent>
                            <w:p>
                              <w:pPr>
                                <w:jc w:val="center"/>
                                <w:rPr>
                                  <w:b/>
                                  <w:lang w:val="fr-BE"/>
                                </w:rPr>
                              </w:pPr>
                              <w:r>
                                <w:rPr>
                                  <w:b/>
                                  <w:lang w:val="fr-BE"/>
                                </w:rPr>
                                <w:t>Changement autorisé</w:t>
                              </w:r>
                            </w:p>
                          </w:txbxContent>
                        </wps:txbx>
                        <wps:bodyPr rot="0" vert="horz" wrap="square" lIns="91440" tIns="45720" rIns="91440" bIns="45720" anchor="t" anchorCtr="0" upright="1">
                          <a:noAutofit/>
                        </wps:bodyPr>
                      </wps:wsp>
                      <wps:wsp>
                        <wps:cNvPr id="36" name="Rectangle 56"/>
                        <wps:cNvSpPr>
                          <a:spLocks noChangeArrowheads="1"/>
                        </wps:cNvSpPr>
                        <wps:spPr bwMode="auto">
                          <a:xfrm>
                            <a:off x="2400300" y="2514600"/>
                            <a:ext cx="3086100" cy="8001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 xml:space="preserve">Avis motivé transmis au service de l’Inspection de l’enseignement fondamental dans les </w:t>
                              </w:r>
                              <w:r>
                                <w:rPr>
                                  <w:lang w:val="fr-BE"/>
                                </w:rPr>
                                <w:br/>
                                <w:t xml:space="preserve">3 jours ouvrables de la réception de la demande </w:t>
                              </w:r>
                            </w:p>
                          </w:txbxContent>
                        </wps:txbx>
                        <wps:bodyPr rot="0" vert="horz" wrap="square" lIns="91440" tIns="45720" rIns="91440" bIns="45720" anchor="t" anchorCtr="0" upright="1">
                          <a:noAutofit/>
                        </wps:bodyPr>
                      </wps:wsp>
                      <wps:wsp>
                        <wps:cNvPr id="37" name="Rectangle 57"/>
                        <wps:cNvSpPr>
                          <a:spLocks noChangeArrowheads="1"/>
                        </wps:cNvSpPr>
                        <wps:spPr bwMode="auto">
                          <a:xfrm>
                            <a:off x="2400300" y="3543300"/>
                            <a:ext cx="3086100" cy="800100"/>
                          </a:xfrm>
                          <a:prstGeom prst="rect">
                            <a:avLst/>
                          </a:prstGeom>
                          <a:solidFill>
                            <a:srgbClr val="FFFFFF"/>
                          </a:solidFill>
                          <a:ln w="9525">
                            <a:solidFill>
                              <a:srgbClr val="000000"/>
                            </a:solidFill>
                            <a:miter lim="800000"/>
                            <a:headEnd/>
                            <a:tailEnd/>
                          </a:ln>
                        </wps:spPr>
                        <wps:txbx>
                          <w:txbxContent>
                            <w:p>
                              <w:pPr>
                                <w:rPr>
                                  <w:lang w:val="fr-BE"/>
                                </w:rPr>
                              </w:pPr>
                              <w:r>
                                <w:rPr>
                                  <w:lang w:val="fr-BE"/>
                                </w:rPr>
                                <w:t xml:space="preserve">Gestion du dossier par le service de l’Inspection de l’enseignement fondamental et transmis à </w:t>
                              </w:r>
                              <w:smartTag w:uri="urn:schemas-microsoft-com:office:smarttags" w:element="PersonName">
                                <w:smartTagPr>
                                  <w:attr w:name="ProductID" w:val="la D.G"/>
                                </w:smartTagPr>
                                <w:r>
                                  <w:rPr>
                                    <w:lang w:val="fr-BE"/>
                                  </w:rPr>
                                  <w:t>la D.G</w:t>
                                </w:r>
                              </w:smartTag>
                              <w:r>
                                <w:rPr>
                                  <w:lang w:val="fr-BE"/>
                                </w:rPr>
                                <w:t>.E.O. dans les 10 jours ouvrables de la réception de la demande.</w:t>
                              </w:r>
                            </w:p>
                          </w:txbxContent>
                        </wps:txbx>
                        <wps:bodyPr rot="0" vert="horz" wrap="square" lIns="91440" tIns="45720" rIns="91440" bIns="45720" anchor="t" anchorCtr="0" upright="1">
                          <a:noAutofit/>
                        </wps:bodyPr>
                      </wps:wsp>
                      <wps:wsp>
                        <wps:cNvPr id="38" name="Rectangle 58"/>
                        <wps:cNvSpPr>
                          <a:spLocks noChangeArrowheads="1"/>
                        </wps:cNvSpPr>
                        <wps:spPr bwMode="auto">
                          <a:xfrm>
                            <a:off x="2400300" y="4572000"/>
                            <a:ext cx="3086100" cy="800100"/>
                          </a:xfrm>
                          <a:prstGeom prst="rect">
                            <a:avLst/>
                          </a:prstGeom>
                          <a:solidFill>
                            <a:srgbClr val="FFFFFF"/>
                          </a:solidFill>
                          <a:ln w="9525">
                            <a:solidFill>
                              <a:srgbClr val="000000"/>
                            </a:solidFill>
                            <a:miter lim="800000"/>
                            <a:headEnd/>
                            <a:tailEnd/>
                          </a:ln>
                        </wps:spPr>
                        <wps:txbx>
                          <w:txbxContent>
                            <w:p>
                              <w:pPr>
                                <w:rPr>
                                  <w:lang w:val="fr-BE"/>
                                </w:rPr>
                              </w:pPr>
                              <w:r>
                                <w:rPr>
                                  <w:lang w:val="fr-BE"/>
                                </w:rPr>
                                <w:t xml:space="preserve">Gestion du dossier par </w:t>
                              </w:r>
                              <w:smartTag w:uri="urn:schemas-microsoft-com:office:smarttags" w:element="PersonName">
                                <w:smartTagPr>
                                  <w:attr w:name="ProductID" w:val="la D.G"/>
                                </w:smartTagPr>
                                <w:r>
                                  <w:rPr>
                                    <w:lang w:val="fr-BE"/>
                                  </w:rPr>
                                  <w:t>la D.G</w:t>
                                </w:r>
                              </w:smartTag>
                              <w:r>
                                <w:rPr>
                                  <w:lang w:val="fr-BE"/>
                                </w:rPr>
                                <w:t>.E.O. dans les 10 jours ouvrables de la réception de la demande transmise par l’Inspection de l’enseignement fondamental.</w:t>
                              </w:r>
                            </w:p>
                          </w:txbxContent>
                        </wps:txbx>
                        <wps:bodyPr rot="0" vert="horz" wrap="square" lIns="91440" tIns="45720" rIns="91440" bIns="45720" anchor="t" anchorCtr="0" upright="1">
                          <a:noAutofit/>
                        </wps:bodyPr>
                      </wps:wsp>
                      <wps:wsp>
                        <wps:cNvPr id="39" name="Rectangle 59"/>
                        <wps:cNvSpPr>
                          <a:spLocks noChangeArrowheads="1"/>
                        </wps:cNvSpPr>
                        <wps:spPr bwMode="auto">
                          <a:xfrm>
                            <a:off x="3429000" y="5829300"/>
                            <a:ext cx="1598613" cy="465138"/>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Décision défavorable dans le délai</w:t>
                              </w:r>
                            </w:p>
                          </w:txbxContent>
                        </wps:txbx>
                        <wps:bodyPr rot="0" vert="horz" wrap="square" lIns="91440" tIns="45720" rIns="91440" bIns="45720" anchor="t" anchorCtr="0" upright="1">
                          <a:noAutofit/>
                        </wps:bodyPr>
                      </wps:wsp>
                      <wps:wsp>
                        <wps:cNvPr id="40" name="Rectangle 60"/>
                        <wps:cNvSpPr>
                          <a:spLocks noChangeArrowheads="1"/>
                        </wps:cNvSpPr>
                        <wps:spPr bwMode="auto">
                          <a:xfrm>
                            <a:off x="3314700" y="6515100"/>
                            <a:ext cx="1943100" cy="342900"/>
                          </a:xfrm>
                          <a:prstGeom prst="rect">
                            <a:avLst/>
                          </a:prstGeom>
                          <a:solidFill>
                            <a:srgbClr val="FFFFFF"/>
                          </a:solidFill>
                          <a:ln w="9525">
                            <a:solidFill>
                              <a:srgbClr val="000000"/>
                            </a:solidFill>
                            <a:miter lim="800000"/>
                            <a:headEnd/>
                            <a:tailEnd/>
                          </a:ln>
                        </wps:spPr>
                        <wps:txbx>
                          <w:txbxContent>
                            <w:p>
                              <w:pPr>
                                <w:jc w:val="center"/>
                                <w:rPr>
                                  <w:b/>
                                  <w:lang w:val="fr-BE"/>
                                </w:rPr>
                              </w:pPr>
                              <w:r>
                                <w:rPr>
                                  <w:b/>
                                  <w:lang w:val="fr-BE"/>
                                </w:rPr>
                                <w:t>Changement non autorisé</w:t>
                              </w:r>
                            </w:p>
                          </w:txbxContent>
                        </wps:txbx>
                        <wps:bodyPr rot="0" vert="horz" wrap="square" lIns="91440" tIns="45720" rIns="91440" bIns="45720" anchor="t" anchorCtr="0" upright="1">
                          <a:noAutofit/>
                        </wps:bodyPr>
                      </wps:wsp>
                      <wps:wsp>
                        <wps:cNvPr id="41" name="Rectangle 61"/>
                        <wps:cNvSpPr>
                          <a:spLocks noChangeArrowheads="1"/>
                        </wps:cNvSpPr>
                        <wps:spPr bwMode="auto">
                          <a:xfrm>
                            <a:off x="342900" y="5829300"/>
                            <a:ext cx="1943100" cy="457200"/>
                          </a:xfrm>
                          <a:prstGeom prst="rect">
                            <a:avLst/>
                          </a:prstGeom>
                          <a:solidFill>
                            <a:srgbClr val="FFFFFF"/>
                          </a:solidFill>
                          <a:ln w="9525">
                            <a:solidFill>
                              <a:srgbClr val="000000"/>
                            </a:solidFill>
                            <a:miter lim="800000"/>
                            <a:headEnd/>
                            <a:tailEnd/>
                          </a:ln>
                        </wps:spPr>
                        <wps:txbx>
                          <w:txbxContent>
                            <w:p>
                              <w:pPr>
                                <w:jc w:val="center"/>
                                <w:rPr>
                                  <w:lang w:val="fr-BE"/>
                                </w:rPr>
                              </w:pPr>
                              <w:r>
                                <w:rPr>
                                  <w:lang w:val="fr-BE"/>
                                </w:rPr>
                                <w:t>Décision favorable ou pas de décision dans le délai</w:t>
                              </w:r>
                            </w:p>
                          </w:txbxContent>
                        </wps:txbx>
                        <wps:bodyPr rot="0" vert="horz" wrap="square" lIns="91440" tIns="45720" rIns="91440" bIns="45720" anchor="t" anchorCtr="0" upright="1">
                          <a:noAutofit/>
                        </wps:bodyPr>
                      </wps:wsp>
                      <wps:wsp>
                        <wps:cNvPr id="42" name="Rectangle 62"/>
                        <wps:cNvSpPr>
                          <a:spLocks noChangeArrowheads="1"/>
                        </wps:cNvSpPr>
                        <wps:spPr bwMode="auto">
                          <a:xfrm>
                            <a:off x="457200" y="6515100"/>
                            <a:ext cx="1716088" cy="342900"/>
                          </a:xfrm>
                          <a:prstGeom prst="rect">
                            <a:avLst/>
                          </a:prstGeom>
                          <a:solidFill>
                            <a:srgbClr val="FFFFFF"/>
                          </a:solidFill>
                          <a:ln w="9525">
                            <a:solidFill>
                              <a:srgbClr val="000000"/>
                            </a:solidFill>
                            <a:miter lim="800000"/>
                            <a:headEnd/>
                            <a:tailEnd/>
                          </a:ln>
                        </wps:spPr>
                        <wps:txbx>
                          <w:txbxContent>
                            <w:p>
                              <w:pPr>
                                <w:jc w:val="center"/>
                                <w:rPr>
                                  <w:b/>
                                  <w:lang w:val="fr-BE"/>
                                </w:rPr>
                              </w:pPr>
                              <w:r>
                                <w:rPr>
                                  <w:b/>
                                  <w:lang w:val="fr-BE"/>
                                </w:rPr>
                                <w:t>Changement  autorisé</w:t>
                              </w:r>
                            </w:p>
                          </w:txbxContent>
                        </wps:txbx>
                        <wps:bodyPr rot="0" vert="horz" wrap="square" lIns="91440" tIns="45720" rIns="91440" bIns="45720" anchor="t" anchorCtr="0" upright="1">
                          <a:noAutofit/>
                        </wps:bodyPr>
                      </wps:wsp>
                      <wps:wsp>
                        <wps:cNvPr id="43" name="Line 63"/>
                        <wps:cNvCnPr>
                          <a:cxnSpLocks noChangeShapeType="1"/>
                        </wps:cNvCnPr>
                        <wps:spPr bwMode="auto">
                          <a:xfrm>
                            <a:off x="2743200" y="457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64"/>
                        <wps:cNvCnPr>
                          <a:cxnSpLocks noChangeShapeType="1"/>
                        </wps:cNvCnPr>
                        <wps:spPr bwMode="auto">
                          <a:xfrm>
                            <a:off x="2743200" y="10287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65"/>
                        <wps:cNvCnPr>
                          <a:cxnSpLocks noChangeShapeType="1"/>
                        </wps:cNvCnPr>
                        <wps:spPr bwMode="auto">
                          <a:xfrm flipH="1">
                            <a:off x="1028700" y="137160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66"/>
                        <wps:cNvCnPr>
                          <a:cxnSpLocks noChangeShapeType="1"/>
                        </wps:cNvCnPr>
                        <wps:spPr bwMode="auto">
                          <a:xfrm>
                            <a:off x="1028700" y="13716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67"/>
                        <wps:cNvCnPr>
                          <a:cxnSpLocks noChangeShapeType="1"/>
                        </wps:cNvCnPr>
                        <wps:spPr bwMode="auto">
                          <a:xfrm>
                            <a:off x="1028700" y="217170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68"/>
                        <wps:cNvCnPr>
                          <a:cxnSpLocks noChangeShapeType="1"/>
                        </wps:cNvCnPr>
                        <wps:spPr bwMode="auto">
                          <a:xfrm>
                            <a:off x="3771900" y="137160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69"/>
                        <wps:cNvCnPr>
                          <a:cxnSpLocks noChangeShapeType="1"/>
                        </wps:cNvCnPr>
                        <wps:spPr bwMode="auto">
                          <a:xfrm>
                            <a:off x="4229100" y="13716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70"/>
                        <wps:cNvCnPr>
                          <a:cxnSpLocks noChangeShapeType="1"/>
                        </wps:cNvCnPr>
                        <wps:spPr bwMode="auto">
                          <a:xfrm>
                            <a:off x="4229100" y="217170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71"/>
                        <wps:cNvCnPr>
                          <a:cxnSpLocks noChangeShapeType="1"/>
                        </wps:cNvCnPr>
                        <wps:spPr bwMode="auto">
                          <a:xfrm>
                            <a:off x="4229100" y="3314700"/>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72"/>
                        <wps:cNvCnPr>
                          <a:cxnSpLocks noChangeShapeType="1"/>
                        </wps:cNvCnPr>
                        <wps:spPr bwMode="auto">
                          <a:xfrm>
                            <a:off x="1371600" y="5600700"/>
                            <a:ext cx="3314700" cy="7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73"/>
                        <wps:cNvCnPr>
                          <a:cxnSpLocks noChangeShapeType="1"/>
                        </wps:cNvCnPr>
                        <wps:spPr bwMode="auto">
                          <a:xfrm>
                            <a:off x="4229100" y="5372100"/>
                            <a:ext cx="794"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74"/>
                        <wps:cNvCnPr>
                          <a:cxnSpLocks noChangeShapeType="1"/>
                        </wps:cNvCnPr>
                        <wps:spPr bwMode="auto">
                          <a:xfrm>
                            <a:off x="1371600" y="5600700"/>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75"/>
                        <wps:cNvCnPr>
                          <a:cxnSpLocks noChangeShapeType="1"/>
                        </wps:cNvCnPr>
                        <wps:spPr bwMode="auto">
                          <a:xfrm>
                            <a:off x="1371600" y="6286500"/>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76"/>
                        <wps:cNvCnPr>
                          <a:cxnSpLocks noChangeShapeType="1"/>
                        </wps:cNvCnPr>
                        <wps:spPr bwMode="auto">
                          <a:xfrm>
                            <a:off x="4686300" y="5600700"/>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77"/>
                        <wps:cNvCnPr>
                          <a:cxnSpLocks noChangeShapeType="1"/>
                        </wps:cNvCnPr>
                        <wps:spPr bwMode="auto">
                          <a:xfrm>
                            <a:off x="4229100" y="6286500"/>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78"/>
                        <wps:cNvCnPr>
                          <a:cxnSpLocks noChangeShapeType="1"/>
                        </wps:cNvCnPr>
                        <wps:spPr bwMode="auto">
                          <a:xfrm>
                            <a:off x="4229100" y="4343400"/>
                            <a:ext cx="794"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id="Zone de dessin 48" o:spid="_x0000_s1026" editas="canvas" style="width:486pt;height:549pt;mso-position-horizontal-relative:char;mso-position-vertical-relative:line" coordsize="61722,697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">
                <v:shape id="_x0000_s1027" type="#_x0000_t75" style="position:absolute;width:61722;height:69723;visibility:visible;mso-wrap-style:square">
                  <v:fill o:detectmouseclick="t"/>
                  <v:path o:connecttype="none"/>
                </v:shape>
                <v:rect id="Rectangle 50" o:spid="_x0000_s1028" style="position:absolute;left:14859;width:27432;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pPr>
                          <w:jc w:val="center"/>
                          <w:rPr>
                            <w:lang w:val="fr-BE"/>
                          </w:rPr>
                        </w:pPr>
                        <w:r>
                          <w:rPr>
                            <w:lang w:val="fr-BE"/>
                          </w:rPr>
                          <w:t>Demande des parents ou de la personne investie de l’autorité parentale</w:t>
                        </w:r>
                      </w:p>
                    </w:txbxContent>
                  </v:textbox>
                </v:rect>
                <v:rect id="Rectangle 51" o:spid="_x0000_s1029" style="position:absolute;left:14859;top:6858;width:2743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pPr>
                          <w:jc w:val="center"/>
                          <w:rPr>
                            <w:lang w:val="fr-BE"/>
                          </w:rPr>
                        </w:pPr>
                        <w:r>
                          <w:rPr>
                            <w:u w:val="single"/>
                            <w:lang w:val="fr-BE"/>
                          </w:rPr>
                          <w:t>Audition</w:t>
                        </w:r>
                        <w:r>
                          <w:rPr>
                            <w:lang w:val="fr-BE"/>
                          </w:rPr>
                          <w:t xml:space="preserve"> par le chef d’établissement</w:t>
                        </w:r>
                      </w:p>
                    </w:txbxContent>
                  </v:textbox>
                </v:rect>
                <v:rect id="Rectangle 52" o:spid="_x0000_s1030" style="position:absolute;left:17145;top:12573;width:20574;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textbox>
                    <w:txbxContent>
                      <w:p>
                        <w:pPr>
                          <w:jc w:val="center"/>
                          <w:rPr>
                            <w:lang w:val="fr-BE"/>
                          </w:rPr>
                        </w:pPr>
                        <w:r>
                          <w:rPr>
                            <w:lang w:val="fr-BE"/>
                          </w:rPr>
                          <w:t>Avis du chef d’établissement</w:t>
                        </w:r>
                      </w:p>
                    </w:txbxContent>
                  </v:textbox>
                </v:rect>
                <v:rect id="Rectangle 53" o:spid="_x0000_s1031" style="position:absolute;left:3429;top:18288;width:1371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iPicMA&#10;AADbAAAADwAAAGRycy9kb3ducmV2LnhtbESPQYvCMBSE7wv+h/AEb2uqBdGuUURR9Kjtxdvb5m3b&#10;tXkpTdTqr98sCB6HmfmGmS87U4sbta6yrGA0jEAQ51ZXXCjI0u3nFITzyBpry6TgQQ6Wi97HHBNt&#10;73yk28kXIkDYJaig9L5JpHR5SQbd0DbEwfuxrUEfZFtI3eI9wE0tx1E0kQYrDgslNrQuKb+crkbB&#10;dzXO8HlMd5GZbWN/6NLf63mj1KDfrb5AeOr8O/xq77WCOIb/L+EH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iPicMAAADbAAAADwAAAAAAAAAAAAAAAACYAgAAZHJzL2Rv&#10;d25yZXYueG1sUEsFBgAAAAAEAAQA9QAAAIgDAAAAAA==&#10;">
                  <v:textbox>
                    <w:txbxContent>
                      <w:p>
                        <w:pPr>
                          <w:jc w:val="center"/>
                          <w:rPr>
                            <w:lang w:val="fr-BE"/>
                          </w:rPr>
                        </w:pPr>
                        <w:r>
                          <w:rPr>
                            <w:lang w:val="fr-BE"/>
                          </w:rPr>
                          <w:t>Favorable</w:t>
                        </w:r>
                      </w:p>
                    </w:txbxContent>
                  </v:textbox>
                </v:rect>
                <v:rect id="Rectangle 54" o:spid="_x0000_s1032" style="position:absolute;left:34290;top:18288;width:1485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textbox>
                    <w:txbxContent>
                      <w:p>
                        <w:pPr>
                          <w:jc w:val="center"/>
                          <w:rPr>
                            <w:lang w:val="fr-BE"/>
                          </w:rPr>
                        </w:pPr>
                        <w:r>
                          <w:rPr>
                            <w:lang w:val="fr-BE"/>
                          </w:rPr>
                          <w:t>Défavorable</w:t>
                        </w:r>
                      </w:p>
                    </w:txbxContent>
                  </v:textbox>
                </v:rect>
                <v:rect id="Rectangle 55" o:spid="_x0000_s1033" style="position:absolute;left:4572;top:25146;width:1252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pPr>
                          <w:jc w:val="center"/>
                          <w:rPr>
                            <w:b/>
                            <w:lang w:val="fr-BE"/>
                          </w:rPr>
                        </w:pPr>
                        <w:r>
                          <w:rPr>
                            <w:b/>
                            <w:lang w:val="fr-BE"/>
                          </w:rPr>
                          <w:t>Changement autorisé</w:t>
                        </w:r>
                      </w:p>
                    </w:txbxContent>
                  </v:textbox>
                </v:rect>
                <v:rect id="Rectangle 56" o:spid="_x0000_s1034" style="position:absolute;left:24003;top:25146;width:30861;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8sEcQA&#10;AADbAAAADwAAAGRycy9kb3ducmV2LnhtbESPQWvCQBSE74X+h+UVvNWNCYhNswnSotSjxou3Z/Y1&#10;SZt9G7JrTP313YLQ4zAz3zBZMZlOjDS41rKCxTwCQVxZ3XKt4FhunlcgnEfW2FkmBT/koMgfHzJM&#10;tb3ynsaDr0WAsEtRQeN9n0rpqoYMurntiYP3aQeDPsihlnrAa4CbTsZRtJQGWw4LDfb01lD1fbgY&#10;Bec2PuJtX24j87JJ/G4qvy6nd6VmT9P6FYSnyf+H7+0PrSBZwt+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BHEAAAA2wAAAA8AAAAAAAAAAAAAAAAAmAIAAGRycy9k&#10;b3ducmV2LnhtbFBLBQYAAAAABAAEAPUAAACJAwAAAAA=&#10;">
                  <v:textbox>
                    <w:txbxContent>
                      <w:p>
                        <w:pPr>
                          <w:jc w:val="center"/>
                          <w:rPr>
                            <w:lang w:val="fr-BE"/>
                          </w:rPr>
                        </w:pPr>
                        <w:r>
                          <w:rPr>
                            <w:lang w:val="fr-BE"/>
                          </w:rPr>
                          <w:t xml:space="preserve">Avis motivé transmis au service de l’Inspection de l’enseignement fondamental dans les </w:t>
                        </w:r>
                        <w:r>
                          <w:rPr>
                            <w:lang w:val="fr-BE"/>
                          </w:rPr>
                          <w:br/>
                          <w:t xml:space="preserve">3 jours ouvrables de la réception de la demande </w:t>
                        </w:r>
                      </w:p>
                    </w:txbxContent>
                  </v:textbox>
                </v:rect>
                <v:rect id="Rectangle 57" o:spid="_x0000_s1035" style="position:absolute;left:24003;top:35433;width:30861;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pPr>
                          <w:rPr>
                            <w:lang w:val="fr-BE"/>
                          </w:rPr>
                        </w:pPr>
                        <w:r>
                          <w:rPr>
                            <w:lang w:val="fr-BE"/>
                          </w:rPr>
                          <w:t xml:space="preserve">Gestion du dossier par le service de l’Inspection de l’enseignement fondamental et transmis à </w:t>
                        </w:r>
                        <w:smartTag w:uri="urn:schemas-microsoft-com:office:smarttags" w:element="PersonName">
                          <w:smartTagPr>
                            <w:attr w:name="ProductID" w:val="la D.G"/>
                          </w:smartTagPr>
                          <w:r>
                            <w:rPr>
                              <w:lang w:val="fr-BE"/>
                            </w:rPr>
                            <w:t>la D.G</w:t>
                          </w:r>
                        </w:smartTag>
                        <w:r>
                          <w:rPr>
                            <w:lang w:val="fr-BE"/>
                          </w:rPr>
                          <w:t>.E.O. dans les 10 jours ouvrables de la réception de la demande.</w:t>
                        </w:r>
                      </w:p>
                    </w:txbxContent>
                  </v:textbox>
                </v:rect>
                <v:rect id="Rectangle 58" o:spid="_x0000_s1036" style="position:absolute;left:24003;top:45720;width:30861;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pPr>
                          <w:rPr>
                            <w:lang w:val="fr-BE"/>
                          </w:rPr>
                        </w:pPr>
                        <w:r>
                          <w:rPr>
                            <w:lang w:val="fr-BE"/>
                          </w:rPr>
                          <w:t xml:space="preserve">Gestion du dossier par </w:t>
                        </w:r>
                        <w:smartTag w:uri="urn:schemas-microsoft-com:office:smarttags" w:element="PersonName">
                          <w:smartTagPr>
                            <w:attr w:name="ProductID" w:val="la D.G"/>
                          </w:smartTagPr>
                          <w:r>
                            <w:rPr>
                              <w:lang w:val="fr-BE"/>
                            </w:rPr>
                            <w:t>la D.G</w:t>
                          </w:r>
                        </w:smartTag>
                        <w:r>
                          <w:rPr>
                            <w:lang w:val="fr-BE"/>
                          </w:rPr>
                          <w:t>.E.O. dans les 10 jours ouvrables de la réception de la demande transmise par l’Inspection de l’enseignement fondamental.</w:t>
                        </w:r>
                      </w:p>
                    </w:txbxContent>
                  </v:textbox>
                </v:rect>
                <v:rect id="Rectangle 59" o:spid="_x0000_s1037" style="position:absolute;left:34290;top:58293;width:15986;height:46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textbox>
                    <w:txbxContent>
                      <w:p>
                        <w:pPr>
                          <w:jc w:val="center"/>
                          <w:rPr>
                            <w:lang w:val="fr-BE"/>
                          </w:rPr>
                        </w:pPr>
                        <w:r>
                          <w:rPr>
                            <w:lang w:val="fr-BE"/>
                          </w:rPr>
                          <w:t>Décision défavorable dans le délai</w:t>
                        </w:r>
                      </w:p>
                    </w:txbxContent>
                  </v:textbox>
                </v:rect>
                <v:rect id="Rectangle 60" o:spid="_x0000_s1038" style="position:absolute;left:33147;top:65151;width:19431;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textbox>
                    <w:txbxContent>
                      <w:p>
                        <w:pPr>
                          <w:jc w:val="center"/>
                          <w:rPr>
                            <w:b/>
                            <w:lang w:val="fr-BE"/>
                          </w:rPr>
                        </w:pPr>
                        <w:r>
                          <w:rPr>
                            <w:b/>
                            <w:lang w:val="fr-BE"/>
                          </w:rPr>
                          <w:t>Changement non autorisé</w:t>
                        </w:r>
                      </w:p>
                    </w:txbxContent>
                  </v:textbox>
                </v:rect>
                <v:rect id="Rectangle 61" o:spid="_x0000_s1039" style="position:absolute;left:3429;top:58293;width:1943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textbox>
                    <w:txbxContent>
                      <w:p>
                        <w:pPr>
                          <w:jc w:val="center"/>
                          <w:rPr>
                            <w:lang w:val="fr-BE"/>
                          </w:rPr>
                        </w:pPr>
                        <w:r>
                          <w:rPr>
                            <w:lang w:val="fr-BE"/>
                          </w:rPr>
                          <w:t>Décision favorable ou pas de décision dans le délai</w:t>
                        </w:r>
                      </w:p>
                    </w:txbxContent>
                  </v:textbox>
                </v:rect>
                <v:rect id="Rectangle 62" o:spid="_x0000_s1040" style="position:absolute;left:4572;top:65151;width:17160;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JZb8QA&#10;AADbAAAADwAAAGRycy9kb3ducmV2LnhtbESPQWvCQBSE7wX/w/IKvTWbplJqdBVRLPZokktvz+wz&#10;SZt9G7KrSf31bqHgcZiZb5jFajStuFDvGssKXqIYBHFpdcOVgiLfPb+DcB5ZY2uZFPySg9Vy8rDA&#10;VNuBD3TJfCUChF2KCmrvu1RKV9Zk0EW2Iw7eyfYGfZB9JXWPQ4CbViZx/CYNNhwWauxoU1P5k52N&#10;gmOTFHg95B+xme1e/eeYf5+/tko9PY7rOQhPo7+H/9t7rWCawN+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CWW/EAAAA2wAAAA8AAAAAAAAAAAAAAAAAmAIAAGRycy9k&#10;b3ducmV2LnhtbFBLBQYAAAAABAAEAPUAAACJAwAAAAA=&#10;">
                  <v:textbox>
                    <w:txbxContent>
                      <w:p>
                        <w:pPr>
                          <w:jc w:val="center"/>
                          <w:rPr>
                            <w:b/>
                            <w:lang w:val="fr-BE"/>
                          </w:rPr>
                        </w:pPr>
                        <w:r>
                          <w:rPr>
                            <w:b/>
                            <w:lang w:val="fr-BE"/>
                          </w:rPr>
                          <w:t>Changement  autorisé</w:t>
                        </w:r>
                      </w:p>
                    </w:txbxContent>
                  </v:textbox>
                </v:rect>
                <v:line id="Line 63" o:spid="_x0000_s1041" style="position:absolute;visibility:visible;mso-wrap-style:square" from="27432,4572" to="27432,6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i5VsQAAADbAAAADwAAAGRycy9kb3ducmV2LnhtbESPQWsCMRSE70L/Q3iF3jSrla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2LlWxAAAANsAAAAPAAAAAAAAAAAA&#10;AAAAAKECAABkcnMvZG93bnJldi54bWxQSwUGAAAAAAQABAD5AAAAkgMAAAAA&#10;">
                  <v:stroke endarrow="block"/>
                </v:line>
                <v:line id="Line 64" o:spid="_x0000_s1042" style="position:absolute;visibility:visible;mso-wrap-style:square" from="27432,10287" to="27432,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EhIsQAAADbAAAADwAAAGRycy9kb3ducmV2LnhtbESPS2vDMBCE74X8B7GB3Bo5JeThRgmh&#10;ppBDU8iDnrfW1jKxVsZSHfXfR4FCjsPMfMOsNtE2oqfO144VTMYZCOLS6ZorBefT+/MChA/IGhvH&#10;pOCPPGzWg6cV5tpd+UD9MVQiQdjnqMCE0OZS+tKQRT92LXHyflxnMSTZVVJ3eE1w28iXLJtJizWn&#10;BYMtvRkqL8dfq2BuioOcy+Lj9Fn09WQZ9/Hre6nUaBi3ryACxfAI/7d3WsF0Cvcv6QfI9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MSEixAAAANsAAAAPAAAAAAAAAAAA&#10;AAAAAKECAABkcnMvZG93bnJldi54bWxQSwUGAAAAAAQABAD5AAAAkgMAAAAA&#10;">
                  <v:stroke endarrow="block"/>
                </v:line>
                <v:line id="Line 65" o:spid="_x0000_s1043" style="position:absolute;flip:x;visibility:visible;mso-wrap-style:square" from="10287,13716" to="17145,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Ieu5sUAAADbAAAADwAAAGRycy9kb3ducmV2LnhtbESPQWsCMRSE74L/IbxCL1KzFi26GkUK&#10;hR681JYVb8/N62bZzcs2SXX77xtB8DjMzDfMatPbVpzJh9qxgsk4A0FcOl1zpeDr8+1pDiJEZI2t&#10;Y1LwRwE26+Fghbl2F/6g8z5WIkE45KjAxNjlUobSkMUwdh1x8r6dtxiT9JXUHi8Jblv5nGUv0mLN&#10;acFgR6+Gymb/axXI+W7047enaVM0h8PCFGXRHXdKPT702yWISH28h2/td61gOoP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Ieu5sUAAADbAAAADwAAAAAAAAAA&#10;AAAAAAChAgAAZHJzL2Rvd25yZXYueG1sUEsFBgAAAAAEAAQA+QAAAJMDAAAAAA==&#10;"/>
                <v:line id="Line 66" o:spid="_x0000_s1044" style="position:absolute;visibility:visible;mso-wrap-style:square" from="10287,13716" to="10287,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8azsUAAADbAAAADwAAAGRycy9kb3ducmV2LnhtbESPzWrDMBCE74G+g9hCbomcEPLjRgkl&#10;JtBDW4gTet5aW8vUWhlLcdS3rwqFHIeZ+YbZ7qNtxUC9bxwrmE0zEMSV0w3XCi7n42QNwgdkja1j&#10;UvBDHva7h9EWc+1ufKKhDLVIEPY5KjAhdLmUvjJk0U9dR5y8L9dbDEn2tdQ93hLctnKeZUtpseG0&#10;YLCjg6Hqu7xaBStTnORKFq/n92JoZpv4Fj8+N0qNH+PzE4hAMdzD/+0XrWCxh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a8azsUAAADbAAAADwAAAAAAAAAA&#10;AAAAAAChAgAAZHJzL2Rvd25yZXYueG1sUEsFBgAAAAAEAAQA+QAAAJMDAAAAAA==&#10;">
                  <v:stroke endarrow="block"/>
                </v:line>
                <v:line id="Line 67" o:spid="_x0000_s1045" style="position:absolute;visibility:visible;mso-wrap-style:square" from="10287,21717" to="10287,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VcQAAADbAAAADwAAAGRycy9kb3ducmV2LnhtbESPQWsCMRSE74X+h/AK3mrWUrq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479VxAAAANsAAAAPAAAAAAAAAAAA&#10;AAAAAKECAABkcnMvZG93bnJldi54bWxQSwUGAAAAAAQABAD5AAAAkgMAAAAA&#10;">
                  <v:stroke endarrow="block"/>
                </v:line>
                <v:line id="Line 68" o:spid="_x0000_s1046" style="position:absolute;visibility:visible;mso-wrap-style:square" from="37719,13716" to="42291,13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69" o:spid="_x0000_s1047" style="position:absolute;visibility:visible;mso-wrap-style:square" from="42291,13716" to="42291,182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OvMQAAADbAAAADwAAAGRycy9kb3ducmV2LnhtbESPzWrDMBCE74W8g9hAb42cEprYiRJK&#10;TaCHppAfct5YW8vUWhlLddS3rwKFHIeZ+YZZbaJtxUC9bxwrmE4yEMSV0w3XCk7H7dMChA/IGlvH&#10;pOCXPGzWo4cVFtpdeU/DIdQiQdgXqMCE0BVS+sqQRT9xHXHyvlxvMSTZ11L3eE1w28rnLHuRFhtO&#10;CwY7ejNUfR9+rIK5KfdyLsuP42c5NNM87uL5kiv1OI6vSxCBYriH/9vvWsEsh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MI68xAAAANsAAAAPAAAAAAAAAAAA&#10;AAAAAKECAABkcnMvZG93bnJldi54bWxQSwUGAAAAAAQABAD5AAAAkgMAAAAA&#10;">
                  <v:stroke endarrow="block"/>
                </v:line>
                <v:line id="Line 70" o:spid="_x0000_s1048" style="position:absolute;visibility:visible;mso-wrap-style:square" from="42291,21717" to="42291,25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line id="Line 71" o:spid="_x0000_s1049" style="position:absolute;visibility:visible;mso-wrap-style:square" from="42291,33147" to="42298,35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58UZ8QAAADbAAAADwAAAGRycy9kb3ducmV2LnhtbESPQWsCMRSE7wX/Q3hCbzW7glq3RhEX&#10;oYe2oJaeXzfPzeLmZdnENf33plDocZiZb5jVJtpWDNT7xrGCfJKBIK6cbrhW8HnaPz2D8AFZY+uY&#10;FPyQh8169LDCQrsbH2g4hlokCPsCFZgQukJKXxmy6CeuI07e2fUWQ5J9LXWPtwS3rZxm2VxabDgt&#10;GOxoZ6i6HK9WwcKUB7mQ5dvpoxyafBnf49f3UqnHcdy+gAgUw3/4r/2qFcxy+P2SfoBc3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nxRnxAAAANsAAAAPAAAAAAAAAAAA&#10;AAAAAKECAABkcnMvZG93bnJldi54bWxQSwUGAAAAAAQABAD5AAAAkgMAAAAA&#10;">
                  <v:stroke endarrow="block"/>
                </v:line>
                <v:line id="Line 72" o:spid="_x0000_s1050" style="position:absolute;visibility:visible;mso-wrap-style:square" from="13716,56007" to="46863,560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73" o:spid="_x0000_s1051" style="position:absolute;visibility:visible;mso-wrap-style:square" from="42291,53721" to="42298,56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74" o:spid="_x0000_s1052" style="position:absolute;visibility:visible;mso-wrap-style:square" from="13716,56007" to="13723,58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8QAAADbAAAADwAAAGRycy9kb3ducmV2LnhtbESPQWsCMRSE70L/Q3iF3jSr1Kpbo0gX&#10;wYMV1NLz6+Z1s3TzsmzSNf57Uyh4HGbmG2a5jrYRPXW+dqxgPMpAEJdO11wp+Dhvh3MQPiBrbByT&#10;git5WK8eBkvMtbvwkfpTqESCsM9RgQmhzaX0pSGLfuRa4uR9u85iSLKrpO7wkuC2kZMse5EWa04L&#10;Blt6M1T+nH6tgpkpjnImi/35UPT1eBHf4+fXQqmnx7h5BREohnv4v73TCqbP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6Lf/xAAAANsAAAAPAAAAAAAAAAAA&#10;AAAAAKECAABkcnMvZG93bnJldi54bWxQSwUGAAAAAAQABAD5AAAAkgMAAAAA&#10;">
                  <v:stroke endarrow="block"/>
                </v:line>
                <v:line id="Line 75" o:spid="_x0000_s1053" style="position:absolute;visibility:visible;mso-wrap-style:square" from="13716,62865" to="13723,6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QSZMQAAADbAAAADwAAAGRycy9kb3ducmV2LnhtbESPS2vDMBCE74X8B7GB3Bo5hbzcKCHU&#10;FHJoCnnQ89baWibWyliqo/77KFDIcZiZb5jVJtpG9NT52rGCyTgDQVw6XXOl4Hx6f16A8AFZY+OY&#10;FPyRh8168LTCXLsrH6g/hkokCPscFZgQ2lxKXxqy6MeuJU7ej+sshiS7SuoOrwluG/mSZTNpsea0&#10;YLClN0Pl5fhrFcxNcZBzWXycPou+nizjPn59L5UaDeP2FUSgGB7h//ZOK5hO4f4l/QC5v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pBJkxAAAANsAAAAPAAAAAAAAAAAA&#10;AAAAAKECAABkcnMvZG93bnJldi54bWxQSwUGAAAAAAQABAD5AAAAkgMAAAAA&#10;">
                  <v:stroke endarrow="block"/>
                </v:line>
                <v:line id="Line 76" o:spid="_x0000_s1054" style="position:absolute;visibility:visible;mso-wrap-style:square" from="46863,56007" to="46870,58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ME8QAAADbAAAADwAAAGRycy9kb3ducmV2LnhtbESPzWrDMBCE74G+g9hCbomcQP7cKKHE&#10;BHpoC3FCz1tra5laK2Mpjvr2VaGQ4zAz3zDbfbStGKj3jWMFs2kGgrhyuuFaweV8nKxB+ICssXVM&#10;Cn7Iw373MNpirt2NTzSUoRYJwj5HBSaELpfSV4Ys+qnriJP35XqLIcm+lrrHW4LbVs6zbCktNpwW&#10;DHZ0MFR9l1erYGWKk1zJ4vX8XgzNbBPf4sfnRqnxY3x+AhEohnv4v/2iFSyW8Pcl/QC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dowTxAAAANsAAAAPAAAAAAAAAAAA&#10;AAAAAKECAABkcnMvZG93bnJldi54bWxQSwUGAAAAAAQABAD5AAAAkgMAAAAA&#10;">
                  <v:stroke endarrow="block"/>
                </v:line>
                <v:line id="Line 77" o:spid="_x0000_s1055" style="position:absolute;visibility:visible;mso-wrap-style:square" from="42291,62865" to="42298,651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opiMQAAADbAAAADwAAAGRycy9kb3ducmV2LnhtbESPQWsCMRSE74X+h/AK3mrWQru6NYq4&#10;FDxYQS09v26em8XNy7JJ1/jvm4LgcZiZb5j5MtpWDNT7xrGCyTgDQVw53XCt4Ov48TwF4QOyxtYx&#10;KbiSh+Xi8WGOhXYX3tNwCLVIEPYFKjAhdIWUvjJk0Y9dR5y8k+sthiT7WuoeLwluW/mSZW/SYsNp&#10;wWBHa0PV+fBrFeSm3MtcltvjrhyaySx+xu+fmVKjp7h6BxEohnv41t5oBa85/H9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OimIxAAAANsAAAAPAAAAAAAAAAAA&#10;AAAAAKECAABkcnMvZG93bnJldi54bWxQSwUGAAAAAAQABAD5AAAAkgMAAAAA&#10;">
                  <v:stroke endarrow="block"/>
                </v:line>
                <v:line id="Line 78" o:spid="_x0000_s1056" style="position:absolute;visibility:visible;mso-wrap-style:square" from="42291,43434" to="42298,457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W9+sEAAADbAAAADwAAAGRycy9kb3ducmV2LnhtbERPz2vCMBS+C/4P4Qm72dTBptZGEctg&#10;h01Qx87P5q0pa15Kk9Xsv18OA48f3+9yF20nRhp861jBIstBENdOt9wo+Li8zFcgfEDW2DkmBb/k&#10;YbedTkostLvxicZzaEQKYV+gAhNCX0jpa0MWfeZ64sR9ucFiSHBopB7wlsJtJx/z/FlabDk1GOzp&#10;YKj+Pv9YBUtTneRSVm+XYzW2i3V8j5/XtVIPs7jfgAgUw138737VCp7S2P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pb36wQAAANsAAAAPAAAAAAAAAAAAAAAA&#10;AKECAABkcnMvZG93bnJldi54bWxQSwUGAAAAAAQABAD5AAAAjwMAAAAA&#10;">
                  <v:stroke endarrow="block"/>
                </v:line>
                <w10:anchorlock/>
              </v:group>
            </w:pict>
          </mc:Fallback>
        </mc:AlternateContent>
      </w:r>
    </w:p>
    <w:p>
      <w:pPr>
        <w:jc w:val="both"/>
      </w:pPr>
      <w:r>
        <w:rPr>
          <w:u w:val="single"/>
        </w:rPr>
        <w:t>Remarque:</w:t>
      </w:r>
      <w:r>
        <w:t xml:space="preserve"> attention aux différents points de départ du délai. Celui-ci se compte à partir du jour J+1. Les délais sont par ailleurs calculés en jours ouvrables : il s’agit de l’ensemble des jours calendrier, donc de tous les jours de la semaine, à l’exception des dimanches et des jours fériés légaux.</w:t>
      </w:r>
      <w:bookmarkStart w:id="463" w:name="_2.3.3._Situations_de"/>
      <w:bookmarkStart w:id="464" w:name="_2.4.2._Inscription_d’un"/>
      <w:bookmarkStart w:id="465" w:name="_Toc295931977"/>
      <w:bookmarkStart w:id="466" w:name="_Toc295913728"/>
      <w:bookmarkStart w:id="467" w:name="_Toc207192146"/>
      <w:bookmarkEnd w:id="463"/>
      <w:bookmarkEnd w:id="464"/>
    </w:p>
    <w:p>
      <w:pPr>
        <w:jc w:val="both"/>
      </w:pPr>
    </w:p>
    <w:p>
      <w:pPr>
        <w:pStyle w:val="Titre3"/>
      </w:pPr>
      <w:r>
        <w:br w:type="page"/>
      </w:r>
      <w:bookmarkStart w:id="468" w:name="section2_4_2"/>
      <w:bookmarkStart w:id="469" w:name="_Toc423419989"/>
      <w:bookmarkStart w:id="470" w:name="_Toc450645196"/>
      <w:bookmarkStart w:id="471" w:name="_Toc453942432"/>
      <w:bookmarkStart w:id="472" w:name="_Toc454888049"/>
      <w:bookmarkStart w:id="473" w:name="_Toc486241711"/>
      <w:r>
        <w:t>2.4.2</w:t>
      </w:r>
      <w:bookmarkEnd w:id="468"/>
      <w:r>
        <w:t>. Inscription d’un élève sans document autorisant le changement d’école</w:t>
      </w:r>
      <w:bookmarkEnd w:id="465"/>
      <w:bookmarkEnd w:id="466"/>
      <w:bookmarkEnd w:id="469"/>
      <w:bookmarkEnd w:id="470"/>
      <w:bookmarkEnd w:id="471"/>
      <w:bookmarkEnd w:id="472"/>
      <w:bookmarkEnd w:id="473"/>
    </w:p>
    <w:p>
      <w:pPr>
        <w:jc w:val="both"/>
        <w:rPr>
          <w:lang w:val="fr-BE"/>
        </w:rPr>
      </w:pPr>
    </w:p>
    <w:p>
      <w:pPr>
        <w:jc w:val="both"/>
        <w:rPr>
          <w:lang w:val="fr-BE"/>
        </w:rPr>
      </w:pPr>
      <w:r>
        <w:rPr>
          <w:lang w:val="fr-BE"/>
        </w:rPr>
        <w:t>Tout élève de l’enseignement maternel ou primaire, inscrit de façon contradictoire à l’article 79 §2 du décret du 24 juillet 1997 ne pourra être considéré comme « élève régulièrement inscrit » et ne pourra dès lors pas être comptabilisé.</w:t>
      </w:r>
    </w:p>
    <w:p>
      <w:pPr>
        <w:jc w:val="both"/>
        <w:rPr>
          <w:lang w:val="fr-BE"/>
        </w:rPr>
      </w:pPr>
    </w:p>
    <w:p>
      <w:pPr>
        <w:jc w:val="both"/>
        <w:rPr>
          <w:lang w:val="fr-BE"/>
        </w:rPr>
      </w:pPr>
      <w:r>
        <w:rPr>
          <w:lang w:val="fr-BE"/>
        </w:rPr>
        <w:t xml:space="preserve">Pour la définition d’un élève régulièrement inscrit, se référer aux </w:t>
      </w:r>
      <w:hyperlink w:anchor="Chapitre0" w:history="1">
        <w:r>
          <w:rPr>
            <w:rStyle w:val="Lienhypertexte"/>
            <w:lang w:val="fr-BE"/>
          </w:rPr>
          <w:t>définitions préalables</w:t>
        </w:r>
      </w:hyperlink>
      <w:r>
        <w:rPr>
          <w:lang w:val="fr-BE"/>
        </w:rPr>
        <w:t xml:space="preserve"> de la présente circulaire. </w:t>
      </w:r>
    </w:p>
    <w:p>
      <w:pPr>
        <w:jc w:val="both"/>
        <w:rPr>
          <w:lang w:val="fr-BE"/>
        </w:rPr>
      </w:pPr>
    </w:p>
    <w:p>
      <w:pPr>
        <w:jc w:val="both"/>
      </w:pPr>
      <w:r>
        <w:rPr>
          <w:lang w:val="fr-BE"/>
        </w:rPr>
        <w:t xml:space="preserve">Pour la comptabilisation des élèves régulièrement inscrits, se référer au </w:t>
      </w:r>
      <w:hyperlink w:anchor="Chapitre3_2" w:history="1">
        <w:r>
          <w:rPr>
            <w:rStyle w:val="Lienhypertexte"/>
            <w:color w:val="auto"/>
            <w:lang w:val="fr-BE"/>
          </w:rPr>
          <w:t>chapitre 3.2.</w:t>
        </w:r>
      </w:hyperlink>
    </w:p>
    <w:p>
      <w:pPr>
        <w:jc w:val="both"/>
      </w:pPr>
    </w:p>
    <w:p>
      <w:pPr>
        <w:jc w:val="both"/>
      </w:pPr>
      <w:r>
        <w:t>Il faut également préciser que si les prescrits de l’article 79 §2,3 et 4 du Décret Missions du 24/07/1997 en matière de changements d’école ne sont pas respectés par le Pouvoir organisateur , le Gouvernement de la Fédération Wallonie-Bruxelles peut appliquer les sanctions prévues à l’article 24§ 2 quinquies de la loi du 29 mai 1959 et procéder à la retenue de 5% des subventions accordées à ce Pouvoir organisateur.</w:t>
      </w:r>
    </w:p>
    <w:p>
      <w:pPr>
        <w:jc w:val="both"/>
      </w:pPr>
    </w:p>
    <w:p>
      <w:pPr>
        <w:jc w:val="both"/>
      </w:pPr>
    </w:p>
    <w:p>
      <w:pPr>
        <w:pStyle w:val="Titre3"/>
      </w:pPr>
      <w:bookmarkStart w:id="474" w:name="_Toc295931978"/>
      <w:bookmarkStart w:id="475" w:name="_Toc295913729"/>
      <w:bookmarkStart w:id="476" w:name="_Toc423419990"/>
      <w:bookmarkStart w:id="477" w:name="_Toc450645197"/>
      <w:bookmarkStart w:id="478" w:name="_Toc453942433"/>
      <w:bookmarkStart w:id="479" w:name="_Toc454888050"/>
      <w:bookmarkStart w:id="480" w:name="_Toc486241712"/>
      <w:r>
        <w:t>2.4.3. Situations de changements d'école ou d'implantation</w:t>
      </w:r>
      <w:bookmarkEnd w:id="467"/>
      <w:bookmarkEnd w:id="474"/>
      <w:bookmarkEnd w:id="475"/>
      <w:bookmarkEnd w:id="476"/>
      <w:bookmarkEnd w:id="477"/>
      <w:bookmarkEnd w:id="478"/>
      <w:bookmarkEnd w:id="479"/>
      <w:bookmarkEnd w:id="480"/>
    </w:p>
    <w:p>
      <w:pPr>
        <w:pStyle w:val="Corpsdetexte2"/>
        <w:rPr>
          <w:sz w:val="16"/>
          <w:szCs w:val="16"/>
        </w:rPr>
      </w:pPr>
    </w:p>
    <w:p>
      <w:pPr>
        <w:pStyle w:val="Corpsdetexte2"/>
      </w:pPr>
      <w:r>
        <w:t>Il existe diverses situations de changements d’école. Le tableau qui suit en établit un classement qui aidera les directions d’école dans la lecture du chapitre suivant.</w:t>
      </w:r>
    </w:p>
    <w:p>
      <w:pPr>
        <w:jc w:val="both"/>
        <w:rPr>
          <w:sz w:val="16"/>
          <w:szCs w:val="16"/>
        </w:rPr>
      </w:pP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3837"/>
        <w:gridCol w:w="1912"/>
      </w:tblGrid>
      <w:tr>
        <w:trPr>
          <w:trHeight w:hRule="exact" w:val="1531"/>
        </w:trPr>
        <w:tc>
          <w:tcPr>
            <w:tcW w:w="4030" w:type="dxa"/>
            <w:vAlign w:val="center"/>
          </w:tcPr>
          <w:p>
            <w:pPr>
              <w:tabs>
                <w:tab w:val="num" w:pos="720"/>
              </w:tabs>
              <w:ind w:left="537" w:right="176" w:hanging="357"/>
            </w:pPr>
            <w:r>
              <w:rPr>
                <w:noProof/>
                <w:lang w:val="fr-BE" w:eastAsia="fr-BE"/>
              </w:rPr>
              <w:drawing>
                <wp:inline distT="0" distB="0" distL="0" distR="0">
                  <wp:extent cx="114300" cy="114300"/>
                  <wp:effectExtent l="0" t="0" r="0" b="0"/>
                  <wp:docPr id="3" name="Image 3"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D’une école/implantation à comptage séparé organisée/subventionnée par la Fédération Wallonie-Bruxelles</w:t>
            </w:r>
          </w:p>
        </w:tc>
        <w:tc>
          <w:tcPr>
            <w:tcW w:w="3837" w:type="dxa"/>
            <w:vAlign w:val="center"/>
          </w:tcPr>
          <w:p>
            <w:pPr>
              <w:tabs>
                <w:tab w:val="num" w:pos="458"/>
              </w:tabs>
              <w:ind w:left="452" w:right="176" w:hanging="357"/>
            </w:pPr>
            <w:r>
              <w:rPr>
                <w:noProof/>
                <w:lang w:val="fr-BE" w:eastAsia="fr-BE"/>
              </w:rPr>
              <w:drawing>
                <wp:inline distT="0" distB="0" distL="0" distR="0">
                  <wp:extent cx="114300" cy="114300"/>
                  <wp:effectExtent l="0" t="0" r="0" b="0"/>
                  <wp:docPr id="4" name="Image 4"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Vers une école/implantation à comptage séparé organisée/subventionnée par la Fédération Wallonie-Bruxelles</w:t>
            </w:r>
          </w:p>
        </w:tc>
        <w:tc>
          <w:tcPr>
            <w:tcW w:w="1912" w:type="dxa"/>
            <w:vAlign w:val="center"/>
          </w:tcPr>
          <w:p>
            <w:pPr>
              <w:jc w:val="both"/>
            </w:pPr>
            <w:r>
              <w:t xml:space="preserve">Voir </w:t>
            </w:r>
            <w:r>
              <w:rPr>
                <w:b/>
              </w:rPr>
              <w:t>Situation 1</w:t>
            </w:r>
          </w:p>
        </w:tc>
      </w:tr>
      <w:tr>
        <w:trPr>
          <w:trHeight w:hRule="exact" w:val="1695"/>
        </w:trPr>
        <w:tc>
          <w:tcPr>
            <w:tcW w:w="4030" w:type="dxa"/>
            <w:vAlign w:val="center"/>
          </w:tcPr>
          <w:p>
            <w:pPr>
              <w:tabs>
                <w:tab w:val="num" w:pos="720"/>
              </w:tabs>
              <w:spacing w:before="20" w:after="20"/>
              <w:ind w:left="539" w:right="176" w:hanging="360"/>
            </w:pPr>
            <w:r>
              <w:rPr>
                <w:noProof/>
                <w:lang w:val="fr-BE" w:eastAsia="fr-BE"/>
              </w:rPr>
              <w:drawing>
                <wp:inline distT="0" distB="0" distL="0" distR="0">
                  <wp:extent cx="114300" cy="114300"/>
                  <wp:effectExtent l="0" t="0" r="0" b="0"/>
                  <wp:docPr id="5" name="Image 5"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D’une école organisée/subventionnée par la Communauté flamande, la Communauté germanophone ou une école située à l’étranger</w:t>
            </w:r>
          </w:p>
        </w:tc>
        <w:tc>
          <w:tcPr>
            <w:tcW w:w="3837" w:type="dxa"/>
            <w:vAlign w:val="center"/>
          </w:tcPr>
          <w:p>
            <w:pPr>
              <w:tabs>
                <w:tab w:val="num" w:pos="458"/>
              </w:tabs>
              <w:spacing w:before="20" w:after="20"/>
              <w:ind w:left="457" w:right="176" w:hanging="360"/>
            </w:pPr>
            <w:r>
              <w:rPr>
                <w:noProof/>
                <w:lang w:val="fr-BE" w:eastAsia="fr-BE"/>
              </w:rPr>
              <w:drawing>
                <wp:inline distT="0" distB="0" distL="0" distR="0">
                  <wp:extent cx="114300" cy="114300"/>
                  <wp:effectExtent l="0" t="0" r="0" b="0"/>
                  <wp:docPr id="6" name="Image 6"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Vers une organisée/subventionnée par la Fédération Wallonie-Bruxelles</w:t>
            </w:r>
          </w:p>
        </w:tc>
        <w:tc>
          <w:tcPr>
            <w:tcW w:w="1912" w:type="dxa"/>
            <w:vAlign w:val="center"/>
          </w:tcPr>
          <w:p>
            <w:pPr>
              <w:spacing w:before="20" w:after="20"/>
              <w:jc w:val="both"/>
            </w:pPr>
            <w:r>
              <w:t xml:space="preserve">Voir </w:t>
            </w:r>
            <w:r>
              <w:rPr>
                <w:b/>
              </w:rPr>
              <w:t>Situation 2</w:t>
            </w:r>
          </w:p>
        </w:tc>
      </w:tr>
      <w:tr>
        <w:trPr>
          <w:trHeight w:hRule="exact" w:val="1847"/>
        </w:trPr>
        <w:tc>
          <w:tcPr>
            <w:tcW w:w="4030" w:type="dxa"/>
            <w:vAlign w:val="center"/>
          </w:tcPr>
          <w:p>
            <w:pPr>
              <w:tabs>
                <w:tab w:val="num" w:pos="720"/>
              </w:tabs>
              <w:spacing w:before="20" w:after="20"/>
              <w:ind w:left="539" w:right="176" w:hanging="360"/>
            </w:pPr>
            <w:r>
              <w:rPr>
                <w:noProof/>
                <w:lang w:val="fr-BE" w:eastAsia="fr-BE"/>
              </w:rPr>
              <w:drawing>
                <wp:inline distT="0" distB="0" distL="0" distR="0">
                  <wp:extent cx="114300" cy="114300"/>
                  <wp:effectExtent l="0" t="0" r="0" b="0"/>
                  <wp:docPr id="7" name="Image 7"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D’une école organisée/subventionnée par la Fédération Wallonie-Bruxelles</w:t>
            </w:r>
          </w:p>
        </w:tc>
        <w:tc>
          <w:tcPr>
            <w:tcW w:w="3837" w:type="dxa"/>
            <w:vAlign w:val="center"/>
          </w:tcPr>
          <w:p>
            <w:pPr>
              <w:tabs>
                <w:tab w:val="num" w:pos="458"/>
              </w:tabs>
              <w:spacing w:before="20" w:after="20"/>
              <w:ind w:left="457" w:right="176" w:hanging="360"/>
            </w:pPr>
            <w:r>
              <w:rPr>
                <w:noProof/>
                <w:lang w:val="fr-BE" w:eastAsia="fr-BE"/>
              </w:rPr>
              <w:drawing>
                <wp:inline distT="0" distB="0" distL="0" distR="0">
                  <wp:extent cx="114300" cy="114300"/>
                  <wp:effectExtent l="0" t="0" r="0" b="0"/>
                  <wp:docPr id="8" name="Image 8"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Vers une école organisée/subventionnée par la Communauté flamande, la Communauté germanophone ou une école située à l’étranger</w:t>
            </w:r>
          </w:p>
        </w:tc>
        <w:tc>
          <w:tcPr>
            <w:tcW w:w="1912" w:type="dxa"/>
            <w:vAlign w:val="center"/>
          </w:tcPr>
          <w:p>
            <w:pPr>
              <w:spacing w:before="20" w:after="20"/>
              <w:jc w:val="both"/>
            </w:pPr>
            <w:r>
              <w:t xml:space="preserve">Voir </w:t>
            </w:r>
            <w:r>
              <w:rPr>
                <w:b/>
              </w:rPr>
              <w:t>Situation 3</w:t>
            </w:r>
          </w:p>
        </w:tc>
      </w:tr>
      <w:tr>
        <w:trPr>
          <w:trHeight w:val="529"/>
        </w:trPr>
        <w:tc>
          <w:tcPr>
            <w:tcW w:w="4030" w:type="dxa"/>
            <w:vAlign w:val="center"/>
          </w:tcPr>
          <w:p>
            <w:pPr>
              <w:tabs>
                <w:tab w:val="num" w:pos="720"/>
              </w:tabs>
              <w:spacing w:before="20" w:after="20"/>
              <w:ind w:left="539" w:right="176" w:hanging="360"/>
              <w:jc w:val="both"/>
            </w:pPr>
            <w:r>
              <w:rPr>
                <w:noProof/>
                <w:lang w:val="fr-BE" w:eastAsia="fr-BE"/>
              </w:rPr>
              <w:drawing>
                <wp:inline distT="0" distB="0" distL="0" distR="0">
                  <wp:extent cx="114300" cy="114300"/>
                  <wp:effectExtent l="0" t="0" r="0" b="0"/>
                  <wp:docPr id="9" name="Image 9"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D’une école primaire ordinaire</w:t>
            </w:r>
          </w:p>
        </w:tc>
        <w:tc>
          <w:tcPr>
            <w:tcW w:w="3837" w:type="dxa"/>
            <w:vAlign w:val="center"/>
          </w:tcPr>
          <w:p>
            <w:pPr>
              <w:tabs>
                <w:tab w:val="num" w:pos="458"/>
              </w:tabs>
              <w:spacing w:before="20" w:after="20"/>
              <w:ind w:left="457" w:right="176" w:hanging="360"/>
            </w:pPr>
            <w:r>
              <w:rPr>
                <w:noProof/>
                <w:lang w:val="fr-BE" w:eastAsia="fr-BE"/>
              </w:rPr>
              <w:drawing>
                <wp:inline distT="0" distB="0" distL="0" distR="0">
                  <wp:extent cx="114300" cy="114300"/>
                  <wp:effectExtent l="0" t="0" r="0" b="0"/>
                  <wp:docPr id="10" name="Image 10"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Vers un établissement d’enseignement secondaire ordinaire</w:t>
            </w:r>
          </w:p>
        </w:tc>
        <w:tc>
          <w:tcPr>
            <w:tcW w:w="1912" w:type="dxa"/>
            <w:vAlign w:val="center"/>
          </w:tcPr>
          <w:p>
            <w:pPr>
              <w:spacing w:before="20" w:after="20"/>
              <w:jc w:val="both"/>
            </w:pPr>
            <w:r>
              <w:t xml:space="preserve">Voir </w:t>
            </w:r>
            <w:r>
              <w:rPr>
                <w:b/>
              </w:rPr>
              <w:t>Situation 4</w:t>
            </w:r>
          </w:p>
        </w:tc>
      </w:tr>
      <w:tr>
        <w:trPr>
          <w:trHeight w:val="702"/>
        </w:trPr>
        <w:tc>
          <w:tcPr>
            <w:tcW w:w="4030" w:type="dxa"/>
            <w:vAlign w:val="center"/>
          </w:tcPr>
          <w:p>
            <w:pPr>
              <w:tabs>
                <w:tab w:val="num" w:pos="720"/>
              </w:tabs>
              <w:spacing w:before="20" w:after="20"/>
              <w:ind w:left="539" w:hanging="360"/>
            </w:pPr>
            <w:r>
              <w:rPr>
                <w:noProof/>
                <w:lang w:val="fr-BE" w:eastAsia="fr-BE"/>
              </w:rPr>
              <w:drawing>
                <wp:inline distT="0" distB="0" distL="0" distR="0">
                  <wp:extent cx="114300" cy="114300"/>
                  <wp:effectExtent l="0" t="0" r="0" b="0"/>
                  <wp:docPr id="11" name="Image 11"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D’une école fondamentale ordinaire</w:t>
            </w:r>
          </w:p>
        </w:tc>
        <w:tc>
          <w:tcPr>
            <w:tcW w:w="3837" w:type="dxa"/>
            <w:vAlign w:val="center"/>
          </w:tcPr>
          <w:p>
            <w:pPr>
              <w:tabs>
                <w:tab w:val="num" w:pos="458"/>
              </w:tabs>
              <w:spacing w:before="20" w:after="20"/>
              <w:ind w:left="457" w:right="176" w:hanging="360"/>
            </w:pPr>
            <w:r>
              <w:rPr>
                <w:noProof/>
                <w:lang w:val="fr-BE" w:eastAsia="fr-BE"/>
              </w:rPr>
              <w:drawing>
                <wp:inline distT="0" distB="0" distL="0" distR="0">
                  <wp:extent cx="114300" cy="114300"/>
                  <wp:effectExtent l="0" t="0" r="0" b="0"/>
                  <wp:docPr id="12" name="Image 12"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Vers un établissement d’enseignement spécialisé</w:t>
            </w:r>
          </w:p>
        </w:tc>
        <w:tc>
          <w:tcPr>
            <w:tcW w:w="1912" w:type="dxa"/>
            <w:vAlign w:val="center"/>
          </w:tcPr>
          <w:p>
            <w:pPr>
              <w:spacing w:before="20" w:after="20"/>
              <w:jc w:val="both"/>
            </w:pPr>
            <w:r>
              <w:t xml:space="preserve">Voir </w:t>
            </w:r>
            <w:r>
              <w:rPr>
                <w:b/>
              </w:rPr>
              <w:t>Situation 5</w:t>
            </w:r>
          </w:p>
        </w:tc>
      </w:tr>
      <w:tr>
        <w:trPr>
          <w:trHeight w:val="666"/>
        </w:trPr>
        <w:tc>
          <w:tcPr>
            <w:tcW w:w="4030" w:type="dxa"/>
            <w:vAlign w:val="center"/>
          </w:tcPr>
          <w:p>
            <w:pPr>
              <w:tabs>
                <w:tab w:val="num" w:pos="720"/>
              </w:tabs>
              <w:spacing w:before="20" w:after="20"/>
              <w:ind w:left="539" w:right="176" w:hanging="360"/>
            </w:pPr>
            <w:r>
              <w:rPr>
                <w:noProof/>
                <w:lang w:val="fr-BE" w:eastAsia="fr-BE"/>
              </w:rPr>
              <w:drawing>
                <wp:inline distT="0" distB="0" distL="0" distR="0">
                  <wp:extent cx="114300" cy="114300"/>
                  <wp:effectExtent l="0" t="0" r="0" b="0"/>
                  <wp:docPr id="13" name="Image 13"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D’ un établissement d’enseignement spécialisé</w:t>
            </w:r>
          </w:p>
        </w:tc>
        <w:tc>
          <w:tcPr>
            <w:tcW w:w="3837" w:type="dxa"/>
            <w:vAlign w:val="center"/>
          </w:tcPr>
          <w:p>
            <w:pPr>
              <w:tabs>
                <w:tab w:val="num" w:pos="458"/>
              </w:tabs>
              <w:spacing w:before="20" w:after="20"/>
              <w:ind w:left="457" w:right="176" w:hanging="360"/>
              <w:jc w:val="both"/>
            </w:pPr>
            <w:r>
              <w:rPr>
                <w:noProof/>
                <w:lang w:val="fr-BE" w:eastAsia="fr-BE"/>
              </w:rPr>
              <w:drawing>
                <wp:inline distT="0" distB="0" distL="0" distR="0">
                  <wp:extent cx="114300" cy="114300"/>
                  <wp:effectExtent l="0" t="0" r="0" b="0"/>
                  <wp:docPr id="14" name="Image 14"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Vers une école fondamentale ordinaire</w:t>
            </w:r>
          </w:p>
        </w:tc>
        <w:tc>
          <w:tcPr>
            <w:tcW w:w="1912" w:type="dxa"/>
            <w:vAlign w:val="center"/>
          </w:tcPr>
          <w:p>
            <w:pPr>
              <w:spacing w:before="20" w:after="20"/>
              <w:jc w:val="both"/>
            </w:pPr>
            <w:r>
              <w:t xml:space="preserve">Voir </w:t>
            </w:r>
            <w:r>
              <w:rPr>
                <w:b/>
              </w:rPr>
              <w:t>Situation 6</w:t>
            </w:r>
          </w:p>
        </w:tc>
      </w:tr>
    </w:tbl>
    <w:p>
      <w:pPr>
        <w:jc w:val="both"/>
        <w:rPr>
          <w:szCs w:val="22"/>
        </w:rPr>
      </w:pPr>
    </w:p>
    <w:p>
      <w:pPr>
        <w:jc w:val="both"/>
        <w:rPr>
          <w:szCs w:val="22"/>
        </w:rPr>
      </w:pPr>
    </w:p>
    <w:p>
      <w:pPr>
        <w:pStyle w:val="Titre3"/>
      </w:pPr>
      <w:bookmarkStart w:id="481" w:name="section2_4_4"/>
      <w:bookmarkStart w:id="482" w:name="_Toc207192147"/>
      <w:bookmarkStart w:id="483" w:name="_Toc295931979"/>
      <w:bookmarkStart w:id="484" w:name="_Toc295913730"/>
      <w:r>
        <w:br w:type="page"/>
      </w:r>
      <w:bookmarkStart w:id="485" w:name="_Toc423419991"/>
      <w:bookmarkStart w:id="486" w:name="_Toc450645198"/>
      <w:bookmarkStart w:id="487" w:name="_Toc453942434"/>
      <w:bookmarkStart w:id="488" w:name="_Toc454888051"/>
      <w:bookmarkStart w:id="489" w:name="_Toc486241713"/>
      <w:r>
        <w:t>2.4.4</w:t>
      </w:r>
      <w:bookmarkEnd w:id="481"/>
      <w:r>
        <w:t>. Procédures à suivre</w:t>
      </w:r>
      <w:bookmarkEnd w:id="482"/>
      <w:bookmarkEnd w:id="483"/>
      <w:bookmarkEnd w:id="484"/>
      <w:bookmarkEnd w:id="485"/>
      <w:bookmarkEnd w:id="486"/>
      <w:bookmarkEnd w:id="487"/>
      <w:bookmarkEnd w:id="488"/>
      <w:bookmarkEnd w:id="489"/>
    </w:p>
    <w:p>
      <w:pPr>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3"/>
        <w:gridCol w:w="7776"/>
      </w:tblGrid>
      <w:tr>
        <w:trPr>
          <w:trHeight w:val="541"/>
        </w:trPr>
        <w:tc>
          <w:tcPr>
            <w:tcW w:w="2003" w:type="dxa"/>
            <w:vAlign w:val="center"/>
          </w:tcPr>
          <w:p>
            <w:pPr>
              <w:tabs>
                <w:tab w:val="num" w:pos="720"/>
              </w:tabs>
              <w:ind w:left="356" w:right="176"/>
              <w:jc w:val="both"/>
              <w:rPr>
                <w:b/>
              </w:rPr>
            </w:pPr>
            <w:r>
              <w:rPr>
                <w:b/>
              </w:rPr>
              <w:t>Situation 1</w:t>
            </w:r>
          </w:p>
        </w:tc>
        <w:tc>
          <w:tcPr>
            <w:tcW w:w="7776" w:type="dxa"/>
            <w:vAlign w:val="center"/>
          </w:tcPr>
          <w:p>
            <w:pPr>
              <w:tabs>
                <w:tab w:val="num" w:pos="720"/>
              </w:tabs>
              <w:ind w:left="356" w:right="176"/>
              <w:jc w:val="both"/>
            </w:pPr>
            <w:r>
              <w:rPr>
                <w:noProof/>
                <w:lang w:val="fr-BE" w:eastAsia="fr-BE"/>
              </w:rPr>
              <w:drawing>
                <wp:inline distT="0" distB="0" distL="0" distR="0">
                  <wp:extent cx="114300" cy="114300"/>
                  <wp:effectExtent l="0" t="0" r="0" b="0"/>
                  <wp:docPr id="17" name="Image 17"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 xml:space="preserve">Fédération Wallonie-Bruxelles </w:t>
            </w:r>
            <w:r>
              <w:sym w:font="Symbol" w:char="F0AE"/>
            </w:r>
            <w:r>
              <w:t xml:space="preserve"> Fédération Wallonie-Bruxelles (tous réseaux)</w:t>
            </w:r>
          </w:p>
        </w:tc>
      </w:tr>
    </w:tbl>
    <w:p>
      <w:pPr>
        <w:jc w:val="both"/>
        <w:rPr>
          <w:spacing w:val="2"/>
          <w:szCs w:val="22"/>
        </w:rPr>
      </w:pPr>
    </w:p>
    <w:p>
      <w:pPr>
        <w:ind w:left="359" w:hanging="360"/>
        <w:jc w:val="both"/>
        <w:rPr>
          <w:b/>
        </w:rPr>
      </w:pPr>
      <w:r>
        <w:rPr>
          <w:b/>
        </w:rPr>
        <w:t>1.</w:t>
      </w:r>
      <w:r>
        <w:rPr>
          <w:b/>
        </w:rPr>
        <w:tab/>
        <w:t>Introduction de la demande</w:t>
      </w:r>
    </w:p>
    <w:p>
      <w:pPr>
        <w:jc w:val="both"/>
        <w:rPr>
          <w:spacing w:val="2"/>
          <w:sz w:val="16"/>
          <w:szCs w:val="16"/>
        </w:rPr>
      </w:pPr>
    </w:p>
    <w:p>
      <w:pPr>
        <w:jc w:val="both"/>
        <w:rPr>
          <w:spacing w:val="-4"/>
          <w:szCs w:val="22"/>
        </w:rPr>
      </w:pPr>
      <w:r>
        <w:rPr>
          <w:spacing w:val="-4"/>
          <w:szCs w:val="22"/>
        </w:rPr>
        <w:t>La demande de changement d’école ou d’implantation à comptage séparé est introduite par les parents de l’élève ou la personne investie de l’autorité parentale, auprès de la direction de l’école dans laquelle l’élève est inscrit (l’école de départ).</w:t>
      </w:r>
    </w:p>
    <w:p>
      <w:pPr>
        <w:jc w:val="both"/>
        <w:rPr>
          <w:spacing w:val="2"/>
          <w:sz w:val="12"/>
          <w:szCs w:val="12"/>
        </w:rPr>
      </w:pPr>
    </w:p>
    <w:p>
      <w:pPr>
        <w:jc w:val="both"/>
        <w:rPr>
          <w:spacing w:val="2"/>
        </w:rPr>
      </w:pPr>
      <w:r>
        <w:rPr>
          <w:spacing w:val="2"/>
        </w:rPr>
        <w:t>Selon les motifs invoqués, la demande peut valoir pour l’ensemble des frères et sœurs ou mineurs vivant sous le même toit, ou au contraire ne concerner qu’un élève déterminé.</w:t>
      </w:r>
    </w:p>
    <w:p>
      <w:pPr>
        <w:jc w:val="both"/>
        <w:rPr>
          <w:spacing w:val="2"/>
          <w:sz w:val="12"/>
          <w:szCs w:val="12"/>
        </w:rPr>
      </w:pPr>
    </w:p>
    <w:p>
      <w:pPr>
        <w:jc w:val="both"/>
        <w:rPr>
          <w:spacing w:val="2"/>
        </w:rPr>
      </w:pPr>
      <w:r>
        <w:rPr>
          <w:spacing w:val="2"/>
        </w:rPr>
        <w:t>Cette demande est introduite à l’aide de la formule I (</w:t>
      </w:r>
      <w:hyperlink w:anchor="Annexe_24A" w:history="1">
        <w:r>
          <w:rPr>
            <w:rStyle w:val="Lienhypertexte"/>
            <w:color w:val="auto"/>
            <w:spacing w:val="2"/>
          </w:rPr>
          <w:t>Annexe 2.4.A.</w:t>
        </w:r>
      </w:hyperlink>
      <w:r>
        <w:rPr>
          <w:spacing w:val="2"/>
        </w:rPr>
        <w:t xml:space="preserve">), en un exemplaire, accompagnée des documents justificatifs nécessaires ou de tout autre document jugé utile. </w:t>
      </w:r>
    </w:p>
    <w:p>
      <w:pPr>
        <w:jc w:val="both"/>
        <w:rPr>
          <w:spacing w:val="2"/>
        </w:rPr>
      </w:pPr>
    </w:p>
    <w:p>
      <w:pPr>
        <w:ind w:left="359" w:hanging="360"/>
        <w:jc w:val="both"/>
        <w:rPr>
          <w:b/>
        </w:rPr>
      </w:pPr>
      <w:r>
        <w:rPr>
          <w:b/>
        </w:rPr>
        <w:t>2.</w:t>
      </w:r>
      <w:r>
        <w:rPr>
          <w:b/>
        </w:rPr>
        <w:tab/>
        <w:t>Traitement initial du dossier par la direction de l’école de départ</w:t>
      </w:r>
    </w:p>
    <w:p>
      <w:pPr>
        <w:jc w:val="both"/>
        <w:rPr>
          <w:spacing w:val="2"/>
          <w:sz w:val="16"/>
        </w:rPr>
      </w:pPr>
    </w:p>
    <w:p>
      <w:pPr>
        <w:pStyle w:val="Corpsdetexte"/>
      </w:pPr>
      <w:r>
        <w:t xml:space="preserve">La direction de l’école de départ note la date de réception de la demande complétée par les parents </w:t>
      </w:r>
      <w:r>
        <w:rPr>
          <w:spacing w:val="2"/>
        </w:rPr>
        <w:t>ou par la personne investie de l’autorité parentale</w:t>
      </w:r>
      <w:r>
        <w:t xml:space="preserve"> au cadre A de la formule I. (</w:t>
      </w:r>
      <w:hyperlink w:anchor="Annexe_24A_2" w:history="1">
        <w:r>
          <w:rPr>
            <w:rStyle w:val="Lienhypertexte"/>
            <w:color w:val="auto"/>
          </w:rPr>
          <w:t xml:space="preserve">Annexe 2.4.A </w:t>
        </w:r>
        <w:r>
          <w:rPr>
            <w:rStyle w:val="Lienhypertexte"/>
            <w:color w:val="auto"/>
            <w:sz w:val="16"/>
          </w:rPr>
          <w:t>(2)</w:t>
        </w:r>
      </w:hyperlink>
      <w:r>
        <w:t>).</w:t>
      </w:r>
    </w:p>
    <w:p>
      <w:pPr>
        <w:jc w:val="both"/>
        <w:rPr>
          <w:spacing w:val="2"/>
          <w:sz w:val="12"/>
          <w:szCs w:val="12"/>
        </w:rPr>
      </w:pPr>
    </w:p>
    <w:p>
      <w:pPr>
        <w:spacing w:after="80"/>
        <w:jc w:val="both"/>
        <w:rPr>
          <w:spacing w:val="2"/>
          <w:u w:val="single"/>
        </w:rPr>
      </w:pPr>
      <w:r>
        <w:rPr>
          <w:spacing w:val="2"/>
          <w:u w:val="single"/>
        </w:rPr>
        <w:t>3 cas peuvent se présenter:</w:t>
      </w:r>
    </w:p>
    <w:p>
      <w:pPr>
        <w:numPr>
          <w:ilvl w:val="0"/>
          <w:numId w:val="99"/>
        </w:numPr>
        <w:ind w:left="719"/>
        <w:jc w:val="both"/>
        <w:rPr>
          <w:b/>
          <w:spacing w:val="2"/>
        </w:rPr>
      </w:pPr>
      <w:r>
        <w:rPr>
          <w:b/>
          <w:spacing w:val="2"/>
        </w:rPr>
        <w:t xml:space="preserve">le motif invoqué est l’une des raisons valables définies à la </w:t>
      </w:r>
      <w:hyperlink w:anchor="_2.4.1.3.1._Les_motifs" w:history="1">
        <w:r>
          <w:rPr>
            <w:rStyle w:val="Lienhypertexte"/>
            <w:color w:val="auto"/>
            <w:spacing w:val="2"/>
          </w:rPr>
          <w:t>section 2.4.1.3.1</w:t>
        </w:r>
      </w:hyperlink>
      <w:r>
        <w:rPr>
          <w:spacing w:val="2"/>
        </w:rPr>
        <w:t>;</w:t>
      </w:r>
    </w:p>
    <w:p>
      <w:pPr>
        <w:numPr>
          <w:ilvl w:val="0"/>
          <w:numId w:val="99"/>
        </w:numPr>
        <w:ind w:left="719"/>
        <w:jc w:val="both"/>
        <w:rPr>
          <w:b/>
          <w:spacing w:val="2"/>
        </w:rPr>
      </w:pPr>
      <w:r>
        <w:rPr>
          <w:b/>
          <w:spacing w:val="2"/>
        </w:rPr>
        <w:t xml:space="preserve">le motif invoqué relève du cas de </w:t>
      </w:r>
      <w:hyperlink w:anchor="_2.3.1.3.2._Raisons_liées" w:history="1">
        <w:r>
          <w:rPr>
            <w:rStyle w:val="Lienhypertexte"/>
            <w:b/>
            <w:color w:val="auto"/>
            <w:spacing w:val="2"/>
          </w:rPr>
          <w:t xml:space="preserve">force majeure ou de la nécessité absolue </w:t>
        </w:r>
      </w:hyperlink>
      <w:r>
        <w:rPr>
          <w:b/>
          <w:spacing w:val="2"/>
        </w:rPr>
        <w:t>;</w:t>
      </w:r>
    </w:p>
    <w:p>
      <w:pPr>
        <w:numPr>
          <w:ilvl w:val="0"/>
          <w:numId w:val="99"/>
        </w:numPr>
        <w:ind w:left="719"/>
        <w:jc w:val="both"/>
        <w:rPr>
          <w:b/>
          <w:spacing w:val="2"/>
        </w:rPr>
      </w:pPr>
      <w:r>
        <w:rPr>
          <w:b/>
          <w:spacing w:val="2"/>
        </w:rPr>
        <w:t>le motif invoqué ne peut justifier un changement d’école ou d’implantation à comptage séparé.</w:t>
      </w:r>
    </w:p>
    <w:p>
      <w:pPr>
        <w:pStyle w:val="Corpsdetexte3"/>
        <w:ind w:left="1621" w:hanging="1622"/>
        <w:rPr>
          <w:u w:val="single"/>
        </w:rPr>
      </w:pPr>
    </w:p>
    <w:p>
      <w:pPr>
        <w:pStyle w:val="Corpsdetexte3"/>
        <w:ind w:left="1621" w:hanging="1622"/>
        <w:rPr>
          <w:spacing w:val="-2"/>
          <w:szCs w:val="22"/>
        </w:rPr>
      </w:pPr>
      <w:r>
        <w:rPr>
          <w:u w:val="single"/>
        </w:rPr>
        <w:t>Premier cas</w:t>
      </w:r>
      <w:r>
        <w:t>:</w:t>
      </w:r>
      <w:r>
        <w:tab/>
      </w:r>
      <w:r>
        <w:rPr>
          <w:spacing w:val="-2"/>
          <w:szCs w:val="22"/>
        </w:rPr>
        <w:t xml:space="preserve">Le motif invoqué est l’une des raisons valables définies à la </w:t>
      </w:r>
      <w:hyperlink w:anchor="_2.3.2.1._Circonstances_" w:history="1">
        <w:r>
          <w:rPr>
            <w:rStyle w:val="Lienhypertexte"/>
            <w:b w:val="0"/>
            <w:color w:val="auto"/>
            <w:spacing w:val="-2"/>
            <w:szCs w:val="22"/>
          </w:rPr>
          <w:t>section 2.4.1.3.1.</w:t>
        </w:r>
      </w:hyperlink>
    </w:p>
    <w:p>
      <w:pPr>
        <w:pStyle w:val="Corpsdetexte3"/>
        <w:rPr>
          <w:b w:val="0"/>
          <w:sz w:val="16"/>
          <w:szCs w:val="16"/>
        </w:rPr>
      </w:pPr>
    </w:p>
    <w:p>
      <w:pPr>
        <w:pStyle w:val="Corpsdetexte3"/>
      </w:pPr>
      <w:r>
        <w:t>Dans ce cas, l’autorisation vaut aussi pour les frères et sœurs ou pour tout autre mineur vivant sous le même toit.</w:t>
      </w:r>
    </w:p>
    <w:p>
      <w:pPr>
        <w:jc w:val="both"/>
        <w:rPr>
          <w:spacing w:val="2"/>
          <w:sz w:val="16"/>
        </w:rPr>
      </w:pPr>
    </w:p>
    <w:p>
      <w:pPr>
        <w:jc w:val="both"/>
        <w:rPr>
          <w:spacing w:val="2"/>
        </w:rPr>
      </w:pPr>
      <w:r>
        <w:rPr>
          <w:spacing w:val="2"/>
        </w:rPr>
        <w:t>Si la direction de l’école de départ estime que le motif invoqué est avéré, elle:</w:t>
      </w:r>
    </w:p>
    <w:p>
      <w:pPr>
        <w:jc w:val="both"/>
        <w:rPr>
          <w:spacing w:val="2"/>
          <w:sz w:val="12"/>
          <w:szCs w:val="12"/>
        </w:rPr>
      </w:pPr>
    </w:p>
    <w:p>
      <w:pPr>
        <w:numPr>
          <w:ilvl w:val="0"/>
          <w:numId w:val="8"/>
        </w:numPr>
        <w:spacing w:after="100"/>
        <w:ind w:left="899" w:hanging="357"/>
        <w:jc w:val="both"/>
        <w:rPr>
          <w:spacing w:val="2"/>
        </w:rPr>
      </w:pPr>
      <w:r>
        <w:rPr>
          <w:spacing w:val="2"/>
        </w:rPr>
        <w:t xml:space="preserve">accorde le changement d’école ou d’implantation en biffant, au cadre A de </w:t>
      </w:r>
      <w:smartTag w:uri="urn:schemas-microsoft-com:office:smarttags" w:element="PersonName">
        <w:smartTagPr>
          <w:attr w:name="ProductID" w:val="la ￼Formule I"/>
        </w:smartTagPr>
        <w:r>
          <w:rPr>
            <w:spacing w:val="2"/>
          </w:rPr>
          <w:t xml:space="preserve">la </w:t>
        </w:r>
        <w:r>
          <w:rPr>
            <w:spacing w:val="2"/>
          </w:rPr>
          <w:br/>
          <w:t>Formule I</w:t>
        </w:r>
      </w:smartTag>
      <w:r>
        <w:rPr>
          <w:spacing w:val="2"/>
        </w:rPr>
        <w:t xml:space="preserve"> (</w:t>
      </w:r>
      <w:hyperlink w:anchor="Annexe_24A_2" w:history="1">
        <w:r>
          <w:rPr>
            <w:rStyle w:val="Lienhypertexte"/>
            <w:color w:val="auto"/>
          </w:rPr>
          <w:t xml:space="preserve">Annexe 2.4.A </w:t>
        </w:r>
        <w:r>
          <w:rPr>
            <w:rStyle w:val="Lienhypertexte"/>
            <w:color w:val="auto"/>
            <w:sz w:val="16"/>
          </w:rPr>
          <w:t>(2)</w:t>
        </w:r>
      </w:hyperlink>
      <w:r>
        <w:rPr>
          <w:spacing w:val="2"/>
        </w:rPr>
        <w:t>) la mention « avis défavorable » et, en conservant la mention « changement d’école ou d’implantation autorisé »;</w:t>
      </w:r>
    </w:p>
    <w:p>
      <w:pPr>
        <w:numPr>
          <w:ilvl w:val="0"/>
          <w:numId w:val="8"/>
        </w:numPr>
        <w:spacing w:after="100"/>
        <w:ind w:left="899" w:hanging="357"/>
        <w:jc w:val="both"/>
        <w:rPr>
          <w:spacing w:val="2"/>
        </w:rPr>
      </w:pPr>
      <w:r>
        <w:rPr>
          <w:spacing w:val="2"/>
        </w:rPr>
        <w:t>complète le cadre B (dernier jour de classe dans l’école de départ);</w:t>
      </w:r>
    </w:p>
    <w:p>
      <w:pPr>
        <w:numPr>
          <w:ilvl w:val="0"/>
          <w:numId w:val="8"/>
        </w:numPr>
        <w:spacing w:after="100"/>
        <w:ind w:left="899" w:hanging="357"/>
        <w:jc w:val="both"/>
        <w:rPr>
          <w:spacing w:val="2"/>
        </w:rPr>
      </w:pPr>
      <w:r>
        <w:rPr>
          <w:spacing w:val="2"/>
        </w:rPr>
        <w:t xml:space="preserve">ventile le dossier comme suit, </w:t>
      </w:r>
      <w:r>
        <w:rPr>
          <w:spacing w:val="2"/>
          <w:u w:val="single"/>
        </w:rPr>
        <w:t>dans les 3 jours ouvrables</w:t>
      </w:r>
      <w:r>
        <w:rPr>
          <w:spacing w:val="2"/>
        </w:rPr>
        <w:t xml:space="preserve"> qui suivent la réception de la demande: </w:t>
      </w:r>
    </w:p>
    <w:p>
      <w:pPr>
        <w:numPr>
          <w:ilvl w:val="2"/>
          <w:numId w:val="8"/>
        </w:numPr>
        <w:spacing w:after="100"/>
        <w:ind w:left="2159" w:hanging="357"/>
        <w:jc w:val="both"/>
        <w:rPr>
          <w:spacing w:val="2"/>
        </w:rPr>
      </w:pPr>
      <w:r>
        <w:rPr>
          <w:spacing w:val="2"/>
        </w:rPr>
        <w:t>remet l’original de la formule I aux parents afin qu’ils puissent procéder à l’inscription de l’élève dans le nouvel établissement;</w:t>
      </w:r>
    </w:p>
    <w:p>
      <w:pPr>
        <w:numPr>
          <w:ilvl w:val="2"/>
          <w:numId w:val="8"/>
        </w:numPr>
        <w:spacing w:after="100"/>
        <w:ind w:left="2159" w:hanging="357"/>
        <w:jc w:val="both"/>
        <w:rPr>
          <w:spacing w:val="2"/>
        </w:rPr>
      </w:pPr>
      <w:r>
        <w:rPr>
          <w:spacing w:val="2"/>
        </w:rPr>
        <w:t xml:space="preserve">conserve une copie de tous les documents dans ses propres archives et les tient à disposition du service de l’Inspection et du service de </w:t>
      </w:r>
      <w:smartTag w:uri="urn:schemas-microsoft-com:office:smarttags" w:element="PersonName">
        <w:smartTagPr>
          <w:attr w:name="ProductID" w:val="la V￩rification"/>
        </w:smartTagPr>
        <w:r>
          <w:rPr>
            <w:spacing w:val="2"/>
          </w:rPr>
          <w:t>la Vérification</w:t>
        </w:r>
      </w:smartTag>
      <w:r>
        <w:rPr>
          <w:spacing w:val="2"/>
        </w:rPr>
        <w:t>;</w:t>
      </w:r>
    </w:p>
    <w:p>
      <w:pPr>
        <w:numPr>
          <w:ilvl w:val="0"/>
          <w:numId w:val="8"/>
        </w:numPr>
        <w:spacing w:after="100"/>
        <w:ind w:left="899" w:hanging="357"/>
        <w:jc w:val="both"/>
        <w:rPr>
          <w:spacing w:val="2"/>
        </w:rPr>
      </w:pPr>
      <w:r>
        <w:rPr>
          <w:spacing w:val="2"/>
        </w:rPr>
        <w:t xml:space="preserve">si le/les élève(s) concerné(s) par l’autorisation de changement a/ont bénéficié d’une dérogation d’âge (voir </w:t>
      </w:r>
      <w:hyperlink w:anchor="chapitre2_3" w:history="1">
        <w:r>
          <w:rPr>
            <w:rStyle w:val="Lienhypertexte"/>
            <w:color w:val="auto"/>
            <w:spacing w:val="2"/>
          </w:rPr>
          <w:t>chapitre 2.3.</w:t>
        </w:r>
      </w:hyperlink>
      <w:r>
        <w:rPr>
          <w:spacing w:val="2"/>
        </w:rPr>
        <w:t>), joindre une copie de la dérogation au dossier afin que l’école d’arrivée puisse en disposer.</w:t>
      </w:r>
    </w:p>
    <w:p>
      <w:pPr>
        <w:jc w:val="both"/>
        <w:rPr>
          <w:spacing w:val="2"/>
          <w:sz w:val="16"/>
          <w:szCs w:val="16"/>
        </w:rPr>
      </w:pPr>
    </w:p>
    <w:p>
      <w:pPr>
        <w:jc w:val="both"/>
      </w:pPr>
      <w:r>
        <w:t>Si le motif invoqué par les parents n’est pas établi, la direction de l’école de départ peut néanmoins accorder le changement d’école ou d’implantation si, après audition des parents ou de la personne investie de l‘autorité parentale, elle estime que la demande relève d’un cas de force majeure ou de nécessité absolue. La direction applique alors la procédure décrite ci-dessous.</w:t>
      </w:r>
    </w:p>
    <w:p>
      <w:pPr>
        <w:jc w:val="both"/>
      </w:pPr>
    </w:p>
    <w:p>
      <w:pPr>
        <w:jc w:val="both"/>
      </w:pPr>
    </w:p>
    <w:p>
      <w:pPr>
        <w:jc w:val="both"/>
      </w:pPr>
    </w:p>
    <w:p>
      <w:pPr>
        <w:jc w:val="both"/>
      </w:pPr>
    </w:p>
    <w:p>
      <w:pPr>
        <w:pStyle w:val="Corpsdetexte3"/>
        <w:rPr>
          <w:spacing w:val="-2"/>
        </w:rPr>
      </w:pPr>
      <w:r>
        <w:rPr>
          <w:spacing w:val="-2"/>
          <w:u w:val="single"/>
        </w:rPr>
        <w:t>Second cas</w:t>
      </w:r>
      <w:r>
        <w:rPr>
          <w:spacing w:val="-2"/>
        </w:rPr>
        <w:t>:</w:t>
      </w:r>
      <w:r>
        <w:rPr>
          <w:spacing w:val="-2"/>
        </w:rPr>
        <w:tab/>
      </w:r>
      <w:r>
        <w:rPr>
          <w:spacing w:val="-6"/>
          <w:szCs w:val="22"/>
        </w:rPr>
        <w:t xml:space="preserve">Le motif invoqué ne relève pas des raisons valables définies à la </w:t>
      </w:r>
      <w:hyperlink w:anchor="_2.3.2.1._Circonstances_" w:history="1">
        <w:r>
          <w:rPr>
            <w:rStyle w:val="Lienhypertexte"/>
            <w:b w:val="0"/>
            <w:color w:val="auto"/>
            <w:spacing w:val="-6"/>
            <w:szCs w:val="22"/>
          </w:rPr>
          <w:t>section 2.4.1.3.1,</w:t>
        </w:r>
      </w:hyperlink>
      <w:r>
        <w:rPr>
          <w:spacing w:val="-6"/>
          <w:szCs w:val="22"/>
        </w:rPr>
        <w:t xml:space="preserve"> mais du cas de force majeure ou de la nécessité absolue</w:t>
      </w:r>
      <w:r>
        <w:rPr>
          <w:b w:val="0"/>
          <w:spacing w:val="-6"/>
          <w:szCs w:val="22"/>
        </w:rPr>
        <w:t xml:space="preserve"> </w:t>
      </w:r>
      <w:hyperlink w:anchor="section2_4_1_3_2" w:history="1">
        <w:r>
          <w:rPr>
            <w:b w:val="0"/>
            <w:spacing w:val="-6"/>
            <w:szCs w:val="22"/>
          </w:rPr>
          <w:t>(</w:t>
        </w:r>
        <w:r>
          <w:rPr>
            <w:rStyle w:val="Lienhypertexte"/>
            <w:b w:val="0"/>
            <w:color w:val="auto"/>
            <w:spacing w:val="-6"/>
            <w:szCs w:val="22"/>
          </w:rPr>
          <w:t>section 2.4.1.3.2</w:t>
        </w:r>
      </w:hyperlink>
      <w:r>
        <w:rPr>
          <w:b w:val="0"/>
          <w:spacing w:val="-6"/>
          <w:szCs w:val="22"/>
        </w:rPr>
        <w:t>).</w:t>
      </w:r>
    </w:p>
    <w:p>
      <w:pPr>
        <w:pStyle w:val="Corpsdetexte3"/>
        <w:rPr>
          <w:spacing w:val="-2"/>
          <w:sz w:val="16"/>
          <w:szCs w:val="16"/>
        </w:rPr>
      </w:pPr>
    </w:p>
    <w:p>
      <w:pPr>
        <w:pStyle w:val="Corpsdetexte3"/>
        <w:rPr>
          <w:spacing w:val="0"/>
          <w:szCs w:val="22"/>
        </w:rPr>
      </w:pPr>
      <w:r>
        <w:rPr>
          <w:spacing w:val="0"/>
          <w:szCs w:val="22"/>
        </w:rPr>
        <w:t>Dans ce cas, si plusieurs enfants d’une même famille sont concernés, une demande spécifique est établie pour chacun d’eux.</w:t>
      </w:r>
    </w:p>
    <w:p>
      <w:pPr>
        <w:jc w:val="both"/>
        <w:rPr>
          <w:i/>
          <w:spacing w:val="2"/>
          <w:sz w:val="16"/>
          <w:szCs w:val="16"/>
        </w:rPr>
      </w:pPr>
    </w:p>
    <w:p>
      <w:pPr>
        <w:jc w:val="both"/>
        <w:rPr>
          <w:spacing w:val="2"/>
        </w:rPr>
      </w:pPr>
      <w:r>
        <w:rPr>
          <w:spacing w:val="2"/>
        </w:rPr>
        <w:t xml:space="preserve">La direction de l’école de départ peut accorder le changement d’école </w:t>
      </w:r>
      <w:r>
        <w:rPr>
          <w:spacing w:val="2"/>
          <w:u w:val="single"/>
        </w:rPr>
        <w:t>si après audition des parents ou de la personne investie de l’autorité parentale</w:t>
      </w:r>
      <w:r>
        <w:rPr>
          <w:spacing w:val="2"/>
        </w:rPr>
        <w:t>, elle estime que la demande est fondée sur un cas de force majeure ou de nécessité absolue et qu’elle correspond à l’intérêt de l’élève.</w:t>
      </w:r>
    </w:p>
    <w:p>
      <w:pPr>
        <w:jc w:val="both"/>
        <w:rPr>
          <w:spacing w:val="2"/>
          <w:sz w:val="16"/>
          <w:szCs w:val="16"/>
        </w:rPr>
      </w:pPr>
    </w:p>
    <w:p>
      <w:pPr>
        <w:jc w:val="both"/>
        <w:rPr>
          <w:b/>
          <w:spacing w:val="-4"/>
          <w:szCs w:val="22"/>
        </w:rPr>
      </w:pPr>
      <w:r>
        <w:rPr>
          <w:spacing w:val="-4"/>
          <w:szCs w:val="22"/>
        </w:rPr>
        <w:t>Il est à noter que l’audition des parents ou de la personne investie de l’autorité parentale est obligatoire et doit être retranscrite dans un procès-verbal signé par les différentes parties (</w:t>
      </w:r>
      <w:hyperlink w:anchor="Annexe_24D" w:history="1">
        <w:r>
          <w:rPr>
            <w:rStyle w:val="Lienhypertexte"/>
            <w:color w:val="auto"/>
            <w:spacing w:val="-4"/>
            <w:szCs w:val="22"/>
          </w:rPr>
          <w:t>Annexe 2.4.D</w:t>
        </w:r>
      </w:hyperlink>
      <w:r>
        <w:rPr>
          <w:b/>
          <w:spacing w:val="-4"/>
          <w:szCs w:val="22"/>
        </w:rPr>
        <w:t>).</w:t>
      </w:r>
    </w:p>
    <w:p>
      <w:pPr>
        <w:jc w:val="both"/>
        <w:rPr>
          <w:spacing w:val="2"/>
          <w:sz w:val="16"/>
          <w:szCs w:val="16"/>
        </w:rPr>
      </w:pPr>
    </w:p>
    <w:p>
      <w:pPr>
        <w:jc w:val="both"/>
        <w:rPr>
          <w:spacing w:val="2"/>
        </w:rPr>
      </w:pPr>
      <w:r>
        <w:rPr>
          <w:spacing w:val="2"/>
        </w:rPr>
        <w:t xml:space="preserve">Le changement d’école est autorisé </w:t>
      </w:r>
      <w:r>
        <w:rPr>
          <w:spacing w:val="2"/>
          <w:u w:val="single"/>
        </w:rPr>
        <w:t>dans les 3 jours ouvrables</w:t>
      </w:r>
      <w:r>
        <w:rPr>
          <w:spacing w:val="2"/>
        </w:rPr>
        <w:t xml:space="preserve"> qui suivent la réception de la demande complétée par les parents ou par la personne investie de l’autorité parentale. </w:t>
      </w:r>
    </w:p>
    <w:p>
      <w:pPr>
        <w:pStyle w:val="Corpsdetexte3"/>
        <w:rPr>
          <w:spacing w:val="-2"/>
          <w:sz w:val="16"/>
          <w:szCs w:val="16"/>
        </w:rPr>
      </w:pPr>
    </w:p>
    <w:p>
      <w:pPr>
        <w:jc w:val="both"/>
        <w:rPr>
          <w:spacing w:val="2"/>
        </w:rPr>
      </w:pPr>
      <w:r>
        <w:rPr>
          <w:spacing w:val="2"/>
        </w:rPr>
        <w:t>La direction de l’école de départ:</w:t>
      </w:r>
    </w:p>
    <w:p>
      <w:pPr>
        <w:jc w:val="both"/>
        <w:rPr>
          <w:spacing w:val="2"/>
          <w:sz w:val="12"/>
          <w:szCs w:val="12"/>
        </w:rPr>
      </w:pPr>
    </w:p>
    <w:p>
      <w:pPr>
        <w:numPr>
          <w:ilvl w:val="0"/>
          <w:numId w:val="8"/>
        </w:numPr>
        <w:spacing w:after="100"/>
        <w:ind w:left="899" w:hanging="357"/>
        <w:jc w:val="both"/>
        <w:rPr>
          <w:spacing w:val="2"/>
        </w:rPr>
      </w:pPr>
      <w:r>
        <w:rPr>
          <w:spacing w:val="2"/>
        </w:rPr>
        <w:t xml:space="preserve">accorde le changement d’école ou d’implantation en biffant, au cadre A de </w:t>
      </w:r>
      <w:smartTag w:uri="urn:schemas-microsoft-com:office:smarttags" w:element="PersonName">
        <w:smartTagPr>
          <w:attr w:name="ProductID" w:val="la ￼Formule I"/>
        </w:smartTagPr>
        <w:r>
          <w:rPr>
            <w:spacing w:val="2"/>
          </w:rPr>
          <w:t xml:space="preserve">la </w:t>
        </w:r>
        <w:r>
          <w:rPr>
            <w:spacing w:val="2"/>
          </w:rPr>
          <w:br/>
          <w:t>Formule I</w:t>
        </w:r>
      </w:smartTag>
      <w:r>
        <w:rPr>
          <w:spacing w:val="2"/>
        </w:rPr>
        <w:t xml:space="preserve"> (</w:t>
      </w:r>
      <w:hyperlink w:anchor="Annexe_24A_2" w:history="1">
        <w:r>
          <w:rPr>
            <w:rStyle w:val="Lienhypertexte"/>
            <w:color w:val="auto"/>
          </w:rPr>
          <w:t xml:space="preserve">Annexe 2.4.A </w:t>
        </w:r>
        <w:r>
          <w:rPr>
            <w:rStyle w:val="Lienhypertexte"/>
            <w:color w:val="auto"/>
            <w:sz w:val="16"/>
          </w:rPr>
          <w:t>(2)</w:t>
        </w:r>
      </w:hyperlink>
      <w:r>
        <w:rPr>
          <w:spacing w:val="2"/>
        </w:rPr>
        <w:t>) la mention « avis défavorable » et, en conservant la mention « changement d’école ou d’implantation autorisé »;</w:t>
      </w:r>
    </w:p>
    <w:p>
      <w:pPr>
        <w:numPr>
          <w:ilvl w:val="0"/>
          <w:numId w:val="8"/>
        </w:numPr>
        <w:spacing w:after="100"/>
        <w:ind w:left="899" w:hanging="357"/>
        <w:jc w:val="both"/>
        <w:rPr>
          <w:spacing w:val="2"/>
        </w:rPr>
      </w:pPr>
      <w:r>
        <w:rPr>
          <w:spacing w:val="2"/>
        </w:rPr>
        <w:t>complète le cadre B (dernier jour de classe dans l’école de départ);</w:t>
      </w:r>
    </w:p>
    <w:p>
      <w:pPr>
        <w:numPr>
          <w:ilvl w:val="0"/>
          <w:numId w:val="8"/>
        </w:numPr>
        <w:ind w:left="899"/>
        <w:jc w:val="both"/>
        <w:rPr>
          <w:spacing w:val="2"/>
        </w:rPr>
      </w:pPr>
      <w:r>
        <w:rPr>
          <w:spacing w:val="2"/>
        </w:rPr>
        <w:t>complète la formule II (</w:t>
      </w:r>
      <w:hyperlink w:anchor="Annexe_24B" w:history="1">
        <w:r>
          <w:rPr>
            <w:rStyle w:val="Lienhypertexte"/>
            <w:color w:val="auto"/>
            <w:spacing w:val="2"/>
          </w:rPr>
          <w:t>Annexe 2.4.B</w:t>
        </w:r>
      </w:hyperlink>
      <w:r>
        <w:rPr>
          <w:spacing w:val="2"/>
        </w:rPr>
        <w:t>) en justifiant son avis de manière circonstanciée;</w:t>
      </w:r>
    </w:p>
    <w:p>
      <w:pPr>
        <w:numPr>
          <w:ilvl w:val="0"/>
          <w:numId w:val="8"/>
        </w:numPr>
        <w:spacing w:after="100"/>
        <w:ind w:left="899" w:hanging="357"/>
        <w:jc w:val="both"/>
        <w:rPr>
          <w:spacing w:val="2"/>
        </w:rPr>
      </w:pPr>
      <w:r>
        <w:rPr>
          <w:spacing w:val="2"/>
        </w:rPr>
        <w:t xml:space="preserve">ventile le dossier comme suit, </w:t>
      </w:r>
      <w:r>
        <w:rPr>
          <w:spacing w:val="2"/>
          <w:u w:val="single"/>
        </w:rPr>
        <w:t>dans les 3 jours ouvrables</w:t>
      </w:r>
      <w:r>
        <w:rPr>
          <w:spacing w:val="2"/>
        </w:rPr>
        <w:t xml:space="preserve"> qui suivent la réception de la demande: </w:t>
      </w:r>
    </w:p>
    <w:p>
      <w:pPr>
        <w:numPr>
          <w:ilvl w:val="2"/>
          <w:numId w:val="8"/>
        </w:numPr>
        <w:spacing w:after="100"/>
        <w:ind w:left="2159" w:hanging="357"/>
        <w:jc w:val="both"/>
        <w:rPr>
          <w:spacing w:val="2"/>
        </w:rPr>
      </w:pPr>
      <w:r>
        <w:rPr>
          <w:spacing w:val="2"/>
        </w:rPr>
        <w:t>remet l’original de la formule I aux parents afin qu’ils puissent procéder à l’inscription de l’élève dans le nouvel établissement;</w:t>
      </w:r>
    </w:p>
    <w:p>
      <w:pPr>
        <w:numPr>
          <w:ilvl w:val="2"/>
          <w:numId w:val="8"/>
        </w:numPr>
        <w:spacing w:after="100"/>
        <w:ind w:left="2159" w:hanging="357"/>
        <w:jc w:val="both"/>
        <w:rPr>
          <w:spacing w:val="2"/>
        </w:rPr>
      </w:pPr>
      <w:r>
        <w:rPr>
          <w:spacing w:val="2"/>
        </w:rPr>
        <w:t xml:space="preserve">conserve une copie de la formule I, l’original de la formule II et le PV d’audition dans ses propres archives et les tient à disposition du service de l’Inspection et du service de </w:t>
      </w:r>
      <w:smartTag w:uri="urn:schemas-microsoft-com:office:smarttags" w:element="PersonName">
        <w:smartTagPr>
          <w:attr w:name="ProductID" w:val="la V￩rification"/>
        </w:smartTagPr>
        <w:r>
          <w:rPr>
            <w:spacing w:val="2"/>
          </w:rPr>
          <w:t>la Vérification</w:t>
        </w:r>
      </w:smartTag>
      <w:r>
        <w:rPr>
          <w:spacing w:val="2"/>
        </w:rPr>
        <w:t>;</w:t>
      </w:r>
    </w:p>
    <w:p>
      <w:pPr>
        <w:numPr>
          <w:ilvl w:val="0"/>
          <w:numId w:val="8"/>
        </w:numPr>
        <w:spacing w:after="100"/>
        <w:ind w:left="899" w:hanging="357"/>
        <w:jc w:val="both"/>
        <w:rPr>
          <w:spacing w:val="2"/>
        </w:rPr>
      </w:pPr>
      <w:r>
        <w:rPr>
          <w:spacing w:val="2"/>
        </w:rPr>
        <w:t xml:space="preserve">si le/les élève(s) concerné(s) par l’autorisation de changement a/ont bénéficié d’une dérogation d’âge (voir </w:t>
      </w:r>
      <w:hyperlink w:anchor="chapitre2_3" w:history="1">
        <w:r>
          <w:rPr>
            <w:rStyle w:val="Lienhypertexte"/>
            <w:spacing w:val="2"/>
          </w:rPr>
          <w:t>chapitre 2.3</w:t>
        </w:r>
      </w:hyperlink>
      <w:r>
        <w:rPr>
          <w:spacing w:val="2"/>
        </w:rPr>
        <w:t>), joindre une copie de la dérogation au dossier afin que l’école d’arrivée puisse en disposer.</w:t>
      </w:r>
    </w:p>
    <w:p>
      <w:pPr>
        <w:numPr>
          <w:ilvl w:val="0"/>
          <w:numId w:val="8"/>
        </w:numPr>
        <w:ind w:left="899"/>
        <w:jc w:val="both"/>
        <w:rPr>
          <w:b/>
          <w:spacing w:val="-2"/>
          <w:szCs w:val="22"/>
        </w:rPr>
      </w:pPr>
      <w:r>
        <w:rPr>
          <w:b/>
          <w:spacing w:val="-2"/>
          <w:szCs w:val="22"/>
        </w:rPr>
        <w:t xml:space="preserve">si un changement d’implantation à comptage séparé engendre une situation nouvelle au regard des normes de rationalisation ou de programmation (voir </w:t>
      </w:r>
      <w:hyperlink w:anchor="chapitre3_1" w:history="1">
        <w:r>
          <w:rPr>
            <w:rStyle w:val="Lienhypertexte"/>
            <w:color w:val="auto"/>
            <w:spacing w:val="-2"/>
            <w:szCs w:val="22"/>
          </w:rPr>
          <w:t>Chapitre 3.1</w:t>
        </w:r>
      </w:hyperlink>
      <w:r>
        <w:rPr>
          <w:b/>
          <w:spacing w:val="-2"/>
          <w:szCs w:val="22"/>
        </w:rPr>
        <w:t xml:space="preserve">) ou encore des normes d’encadrement (voir </w:t>
      </w:r>
      <w:hyperlink w:anchor="Chapitre3_2" w:history="1">
        <w:r>
          <w:rPr>
            <w:rStyle w:val="Lienhypertexte"/>
            <w:color w:val="auto"/>
            <w:spacing w:val="-2"/>
            <w:szCs w:val="22"/>
          </w:rPr>
          <w:t>Chapitres 3.2</w:t>
        </w:r>
      </w:hyperlink>
      <w:r>
        <w:rPr>
          <w:b/>
          <w:spacing w:val="-2"/>
          <w:szCs w:val="22"/>
        </w:rPr>
        <w:t xml:space="preserve"> et </w:t>
      </w:r>
      <w:hyperlink w:anchor="Chapitre3_4" w:history="1">
        <w:r>
          <w:rPr>
            <w:rStyle w:val="Lienhypertexte"/>
            <w:spacing w:val="-2"/>
            <w:szCs w:val="22"/>
          </w:rPr>
          <w:t>3.4.</w:t>
        </w:r>
      </w:hyperlink>
      <w:r>
        <w:rPr>
          <w:b/>
          <w:spacing w:val="-2"/>
          <w:szCs w:val="22"/>
        </w:rPr>
        <w:t xml:space="preserve">) de l’implantation de départ ou d’arrivée, transmet également sans délai une copie des Formules I et II au service de </w:t>
      </w:r>
      <w:smartTag w:uri="urn:schemas-microsoft-com:office:smarttags" w:element="PersonName">
        <w:smartTagPr>
          <w:attr w:name="ProductID" w:val="la V￩rification."/>
        </w:smartTagPr>
        <w:r>
          <w:rPr>
            <w:b/>
            <w:spacing w:val="-2"/>
            <w:szCs w:val="22"/>
          </w:rPr>
          <w:t>la Vérification.</w:t>
        </w:r>
      </w:smartTag>
      <w:r>
        <w:rPr>
          <w:b/>
          <w:spacing w:val="-2"/>
          <w:szCs w:val="22"/>
        </w:rPr>
        <w:t xml:space="preserve"> </w:t>
      </w:r>
    </w:p>
    <w:p>
      <w:pPr>
        <w:jc w:val="both"/>
        <w:rPr>
          <w:b/>
          <w:spacing w:val="-2"/>
          <w:sz w:val="12"/>
          <w:szCs w:val="12"/>
        </w:rPr>
      </w:pPr>
    </w:p>
    <w:p>
      <w:pPr>
        <w:jc w:val="center"/>
        <w:rPr>
          <w:spacing w:val="2"/>
          <w:szCs w:val="22"/>
        </w:rPr>
      </w:pPr>
    </w:p>
    <w:p>
      <w:pPr>
        <w:ind w:left="1799" w:hanging="1800"/>
        <w:jc w:val="both"/>
        <w:rPr>
          <w:b/>
          <w:spacing w:val="2"/>
        </w:rPr>
      </w:pPr>
      <w:r>
        <w:rPr>
          <w:b/>
          <w:spacing w:val="2"/>
          <w:u w:val="single"/>
        </w:rPr>
        <w:t>Troisième cas</w:t>
      </w:r>
      <w:r>
        <w:rPr>
          <w:b/>
          <w:spacing w:val="2"/>
        </w:rPr>
        <w:t>:</w:t>
      </w:r>
      <w:r>
        <w:rPr>
          <w:b/>
          <w:spacing w:val="2"/>
        </w:rPr>
        <w:tab/>
        <w:t>les motifs invoqués ne peuvent justifier un changement d’école ou d’implantation à comptage séparé.</w:t>
      </w:r>
    </w:p>
    <w:p>
      <w:pPr>
        <w:jc w:val="both"/>
        <w:rPr>
          <w:spacing w:val="2"/>
          <w:sz w:val="16"/>
          <w:szCs w:val="16"/>
        </w:rPr>
      </w:pPr>
    </w:p>
    <w:p>
      <w:pPr>
        <w:jc w:val="both"/>
        <w:rPr>
          <w:b/>
          <w:spacing w:val="-4"/>
          <w:szCs w:val="22"/>
        </w:rPr>
      </w:pPr>
      <w:r>
        <w:rPr>
          <w:b/>
          <w:spacing w:val="-4"/>
          <w:szCs w:val="22"/>
        </w:rPr>
        <w:t xml:space="preserve">Il est à noter que l’audition des parents est obligatoire et doit être retranscrite dans un procès-verbal signé par les différentes parties </w:t>
      </w:r>
      <w:r>
        <w:rPr>
          <w:spacing w:val="-4"/>
          <w:szCs w:val="22"/>
        </w:rPr>
        <w:t>(</w:t>
      </w:r>
      <w:hyperlink w:anchor="Annexe_24D" w:history="1">
        <w:r>
          <w:rPr>
            <w:rStyle w:val="Lienhypertexte"/>
            <w:color w:val="auto"/>
            <w:spacing w:val="-4"/>
            <w:szCs w:val="22"/>
          </w:rPr>
          <w:t>Annexe 2.4.D</w:t>
        </w:r>
      </w:hyperlink>
      <w:r>
        <w:rPr>
          <w:spacing w:val="-4"/>
          <w:szCs w:val="22"/>
        </w:rPr>
        <w:t>).</w:t>
      </w:r>
    </w:p>
    <w:p>
      <w:pPr>
        <w:jc w:val="both"/>
        <w:rPr>
          <w:spacing w:val="2"/>
          <w:sz w:val="16"/>
          <w:szCs w:val="16"/>
        </w:rPr>
      </w:pPr>
    </w:p>
    <w:p>
      <w:pPr>
        <w:jc w:val="both"/>
        <w:rPr>
          <w:spacing w:val="2"/>
          <w:szCs w:val="22"/>
        </w:rPr>
      </w:pPr>
      <w:r>
        <w:rPr>
          <w:rFonts w:cs="Arial"/>
          <w:b/>
          <w:szCs w:val="22"/>
          <w:u w:val="single"/>
        </w:rPr>
        <w:t>Attention :</w:t>
      </w:r>
      <w:r>
        <w:rPr>
          <w:rFonts w:cs="Arial"/>
          <w:b/>
          <w:szCs w:val="22"/>
        </w:rPr>
        <w:t xml:space="preserve"> </w:t>
      </w:r>
      <w:r>
        <w:rPr>
          <w:rFonts w:cs="Arial"/>
          <w:szCs w:val="22"/>
        </w:rPr>
        <w:t xml:space="preserve">si les parents ne se présentent pas à l’audition, un procès-verbal de carence peut être établi. Si les parents ne veulent pas apposer leur signature sur le procès-verbal, ils ont la possibilité d’y inscrire leurs remarques éventuelles. Dans tous les cas, le dossier doit être transmis au service de l’Inspection de l’enseignement fondamental ordinaire dans les 3 jours ouvrables à dater de la réception de la demande introduite par les parents. </w:t>
      </w:r>
    </w:p>
    <w:p>
      <w:pPr>
        <w:jc w:val="both"/>
        <w:rPr>
          <w:spacing w:val="2"/>
          <w:sz w:val="16"/>
          <w:szCs w:val="16"/>
        </w:rPr>
      </w:pPr>
    </w:p>
    <w:p>
      <w:pPr>
        <w:jc w:val="both"/>
        <w:rPr>
          <w:i/>
          <w:spacing w:val="2"/>
        </w:rPr>
      </w:pPr>
      <w:r>
        <w:rPr>
          <w:i/>
          <w:spacing w:val="2"/>
          <w:u w:val="single"/>
        </w:rPr>
        <w:t>Si après audition des parents ou de la personne investie de l’autorité parentale</w:t>
      </w:r>
      <w:r>
        <w:rPr>
          <w:i/>
          <w:spacing w:val="2"/>
        </w:rPr>
        <w:t>, l’avis de la direction de l’école est défavorable, elle:</w:t>
      </w:r>
    </w:p>
    <w:p>
      <w:pPr>
        <w:jc w:val="both"/>
        <w:rPr>
          <w:i/>
          <w:spacing w:val="2"/>
          <w:sz w:val="12"/>
          <w:szCs w:val="12"/>
        </w:rPr>
      </w:pPr>
    </w:p>
    <w:p>
      <w:pPr>
        <w:numPr>
          <w:ilvl w:val="0"/>
          <w:numId w:val="8"/>
        </w:numPr>
        <w:ind w:left="899"/>
        <w:jc w:val="both"/>
        <w:rPr>
          <w:spacing w:val="2"/>
        </w:rPr>
      </w:pPr>
      <w:r>
        <w:rPr>
          <w:spacing w:val="2"/>
        </w:rPr>
        <w:t>remet son avis en biffant au cadre A de la formule I (</w:t>
      </w:r>
      <w:hyperlink w:anchor="Annexe_24A_2" w:history="1">
        <w:r>
          <w:rPr>
            <w:rStyle w:val="Lienhypertexte"/>
            <w:color w:val="auto"/>
          </w:rPr>
          <w:t xml:space="preserve">Annexe 2.4.A </w:t>
        </w:r>
        <w:r>
          <w:rPr>
            <w:rStyle w:val="Lienhypertexte"/>
            <w:color w:val="auto"/>
            <w:sz w:val="16"/>
            <w:szCs w:val="16"/>
          </w:rPr>
          <w:t>(2)</w:t>
        </w:r>
      </w:hyperlink>
      <w:r>
        <w:rPr>
          <w:spacing w:val="2"/>
        </w:rPr>
        <w:t>) la mention « changement d’école ou d’implantation autorisé » et, en conservant la mention « avis défavorable »;</w:t>
      </w:r>
    </w:p>
    <w:p>
      <w:pPr>
        <w:numPr>
          <w:ilvl w:val="0"/>
          <w:numId w:val="8"/>
        </w:numPr>
        <w:ind w:left="899"/>
        <w:jc w:val="both"/>
        <w:rPr>
          <w:spacing w:val="2"/>
        </w:rPr>
      </w:pPr>
      <w:r>
        <w:rPr>
          <w:spacing w:val="2"/>
        </w:rPr>
        <w:t>complète la formule II (</w:t>
      </w:r>
      <w:hyperlink w:anchor="Annexe_24B" w:history="1">
        <w:r>
          <w:rPr>
            <w:rStyle w:val="Lienhypertexte"/>
            <w:color w:val="auto"/>
            <w:spacing w:val="2"/>
          </w:rPr>
          <w:t>Annexe 2.4.B</w:t>
        </w:r>
      </w:hyperlink>
      <w:r>
        <w:rPr>
          <w:spacing w:val="2"/>
        </w:rPr>
        <w:t>) en justifiant son avis de manière circonstanciée;</w:t>
      </w:r>
    </w:p>
    <w:p>
      <w:pPr>
        <w:numPr>
          <w:ilvl w:val="0"/>
          <w:numId w:val="8"/>
        </w:numPr>
        <w:ind w:left="899"/>
        <w:jc w:val="both"/>
        <w:rPr>
          <w:spacing w:val="2"/>
        </w:rPr>
      </w:pPr>
      <w:r>
        <w:rPr>
          <w:spacing w:val="2"/>
        </w:rPr>
        <w:t xml:space="preserve">transmet au service de l’Inspection de l’enseignement fondamental ordinaire </w:t>
      </w:r>
      <w:r>
        <w:rPr>
          <w:i/>
          <w:spacing w:val="2"/>
        </w:rPr>
        <w:t>(City Center I, bd. du Jardin Botanique 20-22 à 1000 BRUXELLES)</w:t>
      </w:r>
      <w:r>
        <w:rPr>
          <w:spacing w:val="2"/>
        </w:rPr>
        <w:t xml:space="preserve">, </w:t>
      </w:r>
      <w:r>
        <w:rPr>
          <w:b/>
          <w:spacing w:val="2"/>
        </w:rPr>
        <w:t xml:space="preserve">la formule I originale, la formule II originale, le procès-verbal d’audition </w:t>
      </w:r>
      <w:r>
        <w:rPr>
          <w:b/>
          <w:spacing w:val="2"/>
          <w:u w:val="single"/>
        </w:rPr>
        <w:t>(</w:t>
      </w:r>
      <w:hyperlink w:anchor="Annexe_24D" w:history="1">
        <w:r>
          <w:rPr>
            <w:rStyle w:val="Lienhypertexte"/>
            <w:b/>
            <w:color w:val="auto"/>
            <w:spacing w:val="2"/>
          </w:rPr>
          <w:t>Annexe 2.4.D</w:t>
        </w:r>
      </w:hyperlink>
      <w:r>
        <w:rPr>
          <w:b/>
          <w:spacing w:val="2"/>
          <w:u w:val="single"/>
        </w:rPr>
        <w:t>)</w:t>
      </w:r>
      <w:r>
        <w:rPr>
          <w:b/>
          <w:spacing w:val="2"/>
        </w:rPr>
        <w:t xml:space="preserve"> ainsi que les documents annexes éventuels</w:t>
      </w:r>
      <w:r>
        <w:rPr>
          <w:spacing w:val="2"/>
        </w:rPr>
        <w:t xml:space="preserve"> dans les </w:t>
      </w:r>
      <w:r>
        <w:rPr>
          <w:spacing w:val="2"/>
          <w:u w:val="single"/>
        </w:rPr>
        <w:t>3 jours ouvrables</w:t>
      </w:r>
      <w:r>
        <w:rPr>
          <w:spacing w:val="2"/>
        </w:rPr>
        <w:t xml:space="preserve"> qui suivent la réception de la demande des parents.</w:t>
      </w:r>
    </w:p>
    <w:p>
      <w:pPr>
        <w:ind w:left="539"/>
        <w:jc w:val="both"/>
        <w:rPr>
          <w:spacing w:val="2"/>
        </w:rPr>
      </w:pPr>
    </w:p>
    <w:p>
      <w:pPr>
        <w:pBdr>
          <w:top w:val="single" w:sz="4" w:space="1" w:color="auto"/>
          <w:left w:val="single" w:sz="4" w:space="4" w:color="auto"/>
          <w:bottom w:val="single" w:sz="4" w:space="3" w:color="auto"/>
          <w:right w:val="single" w:sz="4" w:space="4" w:color="auto"/>
        </w:pBdr>
        <w:ind w:left="539"/>
        <w:jc w:val="center"/>
        <w:rPr>
          <w:b/>
          <w:spacing w:val="2"/>
        </w:rPr>
      </w:pPr>
      <w:r>
        <w:rPr>
          <w:b/>
          <w:spacing w:val="2"/>
        </w:rPr>
        <w:t>Service de l’Inspection de l’enseignement fondamental ordinaire</w:t>
      </w:r>
    </w:p>
    <w:p>
      <w:pPr>
        <w:pBdr>
          <w:top w:val="single" w:sz="4" w:space="1" w:color="auto"/>
          <w:left w:val="single" w:sz="4" w:space="4" w:color="auto"/>
          <w:bottom w:val="single" w:sz="4" w:space="3" w:color="auto"/>
          <w:right w:val="single" w:sz="4" w:space="4" w:color="auto"/>
        </w:pBdr>
        <w:ind w:left="539"/>
        <w:jc w:val="center"/>
        <w:rPr>
          <w:spacing w:val="2"/>
        </w:rPr>
      </w:pPr>
      <w:r>
        <w:rPr>
          <w:spacing w:val="2"/>
        </w:rPr>
        <w:t>City Center I</w:t>
      </w:r>
    </w:p>
    <w:p>
      <w:pPr>
        <w:pBdr>
          <w:top w:val="single" w:sz="4" w:space="1" w:color="auto"/>
          <w:left w:val="single" w:sz="4" w:space="4" w:color="auto"/>
          <w:bottom w:val="single" w:sz="4" w:space="3" w:color="auto"/>
          <w:right w:val="single" w:sz="4" w:space="4" w:color="auto"/>
        </w:pBdr>
        <w:ind w:left="539"/>
        <w:jc w:val="center"/>
        <w:rPr>
          <w:spacing w:val="2"/>
        </w:rPr>
      </w:pPr>
      <w:r>
        <w:rPr>
          <w:spacing w:val="2"/>
        </w:rPr>
        <w:t>Boulevard du Jardin Botanique 20-22</w:t>
      </w:r>
    </w:p>
    <w:p>
      <w:pPr>
        <w:pBdr>
          <w:top w:val="single" w:sz="4" w:space="1" w:color="auto"/>
          <w:left w:val="single" w:sz="4" w:space="4" w:color="auto"/>
          <w:bottom w:val="single" w:sz="4" w:space="3" w:color="auto"/>
          <w:right w:val="single" w:sz="4" w:space="4" w:color="auto"/>
        </w:pBdr>
        <w:ind w:left="539"/>
        <w:jc w:val="center"/>
        <w:rPr>
          <w:spacing w:val="2"/>
        </w:rPr>
      </w:pPr>
      <w:r>
        <w:rPr>
          <w:spacing w:val="2"/>
        </w:rPr>
        <w:t>1000 BRUXELLES</w:t>
      </w:r>
    </w:p>
    <w:p>
      <w:pPr>
        <w:pBdr>
          <w:top w:val="single" w:sz="4" w:space="1" w:color="auto"/>
          <w:left w:val="single" w:sz="4" w:space="4" w:color="auto"/>
          <w:bottom w:val="single" w:sz="4" w:space="3" w:color="auto"/>
          <w:right w:val="single" w:sz="4" w:space="4" w:color="auto"/>
        </w:pBdr>
        <w:ind w:left="539"/>
        <w:jc w:val="center"/>
      </w:pPr>
      <w:r>
        <w:sym w:font="Wingdings" w:char="F028"/>
      </w:r>
      <w:r>
        <w:t xml:space="preserve"> 02/690.80.75</w:t>
      </w:r>
    </w:p>
    <w:p>
      <w:pPr>
        <w:pBdr>
          <w:top w:val="single" w:sz="4" w:space="1" w:color="auto"/>
          <w:left w:val="single" w:sz="4" w:space="4" w:color="auto"/>
          <w:bottom w:val="single" w:sz="4" w:space="3" w:color="auto"/>
          <w:right w:val="single" w:sz="4" w:space="4" w:color="auto"/>
        </w:pBdr>
        <w:ind w:left="539"/>
        <w:jc w:val="center"/>
        <w:rPr>
          <w:spacing w:val="2"/>
        </w:rPr>
      </w:pPr>
      <w:r>
        <w:t xml:space="preserve"> </w:t>
      </w:r>
      <w:r>
        <w:rPr>
          <w:lang w:val="en-GB"/>
        </w:rPr>
        <w:sym w:font="Webdings" w:char="F0CA"/>
      </w:r>
      <w:r>
        <w:t xml:space="preserve"> 02/690.80.91 </w:t>
      </w:r>
    </w:p>
    <w:p>
      <w:pPr>
        <w:ind w:left="359" w:hanging="360"/>
        <w:jc w:val="both"/>
        <w:rPr>
          <w:b/>
        </w:rPr>
      </w:pPr>
    </w:p>
    <w:p>
      <w:pPr>
        <w:ind w:left="359" w:hanging="360"/>
        <w:jc w:val="both"/>
        <w:rPr>
          <w:b/>
        </w:rPr>
      </w:pPr>
      <w:r>
        <w:rPr>
          <w:b/>
        </w:rPr>
        <w:t>3.</w:t>
      </w:r>
      <w:r>
        <w:rPr>
          <w:b/>
        </w:rPr>
        <w:tab/>
        <w:t xml:space="preserve">Traitement du dossier par le service de l’Inspection de l’enseignement fondamental ordinaire et </w:t>
      </w:r>
      <w:smartTag w:uri="urn:schemas-microsoft-com:office:smarttags" w:element="PersonName">
        <w:smartTagPr>
          <w:attr w:name="ProductID" w:val="la Direction"/>
        </w:smartTagPr>
        <w:r>
          <w:rPr>
            <w:b/>
          </w:rPr>
          <w:t>la Direction</w:t>
        </w:r>
      </w:smartTag>
      <w:r>
        <w:rPr>
          <w:b/>
        </w:rPr>
        <w:t xml:space="preserve"> générale de l’enseignement obligatoire.</w:t>
      </w:r>
    </w:p>
    <w:p>
      <w:pPr>
        <w:ind w:left="359" w:hanging="360"/>
        <w:jc w:val="both"/>
        <w:rPr>
          <w:b/>
          <w:sz w:val="8"/>
          <w:szCs w:val="8"/>
        </w:rPr>
      </w:pPr>
    </w:p>
    <w:p>
      <w:pPr>
        <w:spacing w:after="100"/>
        <w:ind w:left="356"/>
        <w:jc w:val="both"/>
        <w:rPr>
          <w:spacing w:val="2"/>
        </w:rPr>
      </w:pPr>
      <w:r>
        <w:rPr>
          <w:spacing w:val="2"/>
        </w:rPr>
        <w:t xml:space="preserve">Conformément aux prescrits légaux, le service de l’Inspection de l’enseignement fondamental doit auditionner les parents et transmettre son avis circonstancié à </w:t>
      </w:r>
      <w:smartTag w:uri="urn:schemas-microsoft-com:office:smarttags" w:element="PersonName">
        <w:smartTagPr>
          <w:attr w:name="ProductID" w:val="la Direction"/>
        </w:smartTagPr>
        <w:r>
          <w:rPr>
            <w:spacing w:val="2"/>
          </w:rPr>
          <w:t>la Direction</w:t>
        </w:r>
      </w:smartTag>
      <w:r>
        <w:rPr>
          <w:spacing w:val="2"/>
        </w:rPr>
        <w:t xml:space="preserve"> générale de l’enseignement obligatoire dans les 10 jours ouvrables de la réception de la demande. </w:t>
      </w:r>
    </w:p>
    <w:p>
      <w:pPr>
        <w:spacing w:after="100"/>
        <w:ind w:left="356"/>
        <w:jc w:val="both"/>
      </w:pPr>
      <w:smartTag w:uri="urn:schemas-microsoft-com:office:smarttags" w:element="PersonName">
        <w:smartTagPr>
          <w:attr w:name="ProductID" w:val="la Direction"/>
        </w:smartTagPr>
        <w:r>
          <w:rPr>
            <w:spacing w:val="2"/>
          </w:rPr>
          <w:t>La Direction</w:t>
        </w:r>
      </w:smartTag>
      <w:r>
        <w:rPr>
          <w:spacing w:val="2"/>
        </w:rPr>
        <w:t xml:space="preserve"> générale de l’enseignement obligatoire doit rendre sa décision dans les </w:t>
      </w:r>
      <w:r>
        <w:rPr>
          <w:spacing w:val="2"/>
        </w:rPr>
        <w:br/>
        <w:t>10 jours ouvrables à dater de la réception de la demande transmise par le service de l’Inspection de l’enseignement fondamental ordinaire.</w:t>
      </w:r>
    </w:p>
    <w:p>
      <w:pPr>
        <w:jc w:val="both"/>
        <w:rPr>
          <w:sz w:val="16"/>
          <w:szCs w:val="16"/>
        </w:rPr>
      </w:pPr>
    </w:p>
    <w:p>
      <w:pPr>
        <w:pBdr>
          <w:top w:val="single" w:sz="4" w:space="1" w:color="auto"/>
          <w:left w:val="single" w:sz="4" w:space="4" w:color="auto"/>
          <w:bottom w:val="single" w:sz="4" w:space="1" w:color="auto"/>
          <w:right w:val="single" w:sz="4" w:space="31" w:color="auto"/>
        </w:pBdr>
        <w:ind w:left="540" w:right="612"/>
        <w:jc w:val="center"/>
        <w:rPr>
          <w:b/>
        </w:rPr>
      </w:pPr>
      <w:r>
        <w:rPr>
          <w:b/>
        </w:rPr>
        <w:t>Direction générale de l’enseignement obligatoire</w:t>
      </w:r>
    </w:p>
    <w:p>
      <w:pPr>
        <w:pBdr>
          <w:top w:val="single" w:sz="4" w:space="1" w:color="auto"/>
          <w:left w:val="single" w:sz="4" w:space="4" w:color="auto"/>
          <w:bottom w:val="single" w:sz="4" w:space="1" w:color="auto"/>
          <w:right w:val="single" w:sz="4" w:space="31" w:color="auto"/>
        </w:pBdr>
        <w:ind w:left="540" w:right="612"/>
        <w:jc w:val="center"/>
      </w:pPr>
      <w:r>
        <w:t>Service général de l’Enseignement fondamental et de l’Enseignement spécialisé</w:t>
      </w:r>
    </w:p>
    <w:p>
      <w:pPr>
        <w:pBdr>
          <w:top w:val="single" w:sz="4" w:space="1" w:color="auto"/>
          <w:left w:val="single" w:sz="4" w:space="4" w:color="auto"/>
          <w:bottom w:val="single" w:sz="4" w:space="1" w:color="auto"/>
          <w:right w:val="single" w:sz="4" w:space="31" w:color="auto"/>
        </w:pBdr>
        <w:ind w:left="540" w:right="612"/>
        <w:jc w:val="center"/>
      </w:pPr>
      <w:r>
        <w:t>Madame Claudia LEFRERE</w:t>
      </w:r>
    </w:p>
    <w:p>
      <w:pPr>
        <w:pBdr>
          <w:top w:val="single" w:sz="4" w:space="1" w:color="auto"/>
          <w:left w:val="single" w:sz="4" w:space="4" w:color="auto"/>
          <w:bottom w:val="single" w:sz="4" w:space="1" w:color="auto"/>
          <w:right w:val="single" w:sz="4" w:space="31" w:color="auto"/>
        </w:pBdr>
        <w:ind w:left="540" w:right="612"/>
        <w:jc w:val="center"/>
      </w:pPr>
      <w:r>
        <w:t>Rue Adolphe Lavallée, 1</w:t>
      </w:r>
    </w:p>
    <w:p>
      <w:pPr>
        <w:numPr>
          <w:ilvl w:val="0"/>
          <w:numId w:val="110"/>
        </w:numPr>
        <w:pBdr>
          <w:top w:val="single" w:sz="4" w:space="1" w:color="auto"/>
          <w:left w:val="single" w:sz="4" w:space="4" w:color="auto"/>
          <w:bottom w:val="single" w:sz="4" w:space="1" w:color="auto"/>
          <w:right w:val="single" w:sz="4" w:space="31" w:color="auto"/>
        </w:pBdr>
        <w:tabs>
          <w:tab w:val="clear" w:pos="1560"/>
        </w:tabs>
        <w:ind w:left="1080" w:right="612" w:hanging="540"/>
        <w:jc w:val="center"/>
      </w:pPr>
      <w:r>
        <w:t>BRUXELLES – bureau 2F258</w:t>
      </w:r>
    </w:p>
    <w:p>
      <w:pPr>
        <w:pBdr>
          <w:top w:val="single" w:sz="4" w:space="1" w:color="auto"/>
          <w:left w:val="single" w:sz="4" w:space="4" w:color="auto"/>
          <w:bottom w:val="single" w:sz="4" w:space="1" w:color="auto"/>
          <w:right w:val="single" w:sz="4" w:space="31" w:color="auto"/>
        </w:pBdr>
        <w:ind w:left="540" w:right="612"/>
        <w:jc w:val="center"/>
      </w:pPr>
      <w:r>
        <w:rPr>
          <w:lang w:val="en-GB"/>
        </w:rPr>
        <w:sym w:font="Wingdings" w:char="F028"/>
      </w:r>
      <w:r>
        <w:t xml:space="preserve">: 02/690.84.00  </w:t>
      </w:r>
      <w:r>
        <w:rPr>
          <w:lang w:val="en-GB"/>
        </w:rPr>
        <w:sym w:font="Webdings" w:char="F0CA"/>
      </w:r>
      <w:r>
        <w:t xml:space="preserve">: 02/690.85.99    </w:t>
      </w:r>
    </w:p>
    <w:p>
      <w:pPr>
        <w:jc w:val="center"/>
        <w:rPr>
          <w:b/>
          <w:spacing w:val="2"/>
        </w:rPr>
      </w:pPr>
    </w:p>
    <w:p>
      <w:pPr>
        <w:jc w:val="both"/>
        <w:rPr>
          <w:spacing w:val="2"/>
        </w:rPr>
      </w:pPr>
      <w:r>
        <w:rPr>
          <w:spacing w:val="2"/>
        </w:rPr>
        <w:t>Le défaut d’avis du service de l’Inspection de l’enseignement fondamental dans le délai fixé à 10 jours ouvrables est assimilé à un avis favorable de cette dernière.</w:t>
      </w:r>
    </w:p>
    <w:p>
      <w:pPr>
        <w:jc w:val="both"/>
        <w:rPr>
          <w:sz w:val="16"/>
          <w:szCs w:val="16"/>
        </w:rPr>
      </w:pPr>
    </w:p>
    <w:p>
      <w:pPr>
        <w:jc w:val="both"/>
      </w:pPr>
      <w:r>
        <w:t xml:space="preserve">L’absence de réponse de </w:t>
      </w:r>
      <w:smartTag w:uri="urn:schemas-microsoft-com:office:smarttags" w:element="PersonName">
        <w:smartTagPr>
          <w:attr w:name="ProductID" w:val="la Direction"/>
        </w:smartTagPr>
        <w:r>
          <w:t>la Direction</w:t>
        </w:r>
      </w:smartTag>
      <w:r>
        <w:t xml:space="preserve"> générale de l’enseignement obligatoire dans les dix jours ouvrables à dater de la réception de la demande transmise par le service de l’Inspection de l’enseignement fondamental ordinaire est assimilée à un accord.  </w:t>
      </w:r>
    </w:p>
    <w:p>
      <w:pPr>
        <w:jc w:val="both"/>
      </w:pPr>
    </w:p>
    <w:p>
      <w:pPr>
        <w:jc w:val="both"/>
      </w:pPr>
      <w:r>
        <w:t xml:space="preserve">Dans tous les cas, un courrier est envoyé aux parents, à l’école d’origine et au service de l’Inspection de l’enseignement fondamental pour les avertir de la décision rendue. </w:t>
      </w:r>
    </w:p>
    <w:p>
      <w:pPr>
        <w:jc w:val="both"/>
        <w:rPr>
          <w:szCs w:val="22"/>
        </w:rPr>
      </w:pPr>
    </w:p>
    <w:p>
      <w:pPr>
        <w:ind w:left="359" w:hanging="360"/>
        <w:jc w:val="both"/>
        <w:rPr>
          <w:b/>
          <w:spacing w:val="-2"/>
          <w:szCs w:val="22"/>
        </w:rPr>
      </w:pPr>
      <w:r>
        <w:rPr>
          <w:b/>
        </w:rPr>
        <w:t>4.</w:t>
      </w:r>
      <w:r>
        <w:rPr>
          <w:b/>
        </w:rPr>
        <w:tab/>
      </w:r>
      <w:r>
        <w:rPr>
          <w:b/>
          <w:spacing w:val="-2"/>
          <w:szCs w:val="22"/>
        </w:rPr>
        <w:t xml:space="preserve">Traitement final du dossier par la direction de l’école de départ (après intervention de </w:t>
      </w:r>
      <w:smartTag w:uri="urn:schemas-microsoft-com:office:smarttags" w:element="PersonName">
        <w:smartTagPr>
          <w:attr w:name="ProductID" w:val="la DGEO"/>
        </w:smartTagPr>
        <w:r>
          <w:rPr>
            <w:b/>
            <w:spacing w:val="-2"/>
            <w:szCs w:val="22"/>
          </w:rPr>
          <w:t>la DGEO</w:t>
        </w:r>
      </w:smartTag>
      <w:r>
        <w:rPr>
          <w:b/>
          <w:spacing w:val="-2"/>
          <w:szCs w:val="22"/>
        </w:rPr>
        <w:t>)</w:t>
      </w:r>
    </w:p>
    <w:p>
      <w:pPr>
        <w:jc w:val="both"/>
        <w:rPr>
          <w:sz w:val="16"/>
        </w:rPr>
      </w:pPr>
    </w:p>
    <w:p>
      <w:pPr>
        <w:jc w:val="both"/>
      </w:pPr>
      <w:r>
        <w:t>Le directeur de l’école de départ, après retour du dossier:</w:t>
      </w:r>
    </w:p>
    <w:p>
      <w:pPr>
        <w:jc w:val="both"/>
        <w:rPr>
          <w:sz w:val="16"/>
        </w:rPr>
      </w:pPr>
    </w:p>
    <w:p>
      <w:pPr>
        <w:numPr>
          <w:ilvl w:val="0"/>
          <w:numId w:val="8"/>
        </w:numPr>
        <w:ind w:left="899"/>
        <w:jc w:val="both"/>
        <w:rPr>
          <w:spacing w:val="2"/>
        </w:rPr>
      </w:pPr>
      <w:r>
        <w:rPr>
          <w:spacing w:val="2"/>
        </w:rPr>
        <w:t xml:space="preserve">complète, </w:t>
      </w:r>
      <w:r>
        <w:rPr>
          <w:spacing w:val="2"/>
          <w:u w:val="single"/>
        </w:rPr>
        <w:t>en cas de changement autorisé</w:t>
      </w:r>
      <w:r>
        <w:rPr>
          <w:spacing w:val="2"/>
        </w:rPr>
        <w:t>, le cadre B de la formule I (</w:t>
      </w:r>
      <w:hyperlink w:anchor="Annexe_24A_2" w:history="1">
        <w:r>
          <w:rPr>
            <w:rStyle w:val="Lienhypertexte"/>
            <w:color w:val="auto"/>
          </w:rPr>
          <w:t xml:space="preserve">Annexe 2.4.A </w:t>
        </w:r>
        <w:r>
          <w:rPr>
            <w:rStyle w:val="Lienhypertexte"/>
            <w:color w:val="auto"/>
            <w:sz w:val="16"/>
            <w:szCs w:val="16"/>
          </w:rPr>
          <w:t>(2)</w:t>
        </w:r>
      </w:hyperlink>
      <w:r>
        <w:rPr>
          <w:spacing w:val="2"/>
        </w:rPr>
        <w:t>);</w:t>
      </w:r>
    </w:p>
    <w:p>
      <w:pPr>
        <w:numPr>
          <w:ilvl w:val="0"/>
          <w:numId w:val="8"/>
        </w:numPr>
        <w:tabs>
          <w:tab w:val="clear" w:pos="900"/>
        </w:tabs>
        <w:ind w:left="899"/>
        <w:jc w:val="both"/>
        <w:rPr>
          <w:spacing w:val="2"/>
        </w:rPr>
      </w:pPr>
      <w:r>
        <w:rPr>
          <w:spacing w:val="2"/>
        </w:rPr>
        <w:t>ventile le dossier comme suit:</w:t>
      </w:r>
    </w:p>
    <w:p>
      <w:pPr>
        <w:numPr>
          <w:ilvl w:val="2"/>
          <w:numId w:val="8"/>
        </w:numPr>
        <w:tabs>
          <w:tab w:val="clear" w:pos="2160"/>
          <w:tab w:val="num" w:pos="720"/>
        </w:tabs>
        <w:ind w:left="1439" w:hanging="720"/>
        <w:jc w:val="both"/>
        <w:rPr>
          <w:spacing w:val="2"/>
        </w:rPr>
      </w:pPr>
      <w:r>
        <w:rPr>
          <w:spacing w:val="2"/>
        </w:rPr>
        <w:t>remet la formule I originale aux parents afin qu’ils puissent procéder à l’inscription de l’élève dans le nouvel établissement;</w:t>
      </w:r>
    </w:p>
    <w:p>
      <w:pPr>
        <w:numPr>
          <w:ilvl w:val="2"/>
          <w:numId w:val="8"/>
        </w:numPr>
        <w:tabs>
          <w:tab w:val="clear" w:pos="2160"/>
          <w:tab w:val="num" w:pos="720"/>
        </w:tabs>
        <w:spacing w:after="100"/>
        <w:ind w:left="1439" w:hanging="720"/>
        <w:jc w:val="both"/>
        <w:rPr>
          <w:spacing w:val="2"/>
        </w:rPr>
      </w:pPr>
      <w:r>
        <w:rPr>
          <w:spacing w:val="2"/>
        </w:rPr>
        <w:t xml:space="preserve">conserve une copie dans ses propres archives et les tient à disposition du service de l’Inspection de l’enseignement fondamental et du service de </w:t>
      </w:r>
      <w:smartTag w:uri="urn:schemas-microsoft-com:office:smarttags" w:element="PersonName">
        <w:smartTagPr>
          <w:attr w:name="ProductID" w:val="la V￩rification"/>
        </w:smartTagPr>
        <w:r>
          <w:rPr>
            <w:spacing w:val="2"/>
          </w:rPr>
          <w:t>la Vérification</w:t>
        </w:r>
      </w:smartTag>
      <w:r>
        <w:rPr>
          <w:spacing w:val="2"/>
        </w:rPr>
        <w:t>;</w:t>
      </w:r>
    </w:p>
    <w:p>
      <w:pPr>
        <w:numPr>
          <w:ilvl w:val="0"/>
          <w:numId w:val="8"/>
        </w:numPr>
        <w:ind w:left="899"/>
        <w:jc w:val="both"/>
        <w:rPr>
          <w:spacing w:val="2"/>
        </w:rPr>
      </w:pPr>
      <w:r>
        <w:rPr>
          <w:spacing w:val="2"/>
        </w:rPr>
        <w:t xml:space="preserve">si le/les élève(s) concerné(s) par l’autorisation de changement a/ont bénéficié d’une dérogation d’âge (voir </w:t>
      </w:r>
      <w:hyperlink w:anchor="chapitre2_3" w:history="1">
        <w:r>
          <w:rPr>
            <w:rStyle w:val="Lienhypertexte"/>
            <w:color w:val="auto"/>
            <w:spacing w:val="2"/>
          </w:rPr>
          <w:t>chapitre 2.3.</w:t>
        </w:r>
      </w:hyperlink>
      <w:r>
        <w:rPr>
          <w:spacing w:val="2"/>
        </w:rPr>
        <w:t>), joindre une copie de la dérogation au dossier afin que l’école d’arrivée puisse en disposer;</w:t>
      </w:r>
    </w:p>
    <w:p>
      <w:pPr>
        <w:ind w:left="539"/>
        <w:jc w:val="both"/>
        <w:rPr>
          <w:spacing w:val="2"/>
        </w:rPr>
      </w:pPr>
    </w:p>
    <w:p>
      <w:pPr>
        <w:ind w:left="539"/>
        <w:jc w:val="both"/>
        <w:rPr>
          <w:spacing w:val="2"/>
        </w:rPr>
      </w:pPr>
    </w:p>
    <w:p>
      <w:pPr>
        <w:ind w:left="539"/>
        <w:jc w:val="both"/>
        <w:rPr>
          <w:spacing w:val="2"/>
        </w:rPr>
      </w:pPr>
    </w:p>
    <w:p>
      <w:pPr>
        <w:pBdr>
          <w:top w:val="single" w:sz="4" w:space="1" w:color="auto"/>
          <w:left w:val="single" w:sz="4" w:space="4" w:color="auto"/>
          <w:bottom w:val="single" w:sz="4" w:space="1" w:color="auto"/>
          <w:right w:val="single" w:sz="4" w:space="4" w:color="auto"/>
        </w:pBdr>
        <w:jc w:val="both"/>
        <w:rPr>
          <w:spacing w:val="2"/>
          <w:szCs w:val="22"/>
        </w:rPr>
      </w:pPr>
      <w:r>
        <w:rPr>
          <w:spacing w:val="2"/>
          <w:szCs w:val="22"/>
        </w:rPr>
        <w:t xml:space="preserve">Si dans un délai de 10 jours suivant la remise des formulaires autorisant le changement aux parents, aucune information concernant l’inscription de l’élève dans la nouvelle école ne peut être obtenue par </w:t>
      </w:r>
      <w:smartTag w:uri="urn:schemas-microsoft-com:office:smarttags" w:element="PersonName">
        <w:smartTagPr>
          <w:attr w:name="ProductID" w:val="la Direction"/>
        </w:smartTagPr>
        <w:r>
          <w:rPr>
            <w:spacing w:val="2"/>
            <w:szCs w:val="22"/>
          </w:rPr>
          <w:t>la Direction</w:t>
        </w:r>
      </w:smartTag>
      <w:r>
        <w:rPr>
          <w:spacing w:val="2"/>
          <w:szCs w:val="22"/>
        </w:rPr>
        <w:t xml:space="preserve"> de l’école de départ, celle-ci prend contact avec le service de l’obligation scolaire (obsi@cfwb.be).</w:t>
      </w:r>
    </w:p>
    <w:p>
      <w:pPr>
        <w:jc w:val="both"/>
        <w:rPr>
          <w:b/>
        </w:rPr>
      </w:pPr>
    </w:p>
    <w:p>
      <w:pPr>
        <w:ind w:left="359" w:hanging="360"/>
        <w:jc w:val="both"/>
        <w:rPr>
          <w:b/>
        </w:rPr>
      </w:pPr>
      <w:r>
        <w:rPr>
          <w:b/>
        </w:rPr>
        <w:t>5.</w:t>
      </w:r>
      <w:r>
        <w:rPr>
          <w:b/>
        </w:rPr>
        <w:tab/>
        <w:t>Intervention du directeur de l'école d'arrivée</w:t>
      </w:r>
    </w:p>
    <w:p>
      <w:pPr>
        <w:jc w:val="both"/>
        <w:rPr>
          <w:sz w:val="16"/>
        </w:rPr>
      </w:pPr>
    </w:p>
    <w:p>
      <w:pPr>
        <w:jc w:val="both"/>
      </w:pPr>
      <w:r>
        <w:t>Le directeur de l’école d’arrivée ne peut accepter l’enfant que lorsqu’il est en possession de la formule autorisant le changement d’école.</w:t>
      </w:r>
    </w:p>
    <w:p>
      <w:pPr>
        <w:jc w:val="both"/>
        <w:rPr>
          <w:sz w:val="16"/>
        </w:rPr>
      </w:pPr>
    </w:p>
    <w:p>
      <w:pPr>
        <w:jc w:val="both"/>
      </w:pPr>
      <w:r>
        <w:t>Le directeur de l’école d’arrivée:</w:t>
      </w:r>
    </w:p>
    <w:p>
      <w:pPr>
        <w:jc w:val="both"/>
        <w:rPr>
          <w:sz w:val="12"/>
          <w:szCs w:val="12"/>
        </w:rPr>
      </w:pPr>
    </w:p>
    <w:p>
      <w:pPr>
        <w:numPr>
          <w:ilvl w:val="0"/>
          <w:numId w:val="8"/>
        </w:numPr>
        <w:tabs>
          <w:tab w:val="num" w:pos="540"/>
        </w:tabs>
        <w:spacing w:after="100"/>
        <w:ind w:left="537" w:hanging="357"/>
        <w:jc w:val="both"/>
        <w:rPr>
          <w:spacing w:val="2"/>
        </w:rPr>
      </w:pPr>
      <w:r>
        <w:rPr>
          <w:spacing w:val="2"/>
        </w:rPr>
        <w:t>complète le cadre C de la formule I (</w:t>
      </w:r>
      <w:hyperlink w:anchor="Annexe_24A_2" w:history="1">
        <w:r>
          <w:rPr>
            <w:rStyle w:val="Lienhypertexte"/>
            <w:color w:val="auto"/>
          </w:rPr>
          <w:t xml:space="preserve">Annexe 2.4.A </w:t>
        </w:r>
        <w:r>
          <w:rPr>
            <w:rStyle w:val="Lienhypertexte"/>
            <w:color w:val="auto"/>
            <w:sz w:val="16"/>
            <w:szCs w:val="16"/>
          </w:rPr>
          <w:t>(2)</w:t>
        </w:r>
      </w:hyperlink>
      <w:r>
        <w:rPr>
          <w:spacing w:val="2"/>
        </w:rPr>
        <w:t>);</w:t>
      </w:r>
    </w:p>
    <w:p>
      <w:pPr>
        <w:numPr>
          <w:ilvl w:val="0"/>
          <w:numId w:val="8"/>
        </w:numPr>
        <w:tabs>
          <w:tab w:val="num" w:pos="540"/>
        </w:tabs>
        <w:spacing w:after="100"/>
        <w:ind w:left="537" w:hanging="357"/>
        <w:jc w:val="both"/>
        <w:rPr>
          <w:spacing w:val="2"/>
        </w:rPr>
      </w:pPr>
      <w:r>
        <w:rPr>
          <w:spacing w:val="2"/>
        </w:rPr>
        <w:t>porte les indications requises dans la base de données SIEL et au registre de fréquentation, selon les instructions du Titre 6: Dispositions en matière de vérification.</w:t>
      </w:r>
    </w:p>
    <w:p>
      <w:pPr>
        <w:numPr>
          <w:ilvl w:val="0"/>
          <w:numId w:val="8"/>
        </w:numPr>
        <w:tabs>
          <w:tab w:val="num" w:pos="540"/>
        </w:tabs>
        <w:ind w:left="539"/>
        <w:jc w:val="both"/>
        <w:rPr>
          <w:b/>
          <w:spacing w:val="-6"/>
          <w:szCs w:val="22"/>
        </w:rPr>
      </w:pPr>
      <w:r>
        <w:rPr>
          <w:b/>
          <w:spacing w:val="-6"/>
          <w:szCs w:val="22"/>
        </w:rPr>
        <w:t>communique immédiatement par écrit la date d’arrivée effective de l’élève à la direction de l’école de départ.</w:t>
      </w:r>
    </w:p>
    <w:p>
      <w:pPr>
        <w:jc w:val="both"/>
        <w:rPr>
          <w:b/>
          <w:spacing w:val="-6"/>
          <w:szCs w:val="22"/>
        </w:rPr>
      </w:pPr>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3"/>
        <w:gridCol w:w="7776"/>
      </w:tblGrid>
      <w:tr>
        <w:tc>
          <w:tcPr>
            <w:tcW w:w="2003" w:type="dxa"/>
          </w:tcPr>
          <w:p>
            <w:pPr>
              <w:tabs>
                <w:tab w:val="num" w:pos="720"/>
              </w:tabs>
              <w:spacing w:before="120"/>
              <w:ind w:left="356" w:right="176"/>
              <w:jc w:val="both"/>
              <w:rPr>
                <w:b/>
              </w:rPr>
            </w:pPr>
            <w:r>
              <w:br w:type="page"/>
            </w:r>
            <w:r>
              <w:br w:type="page"/>
            </w:r>
            <w:r>
              <w:br w:type="page"/>
            </w:r>
            <w:r>
              <w:rPr>
                <w:b/>
              </w:rPr>
              <w:t>Situation 2</w:t>
            </w:r>
          </w:p>
        </w:tc>
        <w:tc>
          <w:tcPr>
            <w:tcW w:w="7776" w:type="dxa"/>
          </w:tcPr>
          <w:p>
            <w:pPr>
              <w:numPr>
                <w:ilvl w:val="0"/>
                <w:numId w:val="96"/>
              </w:numPr>
              <w:spacing w:before="120" w:after="120"/>
              <w:ind w:left="719" w:right="176"/>
              <w:jc w:val="both"/>
            </w:pPr>
            <w:r>
              <w:t xml:space="preserve">Communauté flamande </w:t>
            </w:r>
            <w:r>
              <w:sym w:font="Symbol" w:char="F0AE"/>
            </w:r>
            <w:r>
              <w:t xml:space="preserve"> Fédération Wallonie-Bruxelles (tous réseaux)</w:t>
            </w:r>
          </w:p>
          <w:p>
            <w:pPr>
              <w:numPr>
                <w:ilvl w:val="0"/>
                <w:numId w:val="96"/>
              </w:numPr>
              <w:spacing w:before="120" w:after="120"/>
              <w:ind w:left="719" w:right="176"/>
              <w:jc w:val="both"/>
            </w:pPr>
            <w:r>
              <w:t xml:space="preserve">Communauté germanophone </w:t>
            </w:r>
            <w:r>
              <w:sym w:font="Symbol" w:char="F0AE"/>
            </w:r>
            <w:r>
              <w:t xml:space="preserve"> Fédération Wallonie-Bruxelles (tous réseaux)</w:t>
            </w:r>
          </w:p>
          <w:p>
            <w:pPr>
              <w:numPr>
                <w:ilvl w:val="0"/>
                <w:numId w:val="96"/>
              </w:numPr>
              <w:spacing w:before="120" w:after="120"/>
              <w:ind w:left="719" w:right="176"/>
              <w:jc w:val="both"/>
            </w:pPr>
            <w:r>
              <w:t xml:space="preserve">Etranger </w:t>
            </w:r>
            <w:r>
              <w:sym w:font="Symbol" w:char="F0AE"/>
            </w:r>
            <w:r>
              <w:t xml:space="preserve"> Fédération Wallonie-Bruxelles (tous réseaux)</w:t>
            </w:r>
          </w:p>
        </w:tc>
      </w:tr>
    </w:tbl>
    <w:p>
      <w:pPr>
        <w:jc w:val="both"/>
        <w:rPr>
          <w:spacing w:val="2"/>
        </w:rPr>
      </w:pPr>
    </w:p>
    <w:p>
      <w:pPr>
        <w:jc w:val="both"/>
        <w:rPr>
          <w:szCs w:val="22"/>
        </w:rPr>
      </w:pPr>
      <w:r>
        <w:rPr>
          <w:szCs w:val="22"/>
        </w:rPr>
        <w:t>Cette situation ne constitue pas un changement d’école au sens du décret « Missions » mais doit s’analyser comme une première inscription.</w:t>
      </w:r>
    </w:p>
    <w:p>
      <w:pPr>
        <w:jc w:val="both"/>
        <w:rPr>
          <w:sz w:val="12"/>
          <w:szCs w:val="22"/>
        </w:rPr>
      </w:pPr>
    </w:p>
    <w:p>
      <w:pPr>
        <w:jc w:val="both"/>
        <w:rPr>
          <w:szCs w:val="22"/>
        </w:rPr>
      </w:pPr>
      <w:r>
        <w:rPr>
          <w:szCs w:val="22"/>
        </w:rPr>
        <w:t xml:space="preserve">Pour l’enseignement primaire, si la demande d’inscription intervient après le 30 septembre, il y a lieu de se référer à la </w:t>
      </w:r>
      <w:hyperlink w:anchor="_2.2.3.__" w:history="1">
        <w:r>
          <w:rPr>
            <w:rStyle w:val="Lienhypertexte"/>
            <w:color w:val="auto"/>
          </w:rPr>
          <w:t>s</w:t>
        </w:r>
        <w:r>
          <w:rPr>
            <w:rStyle w:val="Lienhypertexte"/>
            <w:color w:val="auto"/>
            <w:szCs w:val="22"/>
          </w:rPr>
          <w:t>ection 2.2.3.</w:t>
        </w:r>
      </w:hyperlink>
      <w:r>
        <w:rPr>
          <w:szCs w:val="22"/>
        </w:rPr>
        <w:t xml:space="preserve"> </w:t>
      </w:r>
    </w:p>
    <w:p>
      <w:pPr>
        <w:jc w:val="both"/>
        <w:rPr>
          <w:spacing w:val="2"/>
          <w:sz w:val="16"/>
          <w:szCs w:val="16"/>
        </w:rPr>
      </w:pPr>
    </w:p>
    <w:p>
      <w:pPr>
        <w:spacing w:after="80"/>
        <w:jc w:val="both"/>
        <w:rPr>
          <w:b/>
          <w:spacing w:val="2"/>
        </w:rPr>
      </w:pPr>
      <w:r>
        <w:rPr>
          <w:b/>
          <w:spacing w:val="2"/>
        </w:rPr>
        <w:t>Néanmoins, une copie de la demande d’inscription doit être adressée:</w:t>
      </w:r>
    </w:p>
    <w:p>
      <w:pPr>
        <w:numPr>
          <w:ilvl w:val="0"/>
          <w:numId w:val="98"/>
        </w:numPr>
        <w:tabs>
          <w:tab w:val="clear" w:pos="1260"/>
          <w:tab w:val="num" w:pos="900"/>
        </w:tabs>
        <w:ind w:left="899"/>
        <w:jc w:val="both"/>
        <w:rPr>
          <w:spacing w:val="2"/>
        </w:rPr>
      </w:pPr>
      <w:r>
        <w:rPr>
          <w:spacing w:val="2"/>
        </w:rPr>
        <w:t xml:space="preserve">à l’école de départ (pour </w:t>
      </w:r>
      <w:smartTag w:uri="urn:schemas-microsoft-com:office:smarttags" w:element="PersonName">
        <w:smartTagPr>
          <w:attr w:name="ProductID" w:val="la Communaut￩"/>
        </w:smartTagPr>
        <w:r>
          <w:rPr>
            <w:spacing w:val="2"/>
          </w:rPr>
          <w:t>la Communauté</w:t>
        </w:r>
      </w:smartTag>
      <w:r>
        <w:rPr>
          <w:spacing w:val="2"/>
        </w:rPr>
        <w:t xml:space="preserve"> flamande);</w:t>
      </w:r>
    </w:p>
    <w:p>
      <w:pPr>
        <w:numPr>
          <w:ilvl w:val="0"/>
          <w:numId w:val="98"/>
        </w:numPr>
        <w:tabs>
          <w:tab w:val="clear" w:pos="1260"/>
          <w:tab w:val="num" w:pos="900"/>
        </w:tabs>
        <w:ind w:left="899"/>
        <w:jc w:val="both"/>
        <w:rPr>
          <w:spacing w:val="2"/>
        </w:rPr>
      </w:pPr>
      <w:r>
        <w:rPr>
          <w:spacing w:val="2"/>
        </w:rPr>
        <w:t xml:space="preserve">au Ministère de </w:t>
      </w:r>
      <w:smartTag w:uri="urn:schemas-microsoft-com:office:smarttags" w:element="PersonName">
        <w:smartTagPr>
          <w:attr w:name="ProductID" w:val="la Communaut￩"/>
        </w:smartTagPr>
        <w:r>
          <w:rPr>
            <w:spacing w:val="2"/>
          </w:rPr>
          <w:t>la Communauté</w:t>
        </w:r>
      </w:smartTag>
      <w:r>
        <w:rPr>
          <w:spacing w:val="2"/>
        </w:rPr>
        <w:t xml:space="preserve"> germanophone, Service de l’Inspection pédagogique, Rue Gospert, 1 à 4700 EUPEN pour </w:t>
      </w:r>
      <w:smartTag w:uri="urn:schemas-microsoft-com:office:smarttags" w:element="PersonName">
        <w:smartTagPr>
          <w:attr w:name="ProductID" w:val="la Communaut￩"/>
        </w:smartTagPr>
        <w:r>
          <w:rPr>
            <w:spacing w:val="2"/>
          </w:rPr>
          <w:t>la Communauté</w:t>
        </w:r>
      </w:smartTag>
      <w:r>
        <w:rPr>
          <w:spacing w:val="2"/>
        </w:rPr>
        <w:t xml:space="preserve"> germanophone.</w:t>
      </w:r>
    </w:p>
    <w:p>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3"/>
        <w:gridCol w:w="7776"/>
      </w:tblGrid>
      <w:tr>
        <w:tc>
          <w:tcPr>
            <w:tcW w:w="2003" w:type="dxa"/>
          </w:tcPr>
          <w:p>
            <w:pPr>
              <w:tabs>
                <w:tab w:val="num" w:pos="720"/>
              </w:tabs>
              <w:spacing w:before="120"/>
              <w:ind w:left="356" w:right="176"/>
              <w:jc w:val="both"/>
              <w:rPr>
                <w:b/>
              </w:rPr>
            </w:pPr>
            <w:r>
              <w:rPr>
                <w:b/>
              </w:rPr>
              <w:t>Situation 3</w:t>
            </w:r>
          </w:p>
        </w:tc>
        <w:tc>
          <w:tcPr>
            <w:tcW w:w="7776" w:type="dxa"/>
          </w:tcPr>
          <w:p>
            <w:pPr>
              <w:numPr>
                <w:ilvl w:val="0"/>
                <w:numId w:val="97"/>
              </w:numPr>
              <w:spacing w:before="120" w:after="120"/>
              <w:ind w:left="719" w:right="176"/>
              <w:jc w:val="both"/>
            </w:pPr>
            <w:r>
              <w:t xml:space="preserve">Fédération Wallonie-Bruxelles (tous réseaux) </w:t>
            </w:r>
            <w:r>
              <w:sym w:font="Symbol" w:char="F0AE"/>
            </w:r>
            <w:r>
              <w:t xml:space="preserve"> Communauté flamande</w:t>
            </w:r>
          </w:p>
          <w:p>
            <w:pPr>
              <w:numPr>
                <w:ilvl w:val="0"/>
                <w:numId w:val="97"/>
              </w:numPr>
              <w:spacing w:before="120" w:after="120"/>
              <w:ind w:left="719" w:right="176"/>
              <w:jc w:val="both"/>
            </w:pPr>
            <w:r>
              <w:t xml:space="preserve">Fédération Wallonie-Bruxelles (tous réseaux) </w:t>
            </w:r>
            <w:r>
              <w:sym w:font="Symbol" w:char="F0AE"/>
            </w:r>
            <w:r>
              <w:t xml:space="preserve"> Communauté germanophone</w:t>
            </w:r>
          </w:p>
          <w:p>
            <w:pPr>
              <w:numPr>
                <w:ilvl w:val="0"/>
                <w:numId w:val="97"/>
              </w:numPr>
              <w:spacing w:before="120" w:after="120"/>
              <w:ind w:left="719" w:right="176"/>
              <w:jc w:val="both"/>
            </w:pPr>
            <w:r>
              <w:t xml:space="preserve">Fédération Wallonie-Bruxelles (tous réseaux) </w:t>
            </w:r>
            <w:r>
              <w:sym w:font="Symbol" w:char="F0AE"/>
            </w:r>
            <w:r>
              <w:t xml:space="preserve"> Etranger</w:t>
            </w:r>
          </w:p>
        </w:tc>
      </w:tr>
    </w:tbl>
    <w:p>
      <w:pPr>
        <w:jc w:val="both"/>
        <w:rPr>
          <w:sz w:val="16"/>
          <w:szCs w:val="22"/>
        </w:rPr>
      </w:pPr>
    </w:p>
    <w:p>
      <w:pPr>
        <w:jc w:val="both"/>
        <w:rPr>
          <w:szCs w:val="22"/>
        </w:rPr>
      </w:pPr>
      <w:r>
        <w:rPr>
          <w:szCs w:val="22"/>
        </w:rPr>
        <w:t xml:space="preserve">Lors du passage d’une école organisée ou subventionnée par </w:t>
      </w:r>
      <w:smartTag w:uri="urn:schemas-microsoft-com:office:smarttags" w:element="PersonName">
        <w:smartTagPr>
          <w:attr w:name="ProductID" w:val="la F￩d￩ration Wallonie-Bruxelles"/>
        </w:smartTagPr>
        <w:r>
          <w:rPr>
            <w:szCs w:val="22"/>
          </w:rPr>
          <w:t>la Fédération Wallonie-Bruxelles</w:t>
        </w:r>
      </w:smartTag>
      <w:r>
        <w:rPr>
          <w:szCs w:val="22"/>
        </w:rPr>
        <w:t xml:space="preserve"> vers une école organisée ou subventionnée par </w:t>
      </w:r>
      <w:smartTag w:uri="urn:schemas-microsoft-com:office:smarttags" w:element="PersonName">
        <w:smartTagPr>
          <w:attr w:name="ProductID" w:val="la Communaut￩"/>
        </w:smartTagPr>
        <w:r>
          <w:rPr>
            <w:szCs w:val="22"/>
          </w:rPr>
          <w:t>la Communauté</w:t>
        </w:r>
      </w:smartTag>
      <w:r>
        <w:rPr>
          <w:szCs w:val="22"/>
        </w:rPr>
        <w:t xml:space="preserve"> flamande ou germanophone, la procédure ainsi que la décision appartiennent à </w:t>
      </w:r>
      <w:smartTag w:uri="urn:schemas-microsoft-com:office:smarttags" w:element="PersonName">
        <w:smartTagPr>
          <w:attr w:name="ProductID" w:val="la Communaut￩"/>
        </w:smartTagPr>
        <w:r>
          <w:rPr>
            <w:szCs w:val="22"/>
          </w:rPr>
          <w:t>la Communauté</w:t>
        </w:r>
      </w:smartTag>
      <w:r>
        <w:rPr>
          <w:szCs w:val="22"/>
        </w:rPr>
        <w:t xml:space="preserve"> flamande ou germanophone.</w:t>
      </w:r>
    </w:p>
    <w:p>
      <w:pPr>
        <w:jc w:val="both"/>
        <w:rPr>
          <w:sz w:val="12"/>
          <w:szCs w:val="22"/>
        </w:rPr>
      </w:pPr>
    </w:p>
    <w:p>
      <w:pPr>
        <w:jc w:val="both"/>
        <w:rPr>
          <w:szCs w:val="22"/>
        </w:rPr>
      </w:pPr>
      <w:r>
        <w:rPr>
          <w:szCs w:val="22"/>
        </w:rPr>
        <w:t>Le directeur de l’école n’a donc aucun formulaire à remplir y compris en ce qui concerne le départ d’un élève vers une école située à l’étranger.</w:t>
      </w:r>
    </w:p>
    <w:p>
      <w:pPr>
        <w:jc w:val="both"/>
      </w:pPr>
      <w:r>
        <w:t>Cependant, la direction doit demander aux parents un écrit stipulant la scolarisation de l’enfant au sein d’une école située dans une autre communauté ou à l’étranger.</w:t>
      </w:r>
    </w:p>
    <w:p>
      <w:pPr>
        <w:jc w:val="both"/>
      </w:pPr>
    </w:p>
    <w:p>
      <w:pPr>
        <w:jc w:val="both"/>
        <w:rPr>
          <w:szCs w:val="22"/>
        </w:rPr>
      </w:pPr>
      <w:r>
        <w:t xml:space="preserve">Pour toute information concernant l’obligation scolaire : </w:t>
      </w:r>
      <w:hyperlink r:id="rId53" w:history="1">
        <w:r>
          <w:rPr>
            <w:rStyle w:val="Lienhypertexte"/>
            <w:color w:val="auto"/>
          </w:rPr>
          <w:t>obsi@cfwb.be</w:t>
        </w:r>
      </w:hyperlink>
    </w:p>
    <w:p/>
    <w:p/>
    <w:p/>
    <w:tbl>
      <w:tblPr>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3"/>
        <w:gridCol w:w="7776"/>
      </w:tblGrid>
      <w:tr>
        <w:tc>
          <w:tcPr>
            <w:tcW w:w="2003" w:type="dxa"/>
          </w:tcPr>
          <w:p>
            <w:pPr>
              <w:tabs>
                <w:tab w:val="num" w:pos="720"/>
              </w:tabs>
              <w:spacing w:before="120"/>
              <w:ind w:left="356" w:right="176"/>
              <w:jc w:val="both"/>
              <w:rPr>
                <w:b/>
              </w:rPr>
            </w:pPr>
            <w:r>
              <w:br w:type="page"/>
            </w:r>
            <w:r>
              <w:rPr>
                <w:b/>
              </w:rPr>
              <w:t>Situation 4</w:t>
            </w:r>
          </w:p>
        </w:tc>
        <w:tc>
          <w:tcPr>
            <w:tcW w:w="7776" w:type="dxa"/>
          </w:tcPr>
          <w:p>
            <w:pPr>
              <w:tabs>
                <w:tab w:val="num" w:pos="720"/>
              </w:tabs>
              <w:spacing w:before="120" w:after="120"/>
              <w:ind w:left="356" w:right="176"/>
              <w:jc w:val="both"/>
            </w:pPr>
            <w:r>
              <w:rPr>
                <w:noProof/>
                <w:lang w:val="fr-BE" w:eastAsia="fr-BE"/>
              </w:rPr>
              <w:drawing>
                <wp:inline distT="0" distB="0" distL="0" distR="0">
                  <wp:extent cx="114300" cy="114300"/>
                  <wp:effectExtent l="0" t="0" r="0" b="0"/>
                  <wp:docPr id="18" name="Image 18"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 xml:space="preserve">Enseignement primaire </w:t>
            </w:r>
            <w:r>
              <w:sym w:font="Symbol" w:char="F0AE"/>
            </w:r>
            <w:r>
              <w:t xml:space="preserve"> Enseignement secondaire</w:t>
            </w:r>
          </w:p>
        </w:tc>
      </w:tr>
    </w:tbl>
    <w:p>
      <w:pPr>
        <w:jc w:val="both"/>
        <w:rPr>
          <w:spacing w:val="2"/>
          <w:sz w:val="16"/>
        </w:rPr>
      </w:pPr>
    </w:p>
    <w:p>
      <w:pPr>
        <w:jc w:val="both"/>
        <w:rPr>
          <w:szCs w:val="22"/>
        </w:rPr>
      </w:pPr>
      <w:r>
        <w:rPr>
          <w:szCs w:val="22"/>
        </w:rPr>
        <w:t>Cette situation ne constitue pas un changement d’école au sens de la présente circulaire. L’école secondaire accepte les élèves suivant la réglementation propre à l’enseignement secondaire.</w:t>
      </w:r>
    </w:p>
    <w:p>
      <w:pPr>
        <w:jc w:val="both"/>
        <w:rPr>
          <w:sz w:val="12"/>
          <w:szCs w:val="22"/>
        </w:rPr>
      </w:pPr>
    </w:p>
    <w:p>
      <w:pPr>
        <w:jc w:val="both"/>
        <w:rPr>
          <w:szCs w:val="22"/>
        </w:rPr>
      </w:pPr>
      <w:r>
        <w:rPr>
          <w:szCs w:val="22"/>
        </w:rPr>
        <w:t>Le directeur de l’école de départ n’a donc aucun formulaire à remplir.</w:t>
      </w:r>
    </w:p>
    <w:p>
      <w:pPr>
        <w:jc w:val="both"/>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3"/>
        <w:gridCol w:w="7776"/>
      </w:tblGrid>
      <w:tr>
        <w:tc>
          <w:tcPr>
            <w:tcW w:w="2003" w:type="dxa"/>
          </w:tcPr>
          <w:p>
            <w:pPr>
              <w:tabs>
                <w:tab w:val="num" w:pos="720"/>
              </w:tabs>
              <w:spacing w:before="120"/>
              <w:ind w:left="356" w:right="176"/>
              <w:jc w:val="both"/>
              <w:rPr>
                <w:b/>
              </w:rPr>
            </w:pPr>
            <w:r>
              <w:rPr>
                <w:b/>
              </w:rPr>
              <w:t>Situation 5</w:t>
            </w:r>
          </w:p>
        </w:tc>
        <w:tc>
          <w:tcPr>
            <w:tcW w:w="7776" w:type="dxa"/>
          </w:tcPr>
          <w:p>
            <w:pPr>
              <w:tabs>
                <w:tab w:val="num" w:pos="720"/>
              </w:tabs>
              <w:spacing w:before="120" w:after="120"/>
              <w:ind w:left="356" w:right="176"/>
              <w:jc w:val="both"/>
            </w:pPr>
            <w:r>
              <w:rPr>
                <w:noProof/>
                <w:lang w:val="fr-BE" w:eastAsia="fr-BE"/>
              </w:rPr>
              <w:drawing>
                <wp:inline distT="0" distB="0" distL="0" distR="0">
                  <wp:extent cx="114300" cy="114300"/>
                  <wp:effectExtent l="0" t="0" r="0" b="0"/>
                  <wp:docPr id="19" name="Image 19"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 xml:space="preserve">Enseignement ordinaire </w:t>
            </w:r>
            <w:r>
              <w:sym w:font="Symbol" w:char="F0AE"/>
            </w:r>
            <w:r>
              <w:t xml:space="preserve"> Enseignement spécialisé</w:t>
            </w:r>
          </w:p>
        </w:tc>
      </w:tr>
    </w:tbl>
    <w:p>
      <w:pPr>
        <w:jc w:val="both"/>
        <w:rPr>
          <w:spacing w:val="2"/>
          <w:sz w:val="16"/>
        </w:rPr>
      </w:pPr>
    </w:p>
    <w:p>
      <w:pPr>
        <w:pStyle w:val="Corpsdetexte"/>
        <w:rPr>
          <w:i/>
          <w:spacing w:val="0"/>
          <w:szCs w:val="22"/>
        </w:rPr>
      </w:pPr>
      <w:r>
        <w:t>Cette situation ne constitue pas un changement d’école au sens de la présente circulaire. Il n’y a donc pas lieu de remplir de formulaires.</w:t>
      </w:r>
    </w:p>
    <w:p>
      <w:pPr>
        <w:jc w:val="both"/>
        <w:rPr>
          <w:szCs w:val="22"/>
        </w:rPr>
      </w:pPr>
      <w:r>
        <w:rPr>
          <w:szCs w:val="22"/>
        </w:rPr>
        <w:t xml:space="preserve">L’élève doit cependant être couvert par une attestation d’orientation lui permettant de se faire inscrire dans une école d’enseignement spécialisé. Cette attestation est fournie par le CPMS ou tout organisme habilité. </w:t>
      </w:r>
    </w:p>
    <w:p>
      <w:pPr>
        <w:jc w:val="both"/>
        <w:rPr>
          <w:szCs w:val="22"/>
        </w:rPr>
      </w:pPr>
      <w:r>
        <w:rPr>
          <w:szCs w:val="22"/>
        </w:rPr>
        <w:t>Le seul fait de détenir l’attestation précitée ouvre immédiatement le droit de bénéficier de l’enseignement spécialisé, sans aucune autre autorisation.</w:t>
      </w:r>
    </w:p>
    <w:p>
      <w:pPr>
        <w:jc w:val="both"/>
        <w:rPr>
          <w:szCs w:val="22"/>
        </w:rPr>
      </w:pPr>
    </w:p>
    <w:p>
      <w:pPr>
        <w:jc w:val="both"/>
        <w:rPr>
          <w:szCs w:val="22"/>
        </w:rPr>
      </w:pPr>
      <w:r>
        <w:rPr>
          <w:szCs w:val="22"/>
        </w:rPr>
        <w:t>Tout chef d’établissement d’enseignement ordinaire, tout membre de l’inspection ou les parents peuvent saisir la commission consultative de l’enseignement spécialisé sur l’opportunité de transférer dans une école d’enseignement spécialisé un élève inscrit dans une école d’enseignement ordinaire, en cas de litige entre les parties.</w:t>
      </w:r>
    </w:p>
    <w:p>
      <w:pPr>
        <w:jc w:val="both"/>
        <w:rPr>
          <w:szCs w:val="22"/>
        </w:rPr>
      </w:pPr>
      <w:r>
        <w:rPr>
          <w:szCs w:val="22"/>
        </w:rPr>
        <w:t>Si u</w:t>
      </w:r>
      <w:r>
        <w:rPr>
          <w:rFonts w:hint="eastAsia"/>
          <w:szCs w:val="22"/>
        </w:rPr>
        <w:t xml:space="preserve">n élève qui a quitté l'enseignement spécialisé sollicite sa réinscription dans l'enseignement spécialisé dans un délai de moins de </w:t>
      </w:r>
      <w:r>
        <w:rPr>
          <w:szCs w:val="22"/>
        </w:rPr>
        <w:t xml:space="preserve">2 </w:t>
      </w:r>
      <w:r>
        <w:rPr>
          <w:rFonts w:hint="eastAsia"/>
          <w:szCs w:val="22"/>
        </w:rPr>
        <w:t>ans, un nouveau rapport d'inscription ne doit pas être nécessairement établi. Néanmoins, à la demande du directeur de l'é</w:t>
      </w:r>
      <w:r>
        <w:rPr>
          <w:szCs w:val="22"/>
        </w:rPr>
        <w:t>cole</w:t>
      </w:r>
      <w:r>
        <w:rPr>
          <w:rFonts w:hint="eastAsia"/>
          <w:szCs w:val="22"/>
        </w:rPr>
        <w:t xml:space="preserve"> d'enseignement spécialisé, un rapport succinct sera fourni par le </w:t>
      </w:r>
      <w:r>
        <w:rPr>
          <w:szCs w:val="22"/>
        </w:rPr>
        <w:t xml:space="preserve">CPMS </w:t>
      </w:r>
      <w:r>
        <w:rPr>
          <w:rFonts w:hint="eastAsia"/>
          <w:szCs w:val="22"/>
        </w:rPr>
        <w:t>de la dernière école fréquentée par l'élève</w:t>
      </w:r>
      <w:r>
        <w:rPr>
          <w:szCs w:val="22"/>
        </w:rPr>
        <w:t>.</w:t>
      </w:r>
    </w:p>
    <w:p>
      <w:pPr>
        <w:jc w:val="both"/>
        <w:rPr>
          <w:szCs w:val="22"/>
        </w:rPr>
      </w:pPr>
    </w:p>
    <w:p>
      <w:pPr>
        <w:jc w:val="both"/>
        <w:rPr>
          <w:szCs w:val="22"/>
        </w:rPr>
      </w:pPr>
      <w:r>
        <w:rPr>
          <w:szCs w:val="22"/>
        </w:rPr>
        <w:t xml:space="preserve">Lorsqu’un élève quitte un établissement d’enseignement ordinaire pour une école spécialisée, le directeur de l’école d’arrivée (enseignement spécialisé) est tenu d’informer le directeur de l’école de départ (enseignement ordinaire) de sa nouvelle inscription. </w:t>
      </w:r>
    </w:p>
    <w:p>
      <w:pPr>
        <w:jc w:val="both"/>
        <w:rPr>
          <w:spacing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3"/>
        <w:gridCol w:w="7776"/>
      </w:tblGrid>
      <w:tr>
        <w:tc>
          <w:tcPr>
            <w:tcW w:w="2003" w:type="dxa"/>
          </w:tcPr>
          <w:p>
            <w:pPr>
              <w:tabs>
                <w:tab w:val="num" w:pos="720"/>
              </w:tabs>
              <w:spacing w:before="120"/>
              <w:ind w:left="356" w:right="176"/>
              <w:jc w:val="both"/>
              <w:rPr>
                <w:b/>
              </w:rPr>
            </w:pPr>
            <w:r>
              <w:rPr>
                <w:b/>
              </w:rPr>
              <w:t>Situation 6</w:t>
            </w:r>
          </w:p>
        </w:tc>
        <w:tc>
          <w:tcPr>
            <w:tcW w:w="7776" w:type="dxa"/>
          </w:tcPr>
          <w:p>
            <w:pPr>
              <w:tabs>
                <w:tab w:val="num" w:pos="720"/>
              </w:tabs>
              <w:spacing w:before="120" w:after="120"/>
              <w:ind w:left="356" w:right="176"/>
              <w:jc w:val="both"/>
            </w:pPr>
            <w:r>
              <w:rPr>
                <w:noProof/>
                <w:lang w:val="fr-BE" w:eastAsia="fr-BE"/>
              </w:rPr>
              <w:drawing>
                <wp:inline distT="0" distB="0" distL="0" distR="0">
                  <wp:extent cx="114300" cy="114300"/>
                  <wp:effectExtent l="0" t="0" r="0" b="0"/>
                  <wp:docPr id="20" name="Image 20" descr="BD15061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BD15061_"/>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ab/>
              <w:t xml:space="preserve">Enseignement spécialisé </w:t>
            </w:r>
            <w:r>
              <w:sym w:font="Symbol" w:char="F0AE"/>
            </w:r>
            <w:r>
              <w:t xml:space="preserve"> Enseignement ordinaire</w:t>
            </w:r>
          </w:p>
        </w:tc>
      </w:tr>
    </w:tbl>
    <w:p>
      <w:pPr>
        <w:jc w:val="both"/>
        <w:rPr>
          <w:spacing w:val="2"/>
          <w:sz w:val="16"/>
        </w:rPr>
      </w:pPr>
    </w:p>
    <w:p>
      <w:pPr>
        <w:pStyle w:val="Corpsdetexte"/>
        <w:rPr>
          <w:spacing w:val="0"/>
          <w:szCs w:val="22"/>
        </w:rPr>
      </w:pPr>
      <w:r>
        <w:t>Cette situation ne constitue pas un changement d’école au sens de la présente circulaire. Il n’y a donc pas lieu de remplir de formulaires de changement d’école.</w:t>
      </w:r>
    </w:p>
    <w:p>
      <w:pPr>
        <w:pStyle w:val="Corpsdetexte"/>
        <w:rPr>
          <w:spacing w:val="0"/>
          <w:szCs w:val="22"/>
        </w:rPr>
      </w:pPr>
      <w:r>
        <w:rPr>
          <w:spacing w:val="0"/>
          <w:szCs w:val="22"/>
        </w:rPr>
        <w:t>Dans le cas du transfert en cours d’année scolaire d’un élève de l’enseignement spécialisé vers l’enseignement ordinaire, les démarches incombent à la direction de l’école d’enseignement spécialisé.</w:t>
      </w:r>
    </w:p>
    <w:p>
      <w:pPr>
        <w:jc w:val="both"/>
        <w:rPr>
          <w:szCs w:val="22"/>
        </w:rPr>
      </w:pPr>
      <w:r>
        <w:rPr>
          <w:szCs w:val="22"/>
        </w:rPr>
        <w:t>Il appartient néanmoins à la direction de l’enseignement ordinaire de s’assurer que le dossier de l’élève qu’elle accueille est en ordre. Un avis motivé de réorientation non contraignant donné par le CPMS de l’enseignement spécialisé est obligatoire. Le directeur qui admet un élève sans cet avis commet une faute administrative. Cet avis doit figurer dans le dossier de l’élève et est tenu à la disposition des services d’inspection et de vérification.</w:t>
      </w:r>
    </w:p>
    <w:p>
      <w:pPr>
        <w:jc w:val="both"/>
        <w:rPr>
          <w:szCs w:val="22"/>
        </w:rPr>
      </w:pPr>
      <w:r>
        <w:rPr>
          <w:szCs w:val="22"/>
        </w:rPr>
        <w:t>Malgré un avis déconseillant le passage vers l’enseignement ordinaire, les parents peuvent prendre la décision de transférer leur enfant vers l’enseignement ordinaire.</w:t>
      </w:r>
    </w:p>
    <w:p>
      <w:pPr>
        <w:jc w:val="both"/>
        <w:rPr>
          <w:szCs w:val="22"/>
        </w:rPr>
      </w:pPr>
      <w:r>
        <w:rPr>
          <w:szCs w:val="22"/>
        </w:rPr>
        <w:t>Le CPMS de l’école d’enseignement spécialisé transmet le dossier de l’élève ou un rapport technique au CPMS qui sera chargé de poursuivre la guidance dans l’enseignement ordinaire. Dans ce dossier ou ce rapport, l’évolution de l’enfant pendant son passage dans l’enseignement spécialisé sera décrite avec un maximum de précision.</w:t>
      </w:r>
    </w:p>
    <w:p>
      <w:pPr>
        <w:jc w:val="both"/>
        <w:rPr>
          <w:szCs w:val="22"/>
        </w:rPr>
      </w:pPr>
      <w:r>
        <w:rPr>
          <w:szCs w:val="22"/>
        </w:rPr>
        <w:t>Dans l’intérêt de l’élève, le chef d’établissement d’une école d’enseignement ordinaire qui inscrit un élève issu d’une école d’enseignement spécialisé peut demander le Plan Individuel d’Apprentissage (P.I.A.) de l’élève concerné.</w:t>
      </w:r>
    </w:p>
    <w:p>
      <w:pPr>
        <w:jc w:val="both"/>
        <w:rPr>
          <w:szCs w:val="22"/>
        </w:rPr>
      </w:pPr>
      <w:r>
        <w:rPr>
          <w:szCs w:val="22"/>
        </w:rPr>
        <w:t>Le P.I.A. transmis par le chef d’établissement de l’école d’enseignement spécialisé comprendra l’entièreté des objectifs, des actions et des résultats. Le P.I.A. peut éventuellement être accompagné d’une synthèse. Il pourra être complété par des informations pertinentes qui influencent la suite de la scolarité de l’élève.</w:t>
      </w:r>
    </w:p>
    <w:p>
      <w:pPr>
        <w:pStyle w:val="Corpsdetexte"/>
        <w:rPr>
          <w:spacing w:val="0"/>
          <w:szCs w:val="22"/>
        </w:rPr>
      </w:pPr>
      <w:r>
        <w:rPr>
          <w:spacing w:val="0"/>
          <w:szCs w:val="22"/>
        </w:rPr>
        <w:t xml:space="preserve">Tout chef d’établissement d’enseignement spécialisé ou tout membre de l’inspection peut saisir la commission consultative de l’enseignement spécialisé lorsqu’il estime que le passage de l’enseignement spécialisé vers l’enseignement ordinaire pourrait nuire gravement aux intérêts et à l’éducation de l’élève transféré (voir </w:t>
      </w:r>
      <w:hyperlink w:anchor="_Chapitre_2.9._Les" w:history="1">
        <w:r>
          <w:rPr>
            <w:rStyle w:val="Lienhypertexte"/>
            <w:color w:val="auto"/>
            <w:spacing w:val="0"/>
            <w:szCs w:val="22"/>
          </w:rPr>
          <w:t>chapitre 2.9.</w:t>
        </w:r>
      </w:hyperlink>
      <w:r>
        <w:rPr>
          <w:spacing w:val="0"/>
          <w:szCs w:val="22"/>
        </w:rPr>
        <w:t>).</w:t>
      </w:r>
    </w:p>
    <w:p>
      <w:pPr>
        <w:jc w:val="both"/>
        <w:rPr>
          <w:spacing w:val="2"/>
        </w:rPr>
      </w:pPr>
    </w:p>
    <w:p>
      <w:pPr>
        <w:jc w:val="both"/>
        <w:rPr>
          <w:spacing w:val="2"/>
        </w:rPr>
      </w:pPr>
      <w:r>
        <w:rPr>
          <w:spacing w:val="2"/>
        </w:rPr>
        <w:t xml:space="preserve">Lorsqu’un élève quitte un établissement d’enseignement spécialisé pour une école ordinaire, le directeur de l’école d’arrivée (enseignement ordinaire) est tenu d’informer le directeur de l’école de départ (enseignement spécialisé) de sa nouvelle inscription. </w:t>
      </w:r>
    </w:p>
    <w:p>
      <w:pPr>
        <w:jc w:val="both"/>
        <w:rPr>
          <w:spacing w:val="2"/>
        </w:rPr>
      </w:pPr>
    </w:p>
    <w:p>
      <w:pPr>
        <w:jc w:val="both"/>
        <w:rPr>
          <w:b/>
          <w:spacing w:val="2"/>
          <w:szCs w:val="22"/>
        </w:rPr>
      </w:pPr>
      <w:r>
        <w:rPr>
          <w:b/>
          <w:spacing w:val="2"/>
          <w:szCs w:val="22"/>
          <w:u w:val="single"/>
        </w:rPr>
        <w:t>Pour toute question</w:t>
      </w:r>
      <w:r>
        <w:rPr>
          <w:b/>
          <w:spacing w:val="2"/>
          <w:szCs w:val="22"/>
        </w:rPr>
        <w:t>:</w:t>
      </w:r>
    </w:p>
    <w:p>
      <w:pPr>
        <w:jc w:val="both"/>
        <w:rPr>
          <w:b/>
          <w:spacing w:val="2"/>
          <w:szCs w:val="22"/>
        </w:rPr>
      </w:pPr>
    </w:p>
    <w:p>
      <w:pPr>
        <w:pBdr>
          <w:top w:val="single" w:sz="4" w:space="1" w:color="auto"/>
          <w:left w:val="single" w:sz="4" w:space="4" w:color="auto"/>
          <w:bottom w:val="single" w:sz="4" w:space="1" w:color="auto"/>
          <w:right w:val="single" w:sz="4" w:space="4" w:color="auto"/>
        </w:pBdr>
        <w:spacing w:before="20" w:after="20"/>
        <w:ind w:left="356" w:right="459"/>
        <w:jc w:val="center"/>
        <w:rPr>
          <w:spacing w:val="2"/>
          <w:szCs w:val="22"/>
        </w:rPr>
      </w:pPr>
      <w:r>
        <w:rPr>
          <w:spacing w:val="2"/>
          <w:szCs w:val="22"/>
        </w:rPr>
        <w:t>Direction générale de l’Enseignement obligatoire</w:t>
      </w:r>
    </w:p>
    <w:p>
      <w:pPr>
        <w:pBdr>
          <w:top w:val="single" w:sz="4" w:space="1" w:color="auto"/>
          <w:left w:val="single" w:sz="4" w:space="4" w:color="auto"/>
          <w:bottom w:val="single" w:sz="4" w:space="1" w:color="auto"/>
          <w:right w:val="single" w:sz="4" w:space="4" w:color="auto"/>
        </w:pBdr>
        <w:spacing w:before="20" w:after="20"/>
        <w:ind w:left="356" w:right="459"/>
        <w:jc w:val="center"/>
        <w:rPr>
          <w:spacing w:val="2"/>
          <w:szCs w:val="22"/>
        </w:rPr>
      </w:pPr>
      <w:r>
        <w:rPr>
          <w:spacing w:val="2"/>
          <w:szCs w:val="22"/>
        </w:rPr>
        <w:t>Service général de l’Enseignement fondamental et de l’Enseignement spécialisé</w:t>
      </w:r>
    </w:p>
    <w:p>
      <w:pPr>
        <w:pBdr>
          <w:top w:val="single" w:sz="4" w:space="1" w:color="auto"/>
          <w:left w:val="single" w:sz="4" w:space="4" w:color="auto"/>
          <w:bottom w:val="single" w:sz="4" w:space="1" w:color="auto"/>
          <w:right w:val="single" w:sz="4" w:space="4" w:color="auto"/>
        </w:pBdr>
        <w:spacing w:before="20" w:after="20"/>
        <w:ind w:left="356" w:right="459"/>
        <w:jc w:val="center"/>
        <w:rPr>
          <w:spacing w:val="2"/>
          <w:szCs w:val="22"/>
        </w:rPr>
      </w:pPr>
      <w:r>
        <w:rPr>
          <w:spacing w:val="2"/>
          <w:szCs w:val="22"/>
        </w:rPr>
        <w:t>Rue Adolphe Lavallée 1 (bureau 2F258) à 1080 BRUXELLES</w:t>
      </w:r>
    </w:p>
    <w:p>
      <w:pPr>
        <w:pBdr>
          <w:top w:val="single" w:sz="4" w:space="1" w:color="auto"/>
          <w:left w:val="single" w:sz="4" w:space="4" w:color="auto"/>
          <w:bottom w:val="single" w:sz="4" w:space="1" w:color="auto"/>
          <w:right w:val="single" w:sz="4" w:space="4" w:color="auto"/>
        </w:pBdr>
        <w:spacing w:before="20" w:after="60"/>
        <w:ind w:left="356" w:right="459"/>
        <w:rPr>
          <w:spacing w:val="2"/>
          <w:sz w:val="24"/>
        </w:rPr>
      </w:pPr>
    </w:p>
    <w:p>
      <w:pPr>
        <w:pBdr>
          <w:top w:val="single" w:sz="4" w:space="1" w:color="auto"/>
          <w:left w:val="single" w:sz="4" w:space="4" w:color="auto"/>
          <w:bottom w:val="single" w:sz="4" w:space="1" w:color="auto"/>
          <w:right w:val="single" w:sz="4" w:space="4" w:color="auto"/>
        </w:pBdr>
        <w:spacing w:before="20" w:after="20"/>
        <w:ind w:left="356" w:right="459"/>
        <w:jc w:val="center"/>
        <w:rPr>
          <w:spacing w:val="2"/>
          <w:szCs w:val="22"/>
          <w:u w:val="single"/>
          <w:lang w:val="en-GB"/>
        </w:rPr>
      </w:pPr>
      <w:r>
        <w:rPr>
          <w:spacing w:val="2"/>
          <w:szCs w:val="22"/>
          <w:u w:val="single"/>
          <w:lang w:val="en-GB"/>
        </w:rPr>
        <w:t>Madame Claudia LEFRERE</w:t>
      </w:r>
    </w:p>
    <w:p>
      <w:pPr>
        <w:pBdr>
          <w:top w:val="single" w:sz="4" w:space="1" w:color="auto"/>
          <w:left w:val="single" w:sz="4" w:space="4" w:color="auto"/>
          <w:bottom w:val="single" w:sz="4" w:space="1" w:color="auto"/>
          <w:right w:val="single" w:sz="4" w:space="4" w:color="auto"/>
        </w:pBdr>
        <w:spacing w:before="20" w:after="60"/>
        <w:ind w:left="356" w:right="459"/>
        <w:jc w:val="center"/>
        <w:rPr>
          <w:spacing w:val="2"/>
          <w:sz w:val="24"/>
          <w:lang w:val="en-GB"/>
        </w:rPr>
      </w:pPr>
      <w:r>
        <w:rPr>
          <w:lang w:val="en-GB"/>
        </w:rPr>
        <w:sym w:font="Wingdings" w:char="F028"/>
      </w:r>
      <w:r>
        <w:rPr>
          <w:lang w:val="en-GB"/>
        </w:rPr>
        <w:t xml:space="preserve">: 02/690.84.00  </w:t>
      </w:r>
      <w:r>
        <w:rPr>
          <w:lang w:val="en-GB"/>
        </w:rPr>
        <w:sym w:font="Webdings" w:char="F0CA"/>
      </w:r>
      <w:r>
        <w:rPr>
          <w:lang w:val="en-GB"/>
        </w:rPr>
        <w:t xml:space="preserve">: 02/690.85.99    </w:t>
      </w:r>
    </w:p>
    <w:p>
      <w:pPr>
        <w:pBdr>
          <w:top w:val="single" w:sz="4" w:space="1" w:color="auto"/>
          <w:left w:val="single" w:sz="4" w:space="4" w:color="auto"/>
          <w:bottom w:val="single" w:sz="4" w:space="1" w:color="auto"/>
          <w:right w:val="single" w:sz="4" w:space="4" w:color="auto"/>
        </w:pBdr>
        <w:spacing w:before="20" w:after="60"/>
        <w:ind w:left="356" w:right="459"/>
        <w:jc w:val="center"/>
        <w:rPr>
          <w:spacing w:val="2"/>
          <w:sz w:val="24"/>
          <w:lang w:val="en-GB"/>
        </w:rPr>
      </w:pPr>
      <w:r>
        <w:sym w:font="Wingdings" w:char="F03A"/>
      </w:r>
      <w:r>
        <w:rPr>
          <w:szCs w:val="22"/>
          <w:lang w:val="en-GB"/>
        </w:rPr>
        <w:t xml:space="preserve"> </w:t>
      </w:r>
      <w:hyperlink r:id="rId54" w:history="1">
        <w:r>
          <w:rPr>
            <w:rStyle w:val="Lienhypertexte"/>
            <w:color w:val="auto"/>
            <w:spacing w:val="2"/>
            <w:szCs w:val="22"/>
            <w:lang w:val="en-GB"/>
          </w:rPr>
          <w:t>claudia.lefrere@cfwb.be</w:t>
        </w:r>
      </w:hyperlink>
    </w:p>
    <w:p>
      <w:pPr>
        <w:rPr>
          <w:lang w:val="en-GB"/>
        </w:rPr>
      </w:pPr>
    </w:p>
    <w:p>
      <w:pPr>
        <w:rPr>
          <w:lang w:val="en-GB"/>
        </w:rPr>
      </w:pPr>
      <w:bookmarkStart w:id="490" w:name="_Chapitre_2.4._Intégration"/>
      <w:bookmarkEnd w:id="490"/>
    </w:p>
    <w:p>
      <w:pPr>
        <w:pStyle w:val="Titre2"/>
      </w:pPr>
      <w:bookmarkStart w:id="491" w:name="_Chapitre_2.5._"/>
      <w:bookmarkStart w:id="492" w:name="_Toc295931980"/>
      <w:bookmarkStart w:id="493" w:name="_Toc295913731"/>
      <w:bookmarkStart w:id="494" w:name="_Toc272404478"/>
      <w:bookmarkEnd w:id="491"/>
      <w:r>
        <w:br w:type="page"/>
      </w:r>
      <w:bookmarkStart w:id="495" w:name="_Toc423419992"/>
      <w:bookmarkStart w:id="496" w:name="_Toc450645199"/>
      <w:bookmarkStart w:id="497" w:name="_Toc453942435"/>
      <w:bookmarkStart w:id="498" w:name="_Toc454888052"/>
      <w:bookmarkStart w:id="499" w:name="_Toc486241714"/>
      <w:r>
        <w:t>Chapitre 2.5. Absences d'élèves en âge d'obligation scolaire</w:t>
      </w:r>
      <w:bookmarkEnd w:id="492"/>
      <w:bookmarkEnd w:id="493"/>
      <w:bookmarkEnd w:id="495"/>
      <w:bookmarkEnd w:id="496"/>
      <w:bookmarkEnd w:id="497"/>
      <w:bookmarkEnd w:id="498"/>
      <w:bookmarkEnd w:id="499"/>
      <w:r>
        <w:t xml:space="preserve"> </w:t>
      </w:r>
      <w:bookmarkEnd w:id="494"/>
    </w:p>
    <w:p>
      <w:pPr>
        <w:ind w:left="1619"/>
        <w:rPr>
          <w:sz w:val="16"/>
          <w:szCs w:val="16"/>
        </w:rPr>
      </w:pPr>
    </w:p>
    <w:p>
      <w:pPr>
        <w:pStyle w:val="Corpsdetexte"/>
        <w:ind w:left="2124" w:hanging="2124"/>
        <w:rPr>
          <w:rFonts w:cs="Times New Roman"/>
          <w:i/>
          <w:spacing w:val="0"/>
          <w:sz w:val="20"/>
          <w:szCs w:val="20"/>
          <w:lang w:val="fr-BE"/>
        </w:rPr>
      </w:pPr>
      <w:r>
        <w:rPr>
          <w:rFonts w:cs="Times New Roman"/>
          <w:b/>
          <w:i/>
          <w:spacing w:val="0"/>
          <w:u w:val="single"/>
          <w:lang w:val="fr-BE"/>
        </w:rPr>
        <w:t>Bases légales:</w:t>
      </w:r>
      <w:r>
        <w:rPr>
          <w:rFonts w:cs="Times New Roman"/>
          <w:spacing w:val="0"/>
          <w:lang w:val="fr-BE"/>
        </w:rPr>
        <w:t xml:space="preserve"> </w:t>
      </w:r>
      <w:r>
        <w:rPr>
          <w:rFonts w:cs="Times New Roman"/>
          <w:spacing w:val="0"/>
          <w:lang w:val="fr-BE"/>
        </w:rPr>
        <w:tab/>
      </w:r>
      <w:hyperlink r:id="rId55" w:history="1">
        <w:r>
          <w:rPr>
            <w:rStyle w:val="Lienhypertexte"/>
            <w:rFonts w:cs="Times New Roman"/>
            <w:i/>
            <w:color w:val="auto"/>
            <w:spacing w:val="0"/>
            <w:sz w:val="20"/>
            <w:szCs w:val="20"/>
            <w:lang w:val="fr-BE"/>
          </w:rPr>
          <w:t>Lois sur l’enseignement primaire coordonnées le 20/08/1957, article 10</w:t>
        </w:r>
      </w:hyperlink>
      <w:r>
        <w:rPr>
          <w:rFonts w:cs="Times New Roman"/>
          <w:i/>
          <w:spacing w:val="0"/>
          <w:sz w:val="20"/>
          <w:szCs w:val="20"/>
          <w:u w:val="single"/>
          <w:lang w:val="fr-BE"/>
        </w:rPr>
        <w:t>;</w:t>
      </w:r>
    </w:p>
    <w:p>
      <w:pPr>
        <w:pStyle w:val="Corpsdetexte"/>
        <w:ind w:left="1417" w:firstLine="709"/>
        <w:rPr>
          <w:rFonts w:cs="Times New Roman"/>
          <w:i/>
          <w:spacing w:val="0"/>
          <w:sz w:val="20"/>
          <w:szCs w:val="20"/>
          <w:lang w:val="fr-BE"/>
        </w:rPr>
      </w:pPr>
      <w:hyperlink r:id="rId56" w:history="1">
        <w:r>
          <w:rPr>
            <w:rStyle w:val="Lienhypertexte"/>
            <w:rFonts w:cs="Times New Roman"/>
            <w:i/>
            <w:color w:val="auto"/>
            <w:spacing w:val="0"/>
            <w:sz w:val="20"/>
            <w:szCs w:val="20"/>
            <w:lang w:val="fr-BE"/>
          </w:rPr>
          <w:t>Décret-Missions du 24/07/1997 article 8</w:t>
        </w:r>
      </w:hyperlink>
      <w:r>
        <w:rPr>
          <w:rFonts w:cs="Times New Roman"/>
          <w:i/>
          <w:spacing w:val="0"/>
          <w:sz w:val="20"/>
          <w:szCs w:val="20"/>
          <w:lang w:val="fr-BE"/>
        </w:rPr>
        <w:t>;</w:t>
      </w:r>
    </w:p>
    <w:p>
      <w:pPr>
        <w:pStyle w:val="Corpsdetexte"/>
        <w:ind w:left="2126"/>
        <w:rPr>
          <w:rFonts w:cs="Times New Roman"/>
          <w:i/>
          <w:spacing w:val="0"/>
          <w:sz w:val="20"/>
          <w:szCs w:val="20"/>
          <w:lang w:val="fr-BE"/>
        </w:rPr>
      </w:pPr>
      <w:hyperlink r:id="rId57" w:history="1">
        <w:r>
          <w:rPr>
            <w:rStyle w:val="Lienhypertexte"/>
            <w:rFonts w:cs="Times New Roman"/>
            <w:i/>
            <w:color w:val="auto"/>
            <w:spacing w:val="0"/>
            <w:sz w:val="20"/>
            <w:szCs w:val="20"/>
            <w:lang w:val="fr-BE"/>
          </w:rPr>
          <w:t>Arrêté du Gouvernement de la C.F. du 22/05/2014 portant application des articles 8, § 1</w:t>
        </w:r>
        <w:r>
          <w:rPr>
            <w:rStyle w:val="Lienhypertexte"/>
            <w:rFonts w:cs="Times New Roman"/>
            <w:i/>
            <w:color w:val="auto"/>
            <w:spacing w:val="0"/>
            <w:sz w:val="20"/>
            <w:szCs w:val="20"/>
            <w:vertAlign w:val="superscript"/>
            <w:lang w:val="fr-BE"/>
          </w:rPr>
          <w:t>er</w:t>
        </w:r>
        <w:r>
          <w:rPr>
            <w:rStyle w:val="Lienhypertexte"/>
            <w:rFonts w:cs="Times New Roman"/>
            <w:i/>
            <w:color w:val="auto"/>
            <w:spacing w:val="0"/>
            <w:sz w:val="20"/>
            <w:szCs w:val="20"/>
            <w:lang w:val="fr-BE"/>
          </w:rPr>
          <w:t>, 20, 23, 31, 32, 33, 37, 47 et 50 du Décret du 21 novembre 2013 organisant divers dispositifs scolaires favorisant le bien-être des jeunes à l’école, l’accrochage scolaire, la prévention de la violence à l’école et l’accompagnement des démarches d’orientation scolaire</w:t>
        </w:r>
      </w:hyperlink>
      <w:r>
        <w:rPr>
          <w:rFonts w:cs="Times New Roman"/>
          <w:i/>
          <w:spacing w:val="0"/>
          <w:sz w:val="20"/>
          <w:szCs w:val="20"/>
          <w:lang w:val="fr-BE"/>
        </w:rPr>
        <w:t> ;</w:t>
      </w:r>
    </w:p>
    <w:p>
      <w:pPr>
        <w:pStyle w:val="Corpsdetexte"/>
        <w:ind w:left="2126"/>
        <w:rPr>
          <w:rFonts w:cs="Times New Roman"/>
          <w:i/>
          <w:spacing w:val="0"/>
          <w:sz w:val="20"/>
          <w:szCs w:val="20"/>
          <w:lang w:val="fr-BE"/>
        </w:rPr>
      </w:pPr>
      <w:hyperlink r:id="rId58" w:history="1">
        <w:r>
          <w:rPr>
            <w:rStyle w:val="Lienhypertexte"/>
            <w:i/>
            <w:color w:val="auto"/>
            <w:sz w:val="20"/>
            <w:szCs w:val="20"/>
            <w:lang w:val="fr-BE"/>
          </w:rPr>
          <w:t>Décret du 21/11/2013 organisant divers dispositifs scolaires favorisant le bien-être des jeunes à l’école, l’accrochage scolaire, la prévention de la violence à l’école et l’accompagnement des démarches d’orientation scolaire</w:t>
        </w:r>
      </w:hyperlink>
      <w:r>
        <w:rPr>
          <w:i/>
          <w:sz w:val="20"/>
          <w:szCs w:val="20"/>
          <w:lang w:val="fr-BE"/>
        </w:rPr>
        <w:t xml:space="preserve"> </w:t>
      </w:r>
      <w:r>
        <w:rPr>
          <w:rFonts w:cs="Times New Roman"/>
          <w:i/>
          <w:spacing w:val="0"/>
          <w:sz w:val="20"/>
          <w:szCs w:val="20"/>
          <w:lang w:val="fr-BE"/>
        </w:rPr>
        <w:t>;</w:t>
      </w:r>
    </w:p>
    <w:p>
      <w:pPr>
        <w:pStyle w:val="Corpsdetexte"/>
        <w:ind w:left="2126"/>
        <w:rPr>
          <w:rFonts w:cs="Times New Roman"/>
          <w:i/>
          <w:spacing w:val="0"/>
          <w:sz w:val="20"/>
          <w:szCs w:val="20"/>
          <w:lang w:val="fr-BE"/>
        </w:rPr>
      </w:pPr>
      <w:hyperlink r:id="rId59" w:history="1">
        <w:r>
          <w:rPr>
            <w:rStyle w:val="Lienhypertexte"/>
            <w:i/>
            <w:color w:val="auto"/>
            <w:sz w:val="20"/>
            <w:szCs w:val="20"/>
            <w:lang w:val="fr-BE"/>
          </w:rPr>
          <w:t>Décret du 21/11/2013 organisant des politiques conjointes de l’enseignement et de l’aide à la jeunesse en faveur du bien-être des jeunes à l’école, de l’accrochage scolaire, de la prévention des violences et de l’accompagnement des démarches d’orientation</w:t>
        </w:r>
      </w:hyperlink>
      <w:r>
        <w:rPr>
          <w:i/>
          <w:sz w:val="20"/>
          <w:szCs w:val="20"/>
          <w:lang w:val="fr-BE"/>
        </w:rPr>
        <w:t> ;</w:t>
      </w:r>
    </w:p>
    <w:p>
      <w:pPr>
        <w:pStyle w:val="Corpsdetexte"/>
        <w:ind w:left="2126"/>
        <w:rPr>
          <w:rFonts w:cs="Times New Roman"/>
          <w:i/>
          <w:spacing w:val="0"/>
          <w:sz w:val="20"/>
          <w:szCs w:val="20"/>
          <w:lang w:val="fr-BE"/>
        </w:rPr>
      </w:pPr>
      <w:hyperlink r:id="rId60" w:history="1">
        <w:r>
          <w:rPr>
            <w:rStyle w:val="Lienhypertexte"/>
            <w:rFonts w:cs="Times New Roman"/>
            <w:i/>
            <w:color w:val="auto"/>
            <w:spacing w:val="0"/>
            <w:sz w:val="20"/>
            <w:szCs w:val="20"/>
            <w:lang w:val="fr-BE"/>
          </w:rPr>
          <w:t xml:space="preserve">Décret du 14/07/2006 relatif aux missions, programmes et rapports d'activités des centres psycho-médico-sociaux </w:t>
        </w:r>
      </w:hyperlink>
      <w:r>
        <w:rPr>
          <w:rFonts w:cs="Times New Roman"/>
          <w:i/>
          <w:spacing w:val="0"/>
          <w:sz w:val="20"/>
          <w:szCs w:val="20"/>
          <w:lang w:val="fr-BE"/>
        </w:rPr>
        <w:t>;.</w:t>
      </w:r>
    </w:p>
    <w:p>
      <w:pPr>
        <w:pStyle w:val="Corpsdetexte"/>
        <w:ind w:left="2126"/>
        <w:rPr>
          <w:rStyle w:val="Lienhypertexte"/>
          <w:rFonts w:cs="Times New Roman"/>
          <w:i/>
          <w:color w:val="auto"/>
          <w:spacing w:val="0"/>
          <w:sz w:val="20"/>
          <w:szCs w:val="20"/>
          <w:lang w:val="fr-BE"/>
        </w:rPr>
      </w:pPr>
      <w:hyperlink r:id="rId61" w:history="1">
        <w:r>
          <w:rPr>
            <w:rStyle w:val="Lienhypertexte"/>
            <w:rFonts w:cs="Times New Roman"/>
            <w:i/>
            <w:color w:val="auto"/>
            <w:spacing w:val="0"/>
            <w:sz w:val="20"/>
            <w:szCs w:val="20"/>
            <w:lang w:val="fr-BE"/>
          </w:rPr>
          <w:t>Décret du 08/03/2007 relatif au Service général de l'Inspection, au service de conseil et de soutien pédagogiques de l'enseignement organisé par la Communauté française, aux cellules de conseil et de soutien pédagogiques de l'enseignement subventionné par la Communauté française et au statut des membres du personnel du service général de l'inspection et des conseillers pédagogiques.</w:t>
        </w:r>
      </w:hyperlink>
    </w:p>
    <w:p>
      <w:pPr>
        <w:pStyle w:val="Corpsdetexte"/>
        <w:ind w:left="2126"/>
        <w:rPr>
          <w:rFonts w:cs="Times New Roman"/>
          <w:i/>
          <w:spacing w:val="0"/>
          <w:sz w:val="20"/>
          <w:szCs w:val="20"/>
          <w:lang w:val="fr-BE"/>
        </w:rPr>
      </w:pPr>
      <w:hyperlink r:id="rId62" w:history="1">
        <w:r>
          <w:rPr>
            <w:rStyle w:val="Lienhypertexte"/>
            <w:rFonts w:cs="Times New Roman"/>
            <w:i/>
            <w:color w:val="auto"/>
            <w:spacing w:val="0"/>
            <w:sz w:val="20"/>
            <w:szCs w:val="20"/>
            <w:lang w:val="fr-BE"/>
          </w:rPr>
          <w:t>Décret du 08/12/2006 visant l’organisation et le subventionnement du sport en Communauté française</w:t>
        </w:r>
      </w:hyperlink>
    </w:p>
    <w:p>
      <w:pPr>
        <w:pStyle w:val="Corpsdetexte"/>
        <w:rPr>
          <w:rFonts w:cs="Times New Roman"/>
          <w:i/>
          <w:spacing w:val="0"/>
          <w:sz w:val="20"/>
          <w:szCs w:val="20"/>
          <w:lang w:val="fr-BE"/>
        </w:rPr>
      </w:pPr>
    </w:p>
    <w:p>
      <w:pPr>
        <w:pStyle w:val="Corpsdetexte"/>
        <w:rPr>
          <w:rFonts w:cs="Times New Roman"/>
          <w:i/>
          <w:spacing w:val="0"/>
          <w:sz w:val="20"/>
          <w:szCs w:val="20"/>
          <w:lang w:val="fr-BE"/>
        </w:rPr>
      </w:pPr>
    </w:p>
    <w:p>
      <w:pPr>
        <w:pStyle w:val="Corpsdetexte"/>
        <w:rPr>
          <w:rFonts w:cs="Times New Roman"/>
          <w:spacing w:val="0"/>
          <w:lang w:val="fr-BE"/>
        </w:rPr>
      </w:pPr>
      <w:smartTag w:uri="urn:schemas-microsoft-com:office:smarttags" w:element="PersonName">
        <w:smartTagPr>
          <w:attr w:name="ProductID" w:val="la F￩d￩ration Wallonie-Bruxelles"/>
        </w:smartTagPr>
        <w:r>
          <w:rPr>
            <w:rFonts w:cs="Times New Roman"/>
            <w:spacing w:val="0"/>
            <w:lang w:val="fr-BE"/>
          </w:rPr>
          <w:t>La Fédération Wallonie-Bruxelles</w:t>
        </w:r>
      </w:smartTag>
      <w:r>
        <w:rPr>
          <w:rFonts w:cs="Times New Roman"/>
          <w:spacing w:val="0"/>
          <w:lang w:val="fr-BE"/>
        </w:rPr>
        <w:t xml:space="preserve"> pour l’enseignement qu’elle organise et tout Pouvoir organisateur pour l’enseignement subventionné veillent à ce que chaque école fasse respecter par chaque élève l’obligation de participer à toutes les activités liées à la certification organisée par l’école, et d’accomplir les tâches qui en découlent (article 8 du Décret-Missions).</w:t>
      </w:r>
    </w:p>
    <w:p>
      <w:pPr>
        <w:pStyle w:val="Corpsdetexte2"/>
        <w:rPr>
          <w:szCs w:val="22"/>
        </w:rPr>
      </w:pPr>
      <w:bookmarkStart w:id="500" w:name="_2.1.3.1._De_la"/>
      <w:bookmarkEnd w:id="500"/>
    </w:p>
    <w:p>
      <w:pPr>
        <w:pStyle w:val="Corpsdetexte2"/>
        <w:rPr>
          <w:szCs w:val="22"/>
        </w:rPr>
      </w:pPr>
    </w:p>
    <w:p>
      <w:pPr>
        <w:pStyle w:val="Titre3"/>
      </w:pPr>
      <w:bookmarkStart w:id="501" w:name="_2.5.1.__Justification"/>
      <w:bookmarkStart w:id="502" w:name="_Toc295931981"/>
      <w:bookmarkStart w:id="503" w:name="_Toc295913732"/>
      <w:bookmarkStart w:id="504" w:name="_Toc423419993"/>
      <w:bookmarkStart w:id="505" w:name="_Toc450645200"/>
      <w:bookmarkStart w:id="506" w:name="_Toc453942436"/>
      <w:bookmarkStart w:id="507" w:name="_Toc454888053"/>
      <w:bookmarkStart w:id="508" w:name="_Toc486241715"/>
      <w:bookmarkEnd w:id="501"/>
      <w:r>
        <w:t>2.5.1. Justification des absences dans l’enseignement primaire</w:t>
      </w:r>
      <w:bookmarkEnd w:id="502"/>
      <w:bookmarkEnd w:id="503"/>
      <w:bookmarkEnd w:id="504"/>
      <w:bookmarkEnd w:id="505"/>
      <w:bookmarkEnd w:id="506"/>
      <w:bookmarkEnd w:id="507"/>
      <w:bookmarkEnd w:id="508"/>
    </w:p>
    <w:p>
      <w:pPr>
        <w:pStyle w:val="Corpsdetexte2"/>
        <w:rPr>
          <w:szCs w:val="22"/>
        </w:rPr>
      </w:pPr>
    </w:p>
    <w:p>
      <w:pPr>
        <w:pStyle w:val="Titre4"/>
      </w:pPr>
      <w:bookmarkStart w:id="509" w:name="_Toc423419994"/>
      <w:bookmarkStart w:id="510" w:name="_Toc450645201"/>
      <w:bookmarkStart w:id="511" w:name="_Toc453942437"/>
      <w:bookmarkStart w:id="512" w:name="_Toc454888054"/>
      <w:bookmarkStart w:id="513" w:name="_Toc486241716"/>
      <w:r>
        <w:t>2.5.1.1. Les absences légalement justifiées</w:t>
      </w:r>
      <w:bookmarkEnd w:id="509"/>
      <w:bookmarkEnd w:id="510"/>
      <w:bookmarkEnd w:id="511"/>
      <w:bookmarkEnd w:id="512"/>
      <w:bookmarkEnd w:id="513"/>
    </w:p>
    <w:p>
      <w:pPr>
        <w:rPr>
          <w:b/>
          <w:u w:val="single"/>
          <w:lang w:val="fr-BE"/>
        </w:rPr>
      </w:pPr>
    </w:p>
    <w:p>
      <w:pPr>
        <w:jc w:val="both"/>
      </w:pPr>
      <w:r>
        <w:t xml:space="preserve">Dans l’enseignement primaire, </w:t>
      </w:r>
      <w:r>
        <w:rPr>
          <w:u w:val="single"/>
        </w:rPr>
        <w:t>sont considérées comme justifiées</w:t>
      </w:r>
      <w:r>
        <w:t>, les absences motivées par:</w:t>
      </w:r>
    </w:p>
    <w:p>
      <w:pPr>
        <w:autoSpaceDE w:val="0"/>
        <w:autoSpaceDN w:val="0"/>
        <w:adjustRightInd w:val="0"/>
        <w:jc w:val="both"/>
        <w:rPr>
          <w:sz w:val="16"/>
          <w:szCs w:val="16"/>
        </w:rPr>
      </w:pPr>
    </w:p>
    <w:p>
      <w:pPr>
        <w:numPr>
          <w:ilvl w:val="2"/>
          <w:numId w:val="9"/>
        </w:numPr>
        <w:tabs>
          <w:tab w:val="clear" w:pos="1080"/>
          <w:tab w:val="left" w:pos="720"/>
        </w:tabs>
        <w:autoSpaceDE w:val="0"/>
        <w:autoSpaceDN w:val="0"/>
        <w:adjustRightInd w:val="0"/>
        <w:spacing w:after="40"/>
        <w:ind w:left="719" w:hanging="357"/>
        <w:jc w:val="both"/>
      </w:pPr>
      <w:r>
        <w:t>l'indisposition ou la maladie de l'élève couverte par un certificat médical ou une attestation délivrée par un centre hospitalier;</w:t>
      </w:r>
    </w:p>
    <w:p>
      <w:pPr>
        <w:pStyle w:val="Corpsdetexte2"/>
        <w:numPr>
          <w:ilvl w:val="2"/>
          <w:numId w:val="9"/>
        </w:numPr>
        <w:tabs>
          <w:tab w:val="clear" w:pos="1080"/>
          <w:tab w:val="left" w:pos="720"/>
        </w:tabs>
        <w:spacing w:after="40"/>
        <w:ind w:left="719" w:hanging="357"/>
      </w:pPr>
      <w:r>
        <w:t>la convocation par une autorité publique ou la nécessité pour l'élève de se rendre auprès de cette autorité, qui lui délivre une attestation;</w:t>
      </w:r>
    </w:p>
    <w:p>
      <w:pPr>
        <w:numPr>
          <w:ilvl w:val="2"/>
          <w:numId w:val="9"/>
        </w:numPr>
        <w:tabs>
          <w:tab w:val="clear" w:pos="1080"/>
          <w:tab w:val="left" w:pos="720"/>
        </w:tabs>
        <w:autoSpaceDE w:val="0"/>
        <w:autoSpaceDN w:val="0"/>
        <w:adjustRightInd w:val="0"/>
        <w:spacing w:after="40"/>
        <w:ind w:left="719" w:hanging="357"/>
        <w:jc w:val="both"/>
        <w:rPr>
          <w:spacing w:val="-4"/>
        </w:rPr>
      </w:pPr>
      <w:r>
        <w:rPr>
          <w:spacing w:val="-4"/>
        </w:rPr>
        <w:t>le décès d'un parent ou allié de l'élève, au 1</w:t>
      </w:r>
      <w:r>
        <w:rPr>
          <w:spacing w:val="-4"/>
          <w:vertAlign w:val="superscript"/>
        </w:rPr>
        <w:t>er</w:t>
      </w:r>
      <w:r>
        <w:rPr>
          <w:spacing w:val="-4"/>
        </w:rPr>
        <w:t xml:space="preserve"> degré; l'absence ne peut dépasser 4 jours;</w:t>
      </w:r>
    </w:p>
    <w:p>
      <w:pPr>
        <w:numPr>
          <w:ilvl w:val="2"/>
          <w:numId w:val="9"/>
        </w:numPr>
        <w:tabs>
          <w:tab w:val="clear" w:pos="1080"/>
          <w:tab w:val="left" w:pos="720"/>
        </w:tabs>
        <w:autoSpaceDE w:val="0"/>
        <w:autoSpaceDN w:val="0"/>
        <w:adjustRightInd w:val="0"/>
        <w:spacing w:after="40"/>
        <w:ind w:left="719" w:hanging="357"/>
        <w:jc w:val="both"/>
      </w:pPr>
      <w:r>
        <w:t>le décès d'un parent ou allié de l'élève, à quelque degré que ce soit, habitant sous le même toit que l'élève; l'absence ne peut dépasser 2 jours;</w:t>
      </w:r>
    </w:p>
    <w:p>
      <w:pPr>
        <w:numPr>
          <w:ilvl w:val="2"/>
          <w:numId w:val="9"/>
        </w:numPr>
        <w:tabs>
          <w:tab w:val="clear" w:pos="1080"/>
          <w:tab w:val="left" w:pos="720"/>
        </w:tabs>
        <w:autoSpaceDE w:val="0"/>
        <w:autoSpaceDN w:val="0"/>
        <w:adjustRightInd w:val="0"/>
        <w:ind w:left="719" w:hanging="357"/>
        <w:jc w:val="both"/>
        <w:rPr>
          <w:rFonts w:cs="Arial"/>
          <w:b/>
          <w:szCs w:val="22"/>
        </w:rPr>
      </w:pPr>
      <w:r>
        <w:t>le décès d'un parent ou allié de l'élève, du 2</w:t>
      </w:r>
      <w:r>
        <w:rPr>
          <w:vertAlign w:val="superscript"/>
        </w:rPr>
        <w:t>e</w:t>
      </w:r>
      <w:r>
        <w:t xml:space="preserve"> au 4</w:t>
      </w:r>
      <w:r>
        <w:rPr>
          <w:vertAlign w:val="superscript"/>
        </w:rPr>
        <w:t>e</w:t>
      </w:r>
      <w:r>
        <w:t xml:space="preserve"> degré n'habitant pas sous le même toit que l'élève; l'absence ne peut dépasser 1 jour;</w:t>
      </w:r>
    </w:p>
    <w:p>
      <w:pPr>
        <w:numPr>
          <w:ilvl w:val="2"/>
          <w:numId w:val="9"/>
        </w:numPr>
        <w:tabs>
          <w:tab w:val="clear" w:pos="1080"/>
          <w:tab w:val="left" w:pos="720"/>
        </w:tabs>
        <w:autoSpaceDE w:val="0"/>
        <w:autoSpaceDN w:val="0"/>
        <w:adjustRightInd w:val="0"/>
        <w:spacing w:after="40"/>
        <w:ind w:left="719" w:hanging="357"/>
        <w:jc w:val="both"/>
      </w:pPr>
      <w:r>
        <w:t>la participation des élèves jeunes sportifs de haut niveau, espoirs sportifs ou partenaires d’entrainement à des activités de préparation sportive sous forme de stages ou d'entraînement et de compétition. Celles-ci ne peuvent cependant pas dépasser 30 demi-journées, sauf dérogation</w:t>
      </w:r>
      <w:r>
        <w:rPr>
          <w:rStyle w:val="Appelnotedebasdep"/>
        </w:rPr>
        <w:footnoteReference w:id="14"/>
      </w:r>
      <w:r>
        <w:t>.</w:t>
      </w:r>
    </w:p>
    <w:p>
      <w:pPr>
        <w:tabs>
          <w:tab w:val="left" w:pos="720"/>
        </w:tabs>
        <w:autoSpaceDE w:val="0"/>
        <w:autoSpaceDN w:val="0"/>
        <w:adjustRightInd w:val="0"/>
        <w:ind w:left="362"/>
        <w:jc w:val="both"/>
        <w:rPr>
          <w:szCs w:val="22"/>
        </w:rPr>
      </w:pPr>
    </w:p>
    <w:p>
      <w:pPr>
        <w:tabs>
          <w:tab w:val="left" w:pos="720"/>
        </w:tabs>
        <w:autoSpaceDE w:val="0"/>
        <w:autoSpaceDN w:val="0"/>
        <w:adjustRightInd w:val="0"/>
        <w:jc w:val="both"/>
        <w:rPr>
          <w:szCs w:val="22"/>
        </w:rPr>
      </w:pPr>
    </w:p>
    <w:p>
      <w:pPr>
        <w:tabs>
          <w:tab w:val="left" w:pos="720"/>
        </w:tabs>
        <w:autoSpaceDE w:val="0"/>
        <w:autoSpaceDN w:val="0"/>
        <w:adjustRightInd w:val="0"/>
        <w:jc w:val="both"/>
        <w:rPr>
          <w:szCs w:val="22"/>
        </w:rPr>
      </w:pPr>
    </w:p>
    <w:p>
      <w:pPr>
        <w:tabs>
          <w:tab w:val="left" w:pos="720"/>
        </w:tabs>
        <w:autoSpaceDE w:val="0"/>
        <w:autoSpaceDN w:val="0"/>
        <w:adjustRightInd w:val="0"/>
        <w:jc w:val="both"/>
        <w:rPr>
          <w:rFonts w:cs="Arial"/>
          <w:szCs w:val="22"/>
          <w:highlight w:val="yellow"/>
        </w:rPr>
      </w:pPr>
      <w:r>
        <w:t>Pour que les motifs soient reconnus valables, les documents mentionnés ci-dessus doivent être remis au chef d'établissement ou à son délégué au plus tard le lendemain du dernier jour d'absence lorsque celle-ci ne dépasse pas 3 jours, et au plus tard le 4</w:t>
      </w:r>
      <w:r>
        <w:rPr>
          <w:vertAlign w:val="superscript"/>
        </w:rPr>
        <w:t>e</w:t>
      </w:r>
      <w:r>
        <w:t xml:space="preserve"> jour d'absence dans les autres cas.</w:t>
      </w:r>
    </w:p>
    <w:p>
      <w:pPr>
        <w:tabs>
          <w:tab w:val="left" w:pos="720"/>
        </w:tabs>
        <w:autoSpaceDE w:val="0"/>
        <w:autoSpaceDN w:val="0"/>
        <w:adjustRightInd w:val="0"/>
        <w:jc w:val="both"/>
        <w:rPr>
          <w:rFonts w:cs="Arial"/>
          <w:szCs w:val="22"/>
        </w:rPr>
      </w:pPr>
    </w:p>
    <w:p>
      <w:pPr>
        <w:widowControl w:val="0"/>
        <w:autoSpaceDE w:val="0"/>
        <w:autoSpaceDN w:val="0"/>
        <w:adjustRightInd w:val="0"/>
        <w:jc w:val="both"/>
        <w:rPr>
          <w:rFonts w:eastAsiaTheme="minorHAnsi" w:cs="Arial"/>
          <w:szCs w:val="22"/>
          <w:lang w:eastAsia="en-US"/>
        </w:rPr>
      </w:pPr>
      <w:r>
        <w:rPr>
          <w:rFonts w:eastAsiaTheme="minorHAnsi" w:cs="Arial"/>
          <w:szCs w:val="22"/>
          <w:lang w:eastAsia="en-US"/>
        </w:rPr>
        <w:t>Les demandes de reconnaissance d’un espoir sportif doivent être introduites par les fédérations sportives auprès de la Direction générale du Sport (Boulevard Léopold II, 44 à 1080 BRUXELLES). Il revient au Ministre des Sports de statuer sur cette reconnaissance</w:t>
      </w:r>
      <w:r>
        <w:rPr>
          <w:rStyle w:val="Appelnotedebasdep"/>
          <w:rFonts w:eastAsiaTheme="minorHAnsi" w:cs="Arial"/>
          <w:szCs w:val="22"/>
          <w:lang w:eastAsia="en-US"/>
        </w:rPr>
        <w:footnoteReference w:id="15"/>
      </w:r>
      <w:r>
        <w:rPr>
          <w:rFonts w:eastAsiaTheme="minorHAnsi" w:cs="Arial"/>
          <w:szCs w:val="22"/>
          <w:lang w:eastAsia="en-US"/>
        </w:rPr>
        <w:t>. La reconnaissance :</w:t>
      </w:r>
    </w:p>
    <w:p>
      <w:pPr>
        <w:pStyle w:val="Paragraphedeliste"/>
        <w:widowControl w:val="0"/>
        <w:numPr>
          <w:ilvl w:val="0"/>
          <w:numId w:val="97"/>
        </w:numPr>
        <w:autoSpaceDE w:val="0"/>
        <w:autoSpaceDN w:val="0"/>
        <w:adjustRightInd w:val="0"/>
        <w:jc w:val="both"/>
        <w:rPr>
          <w:rFonts w:eastAsiaTheme="minorHAnsi" w:cs="Arial"/>
          <w:szCs w:val="22"/>
          <w:lang w:eastAsia="en-US"/>
        </w:rPr>
      </w:pPr>
      <w:r>
        <w:rPr>
          <w:rFonts w:eastAsiaTheme="minorHAnsi" w:cs="Arial"/>
          <w:szCs w:val="22"/>
          <w:lang w:eastAsia="en-US"/>
        </w:rPr>
        <w:t>est envoyée à la personne investie de l’autorité parentale et est indispensable à l’autorisation de demi-jours d’absence ;</w:t>
      </w:r>
    </w:p>
    <w:p>
      <w:pPr>
        <w:pStyle w:val="Paragraphedeliste"/>
        <w:widowControl w:val="0"/>
        <w:numPr>
          <w:ilvl w:val="0"/>
          <w:numId w:val="97"/>
        </w:numPr>
        <w:autoSpaceDE w:val="0"/>
        <w:autoSpaceDN w:val="0"/>
        <w:adjustRightInd w:val="0"/>
        <w:jc w:val="both"/>
        <w:rPr>
          <w:rFonts w:eastAsiaTheme="minorHAnsi" w:cs="Arial"/>
          <w:szCs w:val="22"/>
          <w:lang w:eastAsia="en-US"/>
        </w:rPr>
      </w:pPr>
      <w:r>
        <w:rPr>
          <w:rFonts w:eastAsiaTheme="minorHAnsi" w:cs="Arial"/>
          <w:szCs w:val="22"/>
          <w:lang w:eastAsia="en-US"/>
        </w:rPr>
        <w:t>est accordée pour une année scolaire et est renouvelable selon la même procédure.</w:t>
      </w:r>
    </w:p>
    <w:p>
      <w:pPr>
        <w:tabs>
          <w:tab w:val="left" w:pos="720"/>
        </w:tabs>
        <w:autoSpaceDE w:val="0"/>
        <w:autoSpaceDN w:val="0"/>
        <w:adjustRightInd w:val="0"/>
        <w:jc w:val="both"/>
        <w:rPr>
          <w:rFonts w:cs="Arial"/>
          <w:szCs w:val="22"/>
        </w:rPr>
      </w:pPr>
    </w:p>
    <w:p>
      <w:pPr>
        <w:tabs>
          <w:tab w:val="left" w:pos="720"/>
        </w:tabs>
        <w:autoSpaceDE w:val="0"/>
        <w:autoSpaceDN w:val="0"/>
        <w:adjustRightInd w:val="0"/>
        <w:jc w:val="both"/>
        <w:rPr>
          <w:rFonts w:cs="Arial"/>
          <w:szCs w:val="22"/>
        </w:rPr>
      </w:pPr>
      <w:r>
        <w:rPr>
          <w:rFonts w:cs="Arial"/>
          <w:szCs w:val="22"/>
        </w:rPr>
        <w:t xml:space="preserve">L’absence pour la participation des élèves jeunes sportifs de haut niveau, espoirs sportifs ou partenaires d’entrainement à des activités de préparation sportive sous forme de stages ou d'entraînement et de compétition doit être annoncée au chef d’établissement </w:t>
      </w:r>
      <w:r>
        <w:rPr>
          <w:rFonts w:cs="Arial"/>
          <w:szCs w:val="22"/>
          <w:u w:val="single"/>
        </w:rPr>
        <w:t>au plus tard une semaine avant</w:t>
      </w:r>
      <w:r>
        <w:rPr>
          <w:rFonts w:cs="Arial"/>
          <w:szCs w:val="22"/>
        </w:rPr>
        <w:t xml:space="preserve">, à l’aide de l’attestation de la fédération sportive compétente à laquelle sera jointe l’autorisation des parents. </w:t>
      </w:r>
    </w:p>
    <w:p>
      <w:pPr>
        <w:tabs>
          <w:tab w:val="left" w:pos="720"/>
        </w:tabs>
        <w:autoSpaceDE w:val="0"/>
        <w:autoSpaceDN w:val="0"/>
        <w:adjustRightInd w:val="0"/>
        <w:jc w:val="both"/>
        <w:rPr>
          <w:rFonts w:cs="Arial"/>
          <w:szCs w:val="22"/>
        </w:rPr>
      </w:pPr>
    </w:p>
    <w:p>
      <w:pPr>
        <w:pStyle w:val="Corpsdetexte"/>
        <w:spacing w:after="120"/>
        <w:rPr>
          <w:u w:val="single"/>
        </w:rPr>
      </w:pPr>
      <w:r>
        <w:rPr>
          <w:u w:val="single"/>
        </w:rPr>
        <w:t>Remarques :</w:t>
      </w:r>
    </w:p>
    <w:p>
      <w:pPr>
        <w:pStyle w:val="Corpsdetexte"/>
        <w:numPr>
          <w:ilvl w:val="0"/>
          <w:numId w:val="97"/>
        </w:numPr>
        <w:spacing w:after="120"/>
      </w:pPr>
      <w:r>
        <w:t xml:space="preserve">Les élèves placés dans une Institution Publique de Protection de </w:t>
      </w:r>
      <w:smartTag w:uri="urn:schemas-microsoft-com:office:smarttags" w:element="PersonName">
        <w:smartTagPr>
          <w:attr w:name="ProductID" w:val="la Jeunesse"/>
        </w:smartTagPr>
        <w:r>
          <w:t>la Jeunesse</w:t>
        </w:r>
      </w:smartTag>
      <w:r>
        <w:t xml:space="preserve"> (IPPJ) relèvent de l’enseignement à domicile</w:t>
      </w:r>
      <w:r>
        <w:rPr>
          <w:vertAlign w:val="superscript"/>
        </w:rPr>
        <w:footnoteReference w:id="16"/>
      </w:r>
      <w:r>
        <w:rPr>
          <w:vertAlign w:val="superscript"/>
        </w:rPr>
        <w:t xml:space="preserve"> </w:t>
      </w:r>
      <w:r>
        <w:t xml:space="preserve">et sont en absence justifiée pour toute la durée de leur placement. </w:t>
      </w:r>
    </w:p>
    <w:p>
      <w:pPr>
        <w:pStyle w:val="Corpsdetexte"/>
        <w:numPr>
          <w:ilvl w:val="0"/>
          <w:numId w:val="97"/>
        </w:numPr>
        <w:spacing w:after="120"/>
      </w:pPr>
      <w:r>
        <w:rPr>
          <w:szCs w:val="22"/>
        </w:rPr>
        <w:t xml:space="preserve">Les parents, la personne investie de l’autorité parentale ou la personne qui assume la garde de fait d’un élève détenu dans un établissement pénitentiaire ou faisant l’objet d’une mesure de placement au centre fermé de SAINT-HUBERT, doivent informer le chef d’établissement que l’enfant s’est présenté devant l’autorité publique. </w:t>
      </w:r>
    </w:p>
    <w:p>
      <w:pPr>
        <w:tabs>
          <w:tab w:val="left" w:pos="720"/>
        </w:tabs>
        <w:autoSpaceDE w:val="0"/>
        <w:autoSpaceDN w:val="0"/>
        <w:adjustRightInd w:val="0"/>
        <w:jc w:val="both"/>
      </w:pPr>
    </w:p>
    <w:p>
      <w:pPr>
        <w:rPr>
          <w:b/>
          <w:i/>
        </w:rPr>
      </w:pPr>
      <w:r>
        <w:rPr>
          <w:b/>
          <w:i/>
        </w:rPr>
        <w:t xml:space="preserve">Quelles sont les conditions requises pour qu’un </w:t>
      </w:r>
      <w:r>
        <w:rPr>
          <w:b/>
          <w:i/>
          <w:u w:val="single"/>
        </w:rPr>
        <w:t>certificat médical</w:t>
      </w:r>
      <w:r>
        <w:rPr>
          <w:b/>
          <w:i/>
        </w:rPr>
        <w:t xml:space="preserve"> soit valable ?</w:t>
      </w:r>
    </w:p>
    <w:p>
      <w:pPr>
        <w:rPr>
          <w:b/>
          <w:i/>
        </w:rPr>
      </w:pPr>
    </w:p>
    <w:p>
      <w:pPr>
        <w:pStyle w:val="Corpsdetexte"/>
        <w:spacing w:before="120"/>
      </w:pPr>
      <w:r>
        <w:t>Un certificat médical établit le fait d’une indisposition ou d’une maladie de l’élève. Pour qu’un certificat médical puisse justifier l’absence de l’élève, sa date de rédaction doit être concomitante avec le début de la période d’absence à justifier et il doit être remis conformément au délai défini par la réglementation.</w:t>
      </w:r>
    </w:p>
    <w:p>
      <w:pPr>
        <w:pStyle w:val="Corpsdetexte"/>
      </w:pPr>
      <w:r>
        <w:t>Plusieurs éléments doivent en outre obligatoirement figurer sur le certificat médical pour que celui-ci puisse être validé: le nom et le prénom du médecin, le nom et le prénom du patient, la date de début de l’incapacité et la durée de celle-ci, la signature et le cachet du médecin, la date du jour de l’examen ainsi que la certification du médecin sous le libellé “avoir reçu et examiné ce jour”.</w:t>
      </w:r>
    </w:p>
    <w:p>
      <w:pPr>
        <w:pStyle w:val="Corpsdetexte"/>
        <w:rPr>
          <w:i/>
        </w:rPr>
      </w:pPr>
      <w:r>
        <w:t>Il est conseillé au chef d’établissement d’être très attentif aux certificats médicaux quand ceux-ci sont très nombreux ou couvrent une absence de longue durée pour éviter autant que possible l’apparition d’une situation de décrochage scolaire. Quand le chef d’établissement estime que des certificats médicaux sont utilisés pour dissimuler une situation de décrochage scolaire, ce dernier peut écrire au Conseil provincial de l’Ordre des médecins de la province</w:t>
      </w:r>
      <w:r>
        <w:rPr>
          <w:vertAlign w:val="superscript"/>
        </w:rPr>
        <w:footnoteReference w:id="17"/>
      </w:r>
      <w:r>
        <w:t xml:space="preserve"> où le médecin est inscrit en précisant son nom et son prénom, et ce afin de solliciter l’intervention de ce Conseil En effet, ce dernier peut, sur demande et sur base d’éléments probants, jouer le rôle de médiateur entre l’établissement scolaire et le médecin traitant de l’élève absent. Enfin, si le chef d’établissement a des doutes quant à la validité d’un certificat médical, il peut contacter le Service du Contrôle de l’obligation scolaire. </w:t>
      </w:r>
    </w:p>
    <w:p>
      <w:pPr>
        <w:pStyle w:val="Corpsdetexte"/>
        <w:rPr>
          <w:i/>
        </w:rPr>
      </w:pPr>
    </w:p>
    <w:p>
      <w:pPr>
        <w:pStyle w:val="Corpsdetexte"/>
      </w:pPr>
      <w:r>
        <w:t>Lorsque le certificat est rédigé dans une langue autre que la langue française, le chef d’établissement peut demander aux parents, à la personne investie de l’autorité parentale ou la personne qui assume la garde en fait du mineur de lui fournir une traduction du document s’il l’estime nécessaire pour s’assurer de la pertinence du document.</w:t>
      </w:r>
    </w:p>
    <w:p>
      <w:pPr>
        <w:pStyle w:val="Corpsdetexte"/>
      </w:pPr>
    </w:p>
    <w:p>
      <w:pPr>
        <w:pStyle w:val="Titre4"/>
      </w:pPr>
      <w:bookmarkStart w:id="514" w:name="_Toc423419995"/>
      <w:bookmarkStart w:id="515" w:name="_Toc450645202"/>
      <w:bookmarkStart w:id="516" w:name="_Toc453942438"/>
      <w:bookmarkStart w:id="517" w:name="_Toc454888055"/>
      <w:bookmarkStart w:id="518" w:name="_Toc486241717"/>
      <w:r>
        <w:t>2.5.1.2. Les absences justifiées par le chef d’établissement</w:t>
      </w:r>
      <w:bookmarkEnd w:id="514"/>
      <w:bookmarkEnd w:id="515"/>
      <w:bookmarkEnd w:id="516"/>
      <w:bookmarkEnd w:id="517"/>
      <w:bookmarkEnd w:id="518"/>
    </w:p>
    <w:p>
      <w:pPr>
        <w:rPr>
          <w:b/>
          <w:u w:val="single"/>
        </w:rPr>
      </w:pPr>
    </w:p>
    <w:p>
      <w:pPr>
        <w:pStyle w:val="Corpsdetexte2"/>
        <w:rPr>
          <w:spacing w:val="-4"/>
        </w:rPr>
      </w:pPr>
      <w:r>
        <w:rPr>
          <w:spacing w:val="-4"/>
        </w:rPr>
        <w:t>Outre les absences légalement justifiées, le chef d’établissement peut accepter des motifs justifiant l'absence pour autant qu'ils relèvent d’un cas de force majeure ou de circonstances exceptionnelles liés à des problèmes familiaux, de santé mentale ou physique de l'élève ou de transports. Dans le strict respect de ces critères, il n’y a pas de limite au nombre d’absences justifiées de la sorte.</w:t>
      </w:r>
    </w:p>
    <w:p>
      <w:pPr>
        <w:pStyle w:val="Corpsdetexte2"/>
        <w:rPr>
          <w:sz w:val="16"/>
          <w:szCs w:val="16"/>
        </w:rPr>
      </w:pPr>
    </w:p>
    <w:p>
      <w:pPr>
        <w:pStyle w:val="Corpsdetexte2"/>
        <w:rPr>
          <w:u w:val="single"/>
        </w:rPr>
      </w:pPr>
      <w:r>
        <w:t xml:space="preserve">Le chef d’établissement doit indiquer les arguments précis pour lesquels il reconnaît le cas de force majeure ou les circonstances exceptionnelles. Ceux-ci sont laissés à son appréciation, </w:t>
      </w:r>
      <w:r>
        <w:rPr>
          <w:u w:val="single"/>
        </w:rPr>
        <w:t xml:space="preserve">laquelle doit être motivée et conservée au sein de l'établissement. </w:t>
      </w:r>
    </w:p>
    <w:p>
      <w:pPr>
        <w:pStyle w:val="Corpsdetexte"/>
      </w:pPr>
    </w:p>
    <w:p>
      <w:pPr>
        <w:pStyle w:val="Corpsdetexte2"/>
      </w:pPr>
      <w:r>
        <w:t>Il est interdit d’assimiler à une circonstance exceptionnelle liée à des problèmes familiaux le fait de prendre des vacances pendant la période scolaire.</w:t>
      </w:r>
    </w:p>
    <w:p>
      <w:pPr>
        <w:pStyle w:val="Corpsdetexte"/>
      </w:pPr>
    </w:p>
    <w:p>
      <w:pPr>
        <w:pStyle w:val="Corpsdetexte"/>
        <w:rPr>
          <w:b/>
          <w:u w:val="single"/>
        </w:rPr>
      </w:pPr>
      <w:r>
        <w:rPr>
          <w:b/>
          <w:u w:val="single"/>
        </w:rPr>
        <w:t>Remarque</w:t>
      </w:r>
    </w:p>
    <w:p>
      <w:pPr>
        <w:pStyle w:val="Corpsdetexte"/>
        <w:rPr>
          <w:sz w:val="8"/>
          <w:szCs w:val="8"/>
          <w:lang w:val="fr-BE"/>
        </w:rPr>
      </w:pPr>
    </w:p>
    <w:p>
      <w:pPr>
        <w:pStyle w:val="Corpsdetexte"/>
        <w:rPr>
          <w:lang w:val="fr-BE"/>
        </w:rPr>
      </w:pPr>
      <w:r>
        <w:rPr>
          <w:lang w:val="fr-BE"/>
        </w:rPr>
        <w:t xml:space="preserve">Il est parfois difficile de distinguer un </w:t>
      </w:r>
      <w:r>
        <w:rPr>
          <w:b/>
          <w:lang w:val="fr-BE"/>
        </w:rPr>
        <w:t>certificat médical</w:t>
      </w:r>
      <w:r>
        <w:rPr>
          <w:lang w:val="fr-BE"/>
        </w:rPr>
        <w:t xml:space="preserve"> d’une simple </w:t>
      </w:r>
      <w:r>
        <w:rPr>
          <w:b/>
          <w:lang w:val="fr-BE"/>
        </w:rPr>
        <w:t>attestation</w:t>
      </w:r>
      <w:r>
        <w:rPr>
          <w:lang w:val="fr-BE"/>
        </w:rPr>
        <w:t xml:space="preserve">, d’où le risque pour le chef d’établissement de justifier une absence de manière erronée. Contrairement au certificat médical, l’attestation n’établit pas le fait de l’indisposition ou de la maladie de l’élève mais permet au médecin d’attester des informations transmises par les responsables légaux du mineur (exemples: attestation médicale relative à une absence pour raisons familiales, religieuses ou pédagogiques ou encore indiquant que tel parent a affirmé que son enfant avait été malade à telle date). </w:t>
      </w:r>
      <w:r>
        <w:rPr>
          <w:b/>
          <w:lang w:val="fr-BE"/>
        </w:rPr>
        <w:t>A la différence du certificat médical, l’attestation est obligatoirement soumise à l’appréciation du chef d’établissement</w:t>
      </w:r>
      <w:r>
        <w:rPr>
          <w:lang w:val="fr-BE"/>
        </w:rPr>
        <w:t xml:space="preserve"> qui la reçoit et doit être consignée par écrit et conservée au sein de l’école. Le chef d’établissement doit donc la refuser s’il l’estime nécessaire et s’il décide de justifier l’absence sur base de cette attestation, cette période d’absence doit relever d’un cas de force majeure ou de circonstances exceptionnelles liés à des problèmes familiaux, de santé mentale ou physique de l'élève ou de transports (voir ci-avant). </w:t>
      </w:r>
    </w:p>
    <w:p>
      <w:pPr>
        <w:pStyle w:val="Corpsdetexte"/>
        <w:rPr>
          <w:lang w:val="fr-BE"/>
        </w:rPr>
      </w:pPr>
    </w:p>
    <w:p>
      <w:pPr>
        <w:pStyle w:val="Titre4"/>
      </w:pPr>
      <w:bookmarkStart w:id="519" w:name="_Toc295931982"/>
      <w:bookmarkStart w:id="520" w:name="_Toc423419996"/>
      <w:bookmarkStart w:id="521" w:name="_Toc450645203"/>
      <w:bookmarkStart w:id="522" w:name="_Toc453942439"/>
      <w:bookmarkStart w:id="523" w:name="_Toc454888056"/>
      <w:bookmarkStart w:id="524" w:name="_Toc486241718"/>
      <w:r>
        <w:t>2.5.1.3. Les absences non justifiées</w:t>
      </w:r>
      <w:bookmarkEnd w:id="519"/>
      <w:bookmarkEnd w:id="520"/>
      <w:bookmarkEnd w:id="521"/>
      <w:bookmarkEnd w:id="522"/>
      <w:bookmarkEnd w:id="523"/>
      <w:bookmarkEnd w:id="524"/>
    </w:p>
    <w:p>
      <w:pPr>
        <w:pStyle w:val="Corpsdetexte2"/>
        <w:rPr>
          <w:b/>
          <w:i/>
          <w:u w:val="single"/>
          <w:lang w:val="fr-BE"/>
        </w:rPr>
      </w:pPr>
    </w:p>
    <w:p>
      <w:pPr>
        <w:pStyle w:val="Corpsdetexte"/>
        <w:rPr>
          <w:spacing w:val="-4"/>
        </w:rPr>
      </w:pPr>
      <w:r>
        <w:rPr>
          <w:lang w:val="fr-BE"/>
        </w:rPr>
        <w:t>Toutes les absences autres que celles légalement justifiées ou justifiées par le chef d’établissement (</w:t>
      </w:r>
      <w:r>
        <w:rPr>
          <w:spacing w:val="-4"/>
        </w:rPr>
        <w:t>pour autant qu'elles relèvent d’un cas de force majeure ou de circonstances exceptionnelles liés à des problèmes familiaux, de santé mentale ou physique de l'élève ou de transports) sont considérées comme injustifiées.</w:t>
      </w:r>
    </w:p>
    <w:p>
      <w:pPr>
        <w:pStyle w:val="Corpsdetexte"/>
        <w:rPr>
          <w:spacing w:val="-4"/>
        </w:rPr>
      </w:pPr>
    </w:p>
    <w:p>
      <w:pPr>
        <w:pStyle w:val="Corpsdetexte"/>
        <w:rPr>
          <w:spacing w:val="-4"/>
        </w:rPr>
      </w:pPr>
      <w:r>
        <w:rPr>
          <w:spacing w:val="-4"/>
        </w:rPr>
        <w:t xml:space="preserve">Dès que l’élève compte 9 demi-jours d’absence injustifiée, le chef d’établissement effectue impérativement un signalement auprès du Service de l’obligation scolaire (voir </w:t>
      </w:r>
      <w:hyperlink w:anchor="_2.5.2.2.__Démarches" w:history="1">
        <w:r>
          <w:rPr>
            <w:rStyle w:val="Lienhypertexte"/>
            <w:color w:val="auto"/>
            <w:spacing w:val="-4"/>
          </w:rPr>
          <w:t>section 2.5.2.2.</w:t>
        </w:r>
      </w:hyperlink>
      <w:r>
        <w:rPr>
          <w:spacing w:val="-4"/>
        </w:rPr>
        <w:t>)</w:t>
      </w:r>
    </w:p>
    <w:p>
      <w:pPr>
        <w:pStyle w:val="Corpsdetexte"/>
        <w:rPr>
          <w:lang w:val="fr-BE"/>
        </w:rPr>
      </w:pPr>
    </w:p>
    <w:p>
      <w:pPr>
        <w:pStyle w:val="Corpsdetexte"/>
        <w:rPr>
          <w:lang w:val="fr-BE"/>
        </w:rPr>
      </w:pPr>
    </w:p>
    <w:p>
      <w:pPr>
        <w:pStyle w:val="Titre3"/>
      </w:pPr>
      <w:bookmarkStart w:id="525" w:name="_Toc295931983"/>
      <w:bookmarkStart w:id="526" w:name="_Toc295913733"/>
      <w:bookmarkStart w:id="527" w:name="_Toc423419997"/>
      <w:bookmarkStart w:id="528" w:name="_Toc450645204"/>
      <w:bookmarkStart w:id="529" w:name="_Toc453942440"/>
      <w:bookmarkStart w:id="530" w:name="_Toc454888057"/>
      <w:bookmarkStart w:id="531" w:name="_Toc486241719"/>
      <w:r>
        <w:t>2.5.2. Marche à suivre en cas d’absentéisme scolaire</w:t>
      </w:r>
      <w:bookmarkStart w:id="532" w:name="_Toc101153559"/>
      <w:bookmarkEnd w:id="525"/>
      <w:bookmarkEnd w:id="526"/>
      <w:bookmarkEnd w:id="527"/>
      <w:bookmarkEnd w:id="528"/>
      <w:bookmarkEnd w:id="529"/>
      <w:bookmarkEnd w:id="530"/>
      <w:bookmarkEnd w:id="531"/>
    </w:p>
    <w:p>
      <w:pPr>
        <w:pStyle w:val="Titre4"/>
      </w:pPr>
      <w:bookmarkStart w:id="533" w:name="_Toc295931984"/>
      <w:bookmarkStart w:id="534" w:name="_Toc423419998"/>
      <w:bookmarkStart w:id="535" w:name="_Toc450645205"/>
      <w:bookmarkStart w:id="536" w:name="_Toc453942441"/>
      <w:bookmarkStart w:id="537" w:name="_Toc454888058"/>
      <w:bookmarkStart w:id="538" w:name="_Toc486241720"/>
      <w:r>
        <w:t xml:space="preserve">2.5.2.1. Démarches </w:t>
      </w:r>
      <w:bookmarkEnd w:id="532"/>
      <w:r>
        <w:t>auprès des parents et rôle du Centre psycho-médico-social (CPMS)</w:t>
      </w:r>
      <w:bookmarkEnd w:id="533"/>
      <w:bookmarkEnd w:id="534"/>
      <w:bookmarkEnd w:id="535"/>
      <w:bookmarkEnd w:id="536"/>
      <w:bookmarkEnd w:id="537"/>
      <w:bookmarkEnd w:id="538"/>
    </w:p>
    <w:p>
      <w:pPr>
        <w:pStyle w:val="Corpsdetexte2"/>
        <w:rPr>
          <w:sz w:val="18"/>
        </w:rPr>
      </w:pPr>
    </w:p>
    <w:p>
      <w:pPr>
        <w:pStyle w:val="Corpsdetexte"/>
        <w:rPr>
          <w:rFonts w:cs="Times New Roman"/>
          <w:spacing w:val="0"/>
        </w:rPr>
      </w:pPr>
      <w:r>
        <w:rPr>
          <w:rFonts w:cs="Times New Roman"/>
          <w:b/>
          <w:spacing w:val="0"/>
        </w:rPr>
        <w:t>Toute absence non justifiée dans les délais fixés</w:t>
      </w:r>
      <w:r>
        <w:rPr>
          <w:rFonts w:cs="Times New Roman"/>
          <w:spacing w:val="0"/>
        </w:rPr>
        <w:t xml:space="preserve"> est notifiée aux parents, à la personne investie de l’autorité parentale ou qui assume la garde en fait de l’enfant, au plus tard à la fin de la semaine pendant laquelle elle a pris cours</w:t>
      </w:r>
      <w:r>
        <w:rPr>
          <w:spacing w:val="0"/>
          <w:vertAlign w:val="superscript"/>
        </w:rPr>
        <w:footnoteReference w:id="18"/>
      </w:r>
      <w:r>
        <w:rPr>
          <w:rFonts w:cs="Times New Roman"/>
          <w:spacing w:val="0"/>
        </w:rPr>
        <w:t xml:space="preserve">. </w:t>
      </w:r>
    </w:p>
    <w:p>
      <w:pPr>
        <w:pStyle w:val="Corpsdetexte"/>
        <w:rPr>
          <w:rFonts w:cs="Times New Roman"/>
          <w:spacing w:val="0"/>
        </w:rPr>
      </w:pPr>
    </w:p>
    <w:p>
      <w:pPr>
        <w:pStyle w:val="Corpsdetexte"/>
        <w:rPr>
          <w:rFonts w:cs="Times New Roman"/>
          <w:spacing w:val="0"/>
        </w:rPr>
      </w:pPr>
      <w:r>
        <w:rPr>
          <w:rFonts w:cs="Times New Roman"/>
          <w:b/>
          <w:spacing w:val="0"/>
        </w:rPr>
        <w:t>Au plus tard à partir de la dixième demi-journée d'absence injustifiée</w:t>
      </w:r>
      <w:r>
        <w:rPr>
          <w:spacing w:val="0"/>
          <w:vertAlign w:val="superscript"/>
        </w:rPr>
        <w:footnoteReference w:id="19"/>
      </w:r>
      <w:r>
        <w:rPr>
          <w:rFonts w:cs="Times New Roman"/>
          <w:spacing w:val="0"/>
        </w:rPr>
        <w:t xml:space="preserve"> d'un élève, le chef d'établissement ou son délégué </w:t>
      </w:r>
      <w:r>
        <w:rPr>
          <w:rFonts w:cs="Times New Roman"/>
          <w:b/>
          <w:spacing w:val="0"/>
        </w:rPr>
        <w:t>convoque</w:t>
      </w:r>
      <w:r>
        <w:rPr>
          <w:rFonts w:cs="Times New Roman"/>
          <w:spacing w:val="0"/>
        </w:rPr>
        <w:t xml:space="preserve"> l'élève et ses parents ou la personne investie de l’autorité parentale par courrier recommandé avec accusé de réception. </w:t>
      </w:r>
      <w:r>
        <w:t>L’objectif de cette rencontre est de rappeler à l’élève ainsi qu’à ses parents les règles en matière de fréquentation scolaire et d’envisager avec eux des actions visant à prévenir les absences futures.</w:t>
      </w:r>
    </w:p>
    <w:p>
      <w:pPr>
        <w:pStyle w:val="Corpsdetexte"/>
        <w:rPr>
          <w:rFonts w:cs="Times New Roman"/>
          <w:spacing w:val="0"/>
        </w:rPr>
      </w:pPr>
      <w:r>
        <w:rPr>
          <w:rFonts w:cs="Times New Roman"/>
          <w:b/>
          <w:spacing w:val="0"/>
        </w:rPr>
        <w:t>A défaut de présentation à ladite convocation</w:t>
      </w:r>
      <w:r>
        <w:rPr>
          <w:rFonts w:cs="Times New Roman"/>
          <w:spacing w:val="0"/>
        </w:rPr>
        <w:t>, et selon la situation, le chef d’établissement pourra s’il l’estime nécessaire :</w:t>
      </w:r>
    </w:p>
    <w:p>
      <w:pPr>
        <w:pStyle w:val="Corpsdetexte"/>
        <w:rPr>
          <w:rFonts w:cs="Times New Roman"/>
          <w:spacing w:val="0"/>
        </w:rPr>
      </w:pPr>
      <w:r>
        <w:rPr>
          <w:rFonts w:cs="Times New Roman"/>
          <w:spacing w:val="0"/>
        </w:rPr>
        <w:t>- déléguer un membre auxiliaire d’éducation au domicile familial ;</w:t>
      </w:r>
    </w:p>
    <w:p>
      <w:pPr>
        <w:pStyle w:val="Corpsdetexte"/>
        <w:rPr>
          <w:rFonts w:cs="Times New Roman"/>
          <w:spacing w:val="0"/>
        </w:rPr>
      </w:pPr>
      <w:r>
        <w:rPr>
          <w:rFonts w:cs="Times New Roman"/>
          <w:spacing w:val="0"/>
        </w:rPr>
        <w:t>- solliciter une visite d’un agent du CPMS au domicile de l’élève en accord avec le directeur du CPMS ;</w:t>
      </w:r>
    </w:p>
    <w:p>
      <w:pPr>
        <w:pStyle w:val="Corpsdetexte"/>
        <w:rPr>
          <w:rFonts w:cs="Times New Roman"/>
          <w:spacing w:val="0"/>
        </w:rPr>
      </w:pPr>
      <w:r>
        <w:rPr>
          <w:rFonts w:cs="Times New Roman"/>
          <w:spacing w:val="0"/>
        </w:rPr>
        <w:t xml:space="preserve">- demander l’intervention du Service des équipes mobiles (voir la </w:t>
      </w:r>
      <w:hyperlink w:anchor="Section2_7_2" w:history="1">
        <w:r>
          <w:rPr>
            <w:rStyle w:val="Lienhypertexte"/>
            <w:rFonts w:cs="Times New Roman"/>
            <w:color w:val="auto"/>
            <w:spacing w:val="0"/>
          </w:rPr>
          <w:t>section 2.7.2</w:t>
        </w:r>
      </w:hyperlink>
      <w:r>
        <w:rPr>
          <w:rFonts w:cs="Times New Roman"/>
          <w:spacing w:val="0"/>
        </w:rPr>
        <w:t xml:space="preserve"> et la </w:t>
      </w:r>
      <w:hyperlink r:id="rId63" w:history="1">
        <w:r>
          <w:rPr>
            <w:rStyle w:val="Lienhypertexte"/>
            <w:rFonts w:cs="Times New Roman"/>
            <w:color w:val="auto"/>
            <w:spacing w:val="0"/>
          </w:rPr>
          <w:t>circulaire n° 4961 du 26/08/2014</w:t>
        </w:r>
      </w:hyperlink>
      <w:r>
        <w:rPr>
          <w:rFonts w:cs="Times New Roman"/>
          <w:spacing w:val="0"/>
        </w:rPr>
        <w:t>).</w:t>
      </w:r>
    </w:p>
    <w:p>
      <w:pPr>
        <w:pStyle w:val="Corpsdetexte"/>
        <w:rPr>
          <w:rFonts w:cs="Times New Roman"/>
          <w:spacing w:val="0"/>
        </w:rPr>
      </w:pPr>
    </w:p>
    <w:p>
      <w:pPr>
        <w:pStyle w:val="Corpsdetexte"/>
        <w:rPr>
          <w:rFonts w:cs="Times New Roman"/>
          <w:spacing w:val="0"/>
        </w:rPr>
      </w:pPr>
      <w:r>
        <w:rPr>
          <w:rFonts w:cs="Times New Roman"/>
          <w:spacing w:val="0"/>
        </w:rPr>
        <w:t>Par ailleurs, dès les premières absences injustifiées d’un élève, il est conseillé au chef d’établissement d’informer le C.P.M.S., afin de lui permettre d’assurer son rôle de guidance, vis-à-vis de l’élève, de ses parents ou de la personne investie de l’autorité parentale le cas échéant.</w:t>
      </w:r>
    </w:p>
    <w:p>
      <w:pPr>
        <w:pStyle w:val="Corpsdetexte"/>
        <w:rPr>
          <w:rFonts w:cs="Times New Roman"/>
          <w:spacing w:val="0"/>
        </w:rPr>
      </w:pPr>
    </w:p>
    <w:p>
      <w:pPr>
        <w:pStyle w:val="Titre4"/>
      </w:pPr>
      <w:bookmarkStart w:id="539" w:name="_2.5.2.2.__Démarches"/>
      <w:bookmarkStart w:id="540" w:name="_Toc295931985"/>
      <w:bookmarkStart w:id="541" w:name="_Toc423419999"/>
      <w:bookmarkStart w:id="542" w:name="_Toc450645206"/>
      <w:bookmarkStart w:id="543" w:name="_Toc453942442"/>
      <w:bookmarkStart w:id="544" w:name="_Toc454888059"/>
      <w:bookmarkStart w:id="545" w:name="_Toc486241721"/>
      <w:bookmarkEnd w:id="539"/>
      <w:r>
        <w:t>2.5.2.2. Démarches auprès de l’Administration</w:t>
      </w:r>
      <w:bookmarkEnd w:id="540"/>
      <w:bookmarkEnd w:id="541"/>
      <w:bookmarkEnd w:id="542"/>
      <w:bookmarkEnd w:id="543"/>
      <w:bookmarkEnd w:id="544"/>
      <w:bookmarkEnd w:id="545"/>
    </w:p>
    <w:p/>
    <w:p>
      <w:pPr>
        <w:pStyle w:val="Corpsdetexte2"/>
        <w:rPr>
          <w:bCs/>
          <w:iCs/>
        </w:rPr>
      </w:pPr>
      <w:bookmarkStart w:id="546" w:name="_Toc101153560"/>
      <w:r>
        <w:rPr>
          <w:b/>
          <w:bCs/>
          <w:iCs/>
        </w:rPr>
        <w:t>Dès que l’élève compte 9 demi-journées d’absence injustifiée</w:t>
      </w:r>
      <w:r>
        <w:rPr>
          <w:bCs/>
          <w:iCs/>
        </w:rPr>
        <w:t xml:space="preserve">, le chef d’établissement le signale à </w:t>
      </w:r>
      <w:smartTag w:uri="urn:schemas-microsoft-com:office:smarttags" w:element="PersonName">
        <w:smartTagPr>
          <w:attr w:name="ProductID" w:val="la DGEO"/>
        </w:smartTagPr>
        <w:r>
          <w:rPr>
            <w:bCs/>
            <w:iCs/>
          </w:rPr>
          <w:t>la DGEO</w:t>
        </w:r>
      </w:smartTag>
      <w:r>
        <w:rPr>
          <w:bCs/>
          <w:iCs/>
        </w:rPr>
        <w:t xml:space="preserve"> - Service du contrôle de l’obligation scolaire afin de permettre à l’Administration d’opérer un suivi dans les plus brefs délais. Le signalement se fait via le formulaire électronique disponible sur le site </w:t>
      </w:r>
      <w:hyperlink r:id="rId64" w:history="1">
        <w:r>
          <w:rPr>
            <w:rStyle w:val="Lienhypertexte"/>
            <w:bCs/>
            <w:iCs/>
            <w:color w:val="auto"/>
          </w:rPr>
          <w:t>http://www.am.cfwb.be</w:t>
        </w:r>
      </w:hyperlink>
      <w:r>
        <w:rPr>
          <w:bCs/>
          <w:iCs/>
        </w:rPr>
        <w:t xml:space="preserve"> (voir aussi la </w:t>
      </w:r>
      <w:hyperlink r:id="rId65" w:history="1">
        <w:r>
          <w:rPr>
            <w:rStyle w:val="Lienhypertexte"/>
            <w:bCs/>
            <w:iCs/>
            <w:color w:val="auto"/>
          </w:rPr>
          <w:t>circulaire n° 3783</w:t>
        </w:r>
      </w:hyperlink>
      <w:r>
        <w:rPr>
          <w:bCs/>
          <w:iCs/>
        </w:rPr>
        <w:t xml:space="preserve"> du 28/10/2011). </w:t>
      </w:r>
    </w:p>
    <w:p>
      <w:pPr>
        <w:pStyle w:val="Corpsdetexte2"/>
        <w:rPr>
          <w:b/>
          <w:strike/>
          <w:szCs w:val="22"/>
        </w:rPr>
      </w:pPr>
    </w:p>
    <w:p>
      <w:pPr>
        <w:pStyle w:val="Corpsdetexte2"/>
        <w:rPr>
          <w:sz w:val="16"/>
        </w:rPr>
      </w:pPr>
      <w:r>
        <w:t xml:space="preserve">Toute nouvelle absence injustifiée est ensuite signalée </w:t>
      </w:r>
      <w:r>
        <w:rPr>
          <w:b/>
        </w:rPr>
        <w:t>mensuellement</w:t>
      </w:r>
      <w:r>
        <w:t xml:space="preserve"> selon la même procédure au Service du contrôle de l’obligation scolaire. En l’absence de nouveaux signalements, l’élève est présumé fréquenter l’école régulièrement et assidûment.</w:t>
      </w:r>
    </w:p>
    <w:p>
      <w:pPr>
        <w:pStyle w:val="Corpsdetexte2"/>
        <w:rPr>
          <w:sz w:val="16"/>
        </w:rPr>
      </w:pPr>
    </w:p>
    <w:p>
      <w:pPr>
        <w:pStyle w:val="Corpsdetexte2"/>
      </w:pPr>
      <w:r>
        <w:t xml:space="preserve">Il est demandé au chef d’établissement de veiller à indiquer à chaque fois </w:t>
      </w:r>
      <w:r>
        <w:rPr>
          <w:b/>
        </w:rPr>
        <w:t>le total</w:t>
      </w:r>
      <w:r>
        <w:t xml:space="preserve"> des demi-journées d’absence injustifiée atteint par l’élève en cause depuis le début de l’année scolaire.</w:t>
      </w:r>
    </w:p>
    <w:p>
      <w:pPr>
        <w:pStyle w:val="Corpsdetexte2"/>
        <w:rPr>
          <w:sz w:val="16"/>
        </w:rPr>
      </w:pPr>
    </w:p>
    <w:p>
      <w:pPr>
        <w:pStyle w:val="Corpsdetexte2"/>
      </w:pPr>
      <w:r>
        <w:t xml:space="preserve">Le Service du contrôle de l’obligation scolaire envoie des courriels sur l’adresse officielle de l’établissement pour informer le chef d’établissement de toutes les orientations réalisées vers un service d’aide non contrainte ou vers le Parquet. </w:t>
      </w:r>
    </w:p>
    <w:p>
      <w:pPr>
        <w:pStyle w:val="Corpsdetexte2"/>
        <w:rPr>
          <w:strike/>
        </w:rPr>
      </w:pPr>
    </w:p>
    <w:p>
      <w:pPr>
        <w:pStyle w:val="Corpsdetexte2"/>
        <w:rPr>
          <w:strike/>
        </w:rPr>
      </w:pPr>
      <w:r>
        <w:t xml:space="preserve">Le chef d’établissement a jusqu’au </w:t>
      </w:r>
      <w:r>
        <w:rPr>
          <w:b/>
        </w:rPr>
        <w:t>15 juillet au plus tard</w:t>
      </w:r>
      <w:r>
        <w:t xml:space="preserve"> pour déclarer à l’Administration les élèves en absence injustifiée. Après cette date, le formulaire électronique n’est plus accessible et aucun signalement ne peut être pris en compte par le Service du Contrôle de l’obligation scolaire.</w:t>
      </w:r>
    </w:p>
    <w:p>
      <w:pPr>
        <w:pStyle w:val="Titre6"/>
      </w:pPr>
      <w:bookmarkStart w:id="547" w:name="_2.1.3.2.3._Démarches_avec"/>
      <w:bookmarkEnd w:id="547"/>
    </w:p>
    <w:p>
      <w:pPr>
        <w:pStyle w:val="Titre4"/>
      </w:pPr>
      <w:bookmarkStart w:id="548" w:name="Section2_5_2_3"/>
      <w:bookmarkStart w:id="549" w:name="_Toc295931986"/>
      <w:bookmarkStart w:id="550" w:name="_Toc423420000"/>
      <w:bookmarkStart w:id="551" w:name="_Toc450645207"/>
      <w:bookmarkStart w:id="552" w:name="_Toc453942443"/>
      <w:bookmarkStart w:id="553" w:name="_Toc454888060"/>
      <w:bookmarkStart w:id="554" w:name="_Toc486241722"/>
      <w:r>
        <w:t>2.5.2.3</w:t>
      </w:r>
      <w:bookmarkEnd w:id="548"/>
      <w:r>
        <w:t xml:space="preserve">. </w:t>
      </w:r>
      <w:bookmarkEnd w:id="549"/>
      <w:r>
        <w:t>Concertation et collaboration entre les acteurs scolaires et non scolaires favorisant l’accrochage scolaire</w:t>
      </w:r>
      <w:bookmarkEnd w:id="550"/>
      <w:bookmarkEnd w:id="551"/>
      <w:bookmarkEnd w:id="552"/>
      <w:bookmarkEnd w:id="553"/>
      <w:bookmarkEnd w:id="554"/>
      <w:r>
        <w:t xml:space="preserve"> </w:t>
      </w:r>
      <w:bookmarkEnd w:id="546"/>
    </w:p>
    <w:p/>
    <w:p>
      <w:pPr>
        <w:suppressAutoHyphens/>
        <w:jc w:val="both"/>
        <w:rPr>
          <w:rFonts w:cs="Arial"/>
        </w:rPr>
      </w:pPr>
      <w:r>
        <w:rPr>
          <w:rFonts w:cs="Arial"/>
        </w:rPr>
        <w:t>Le chef d’établissement et l’équipe éducative développent un climat d’école favorisant le bien-être des élèves, le « vivre ensemble » et la sérénité propice à l’apprentissage. Ils cherchent à améliorer la situation des élèves, tant sur le plan de leur devenir scolaire que de leur épanouissement personnel.</w:t>
      </w:r>
    </w:p>
    <w:p>
      <w:pPr>
        <w:suppressAutoHyphens/>
        <w:jc w:val="both"/>
        <w:rPr>
          <w:rFonts w:cs="Arial"/>
        </w:rPr>
      </w:pPr>
      <w:r>
        <w:rPr>
          <w:rFonts w:cs="Arial"/>
        </w:rPr>
        <w:t>L’équipe du centre psycho-médicosocial et le service de la promotion de la santé à l’école collaborent pour leur part à la réalisation de</w:t>
      </w:r>
      <w:r>
        <w:rPr>
          <w:rFonts w:cs="Arial"/>
          <w:color w:val="00B050"/>
        </w:rPr>
        <w:t xml:space="preserve"> </w:t>
      </w:r>
      <w:r>
        <w:rPr>
          <w:rFonts w:cs="Arial"/>
        </w:rPr>
        <w:t>ces objectifs, à l’interface entre le monde scolaire et les intervenants extérieurs à l’école.</w:t>
      </w:r>
    </w:p>
    <w:p>
      <w:pPr>
        <w:jc w:val="both"/>
        <w:rPr>
          <w:rFonts w:cs="Arial"/>
        </w:rPr>
      </w:pPr>
    </w:p>
    <w:p>
      <w:pPr>
        <w:autoSpaceDE w:val="0"/>
        <w:autoSpaceDN w:val="0"/>
        <w:adjustRightInd w:val="0"/>
        <w:jc w:val="both"/>
        <w:rPr>
          <w:rFonts w:cs="Arial"/>
          <w:b/>
          <w:u w:val="single"/>
        </w:rPr>
      </w:pPr>
      <w:r>
        <w:rPr>
          <w:rFonts w:cs="Arial"/>
          <w:b/>
          <w:u w:val="single"/>
        </w:rPr>
        <w:t>Organisation par le chef d’établissement d’une rencontre annuelle</w:t>
      </w:r>
    </w:p>
    <w:p>
      <w:pPr>
        <w:autoSpaceDE w:val="0"/>
        <w:autoSpaceDN w:val="0"/>
        <w:adjustRightInd w:val="0"/>
        <w:jc w:val="both"/>
        <w:rPr>
          <w:rFonts w:cs="Arial"/>
        </w:rPr>
      </w:pPr>
    </w:p>
    <w:p>
      <w:pPr>
        <w:suppressAutoHyphens/>
        <w:jc w:val="both"/>
        <w:rPr>
          <w:rFonts w:cs="Arial"/>
        </w:rPr>
      </w:pPr>
      <w:r>
        <w:rPr>
          <w:rFonts w:cs="Arial"/>
        </w:rPr>
        <w:t>Annuellement</w:t>
      </w:r>
      <w:r>
        <w:rPr>
          <w:rFonts w:cs="Arial"/>
          <w:vertAlign w:val="superscript"/>
        </w:rPr>
        <w:footnoteReference w:id="20"/>
      </w:r>
      <w:r>
        <w:rPr>
          <w:rFonts w:cs="Arial"/>
        </w:rPr>
        <w:t xml:space="preserve">, le chef d’établissement organise une rencontre entre des délégués de l’équipe éducative, du centre psycho-médico-social et du service de promotion de la santé à l’école. </w:t>
      </w:r>
    </w:p>
    <w:p>
      <w:pPr>
        <w:suppressAutoHyphens/>
        <w:jc w:val="both"/>
        <w:rPr>
          <w:rFonts w:cs="Arial"/>
        </w:rPr>
      </w:pPr>
      <w:r>
        <w:rPr>
          <w:rFonts w:cs="Arial"/>
        </w:rPr>
        <w:t>La rencontre peut être ouverte à d’autres acteurs collaborant avec l’école.</w:t>
      </w:r>
    </w:p>
    <w:p>
      <w:pPr>
        <w:suppressAutoHyphens/>
        <w:jc w:val="both"/>
        <w:rPr>
          <w:rFonts w:cs="Arial"/>
        </w:rPr>
      </w:pPr>
    </w:p>
    <w:p>
      <w:pPr>
        <w:suppressAutoHyphens/>
        <w:jc w:val="both"/>
        <w:rPr>
          <w:rFonts w:cs="Arial"/>
        </w:rPr>
      </w:pPr>
    </w:p>
    <w:p>
      <w:pPr>
        <w:suppressAutoHyphens/>
        <w:jc w:val="both"/>
        <w:rPr>
          <w:rFonts w:cs="Arial"/>
        </w:rPr>
      </w:pPr>
      <w:r>
        <w:rPr>
          <w:rFonts w:cs="Arial"/>
        </w:rPr>
        <w:t xml:space="preserve">Cette rencontre vise à : </w:t>
      </w:r>
    </w:p>
    <w:p>
      <w:pPr>
        <w:numPr>
          <w:ilvl w:val="0"/>
          <w:numId w:val="9"/>
        </w:numPr>
        <w:suppressAutoHyphens/>
        <w:jc w:val="both"/>
        <w:rPr>
          <w:rFonts w:cs="Arial"/>
        </w:rPr>
      </w:pPr>
      <w:r>
        <w:rPr>
          <w:rFonts w:cs="Arial"/>
        </w:rPr>
        <w:t>échanger sur les projets éducatif, pédagogique et d’établissement, sur le projet du centre psycho-médico-social, sur, le cas échéant, celui du centre de promotion de la santé à l’école ;</w:t>
      </w:r>
    </w:p>
    <w:p>
      <w:pPr>
        <w:numPr>
          <w:ilvl w:val="0"/>
          <w:numId w:val="9"/>
        </w:numPr>
        <w:suppressAutoHyphens/>
        <w:jc w:val="both"/>
        <w:rPr>
          <w:rFonts w:cs="Arial"/>
        </w:rPr>
      </w:pPr>
      <w:r>
        <w:rPr>
          <w:rFonts w:cs="Arial"/>
        </w:rPr>
        <w:t>établir les besoins spécifiques de l’école en matière d’accrochage scolaire mais aussi, de bien-être des jeunes, de prévention de la violence à l’école et d’accompagnement des démarches d’orientation scolaire ;</w:t>
      </w:r>
    </w:p>
    <w:p>
      <w:pPr>
        <w:numPr>
          <w:ilvl w:val="0"/>
          <w:numId w:val="9"/>
        </w:numPr>
        <w:suppressAutoHyphens/>
        <w:jc w:val="both"/>
        <w:rPr>
          <w:rFonts w:cs="Arial"/>
        </w:rPr>
      </w:pPr>
      <w:r>
        <w:rPr>
          <w:rFonts w:cs="Arial"/>
        </w:rPr>
        <w:t>définir des priorités pour les années ultérieures ;</w:t>
      </w:r>
    </w:p>
    <w:p>
      <w:pPr>
        <w:numPr>
          <w:ilvl w:val="0"/>
          <w:numId w:val="9"/>
        </w:numPr>
        <w:suppressAutoHyphens/>
        <w:jc w:val="both"/>
        <w:rPr>
          <w:rFonts w:cs="Arial"/>
        </w:rPr>
      </w:pPr>
      <w:r>
        <w:rPr>
          <w:rFonts w:cs="Arial"/>
        </w:rPr>
        <w:t>identifier les ressources internes et externes mobilisables ;</w:t>
      </w:r>
    </w:p>
    <w:p>
      <w:pPr>
        <w:numPr>
          <w:ilvl w:val="0"/>
          <w:numId w:val="9"/>
        </w:numPr>
        <w:suppressAutoHyphens/>
        <w:jc w:val="both"/>
        <w:rPr>
          <w:rFonts w:cs="Arial"/>
        </w:rPr>
      </w:pPr>
      <w:r>
        <w:rPr>
          <w:rFonts w:cs="Arial"/>
        </w:rPr>
        <w:t>préciser le rôle de chacun et, en particulier, identifier une personne de référence pour chaque priorité retenue ;</w:t>
      </w:r>
    </w:p>
    <w:p>
      <w:pPr>
        <w:numPr>
          <w:ilvl w:val="0"/>
          <w:numId w:val="9"/>
        </w:numPr>
        <w:suppressAutoHyphens/>
        <w:jc w:val="both"/>
        <w:rPr>
          <w:rFonts w:cs="Arial"/>
        </w:rPr>
      </w:pPr>
      <w:r>
        <w:rPr>
          <w:rFonts w:cs="Arial"/>
        </w:rPr>
        <w:t>établir un bilan des actions entreprises et des collaborations développées.</w:t>
      </w:r>
    </w:p>
    <w:p>
      <w:pPr>
        <w:suppressAutoHyphens/>
        <w:jc w:val="both"/>
        <w:rPr>
          <w:rFonts w:cs="Arial"/>
        </w:rPr>
      </w:pPr>
    </w:p>
    <w:p>
      <w:pPr>
        <w:suppressAutoHyphens/>
        <w:jc w:val="both"/>
        <w:rPr>
          <w:rFonts w:cs="Arial"/>
        </w:rPr>
      </w:pPr>
      <w:r>
        <w:rPr>
          <w:rFonts w:cs="Arial"/>
        </w:rPr>
        <w:t>Lorsqu’une Cellule de concertation locale a été mise en place, c’est notamment en son sein que s’organisent la concertation et les actions visées ci-dessus.</w:t>
      </w:r>
    </w:p>
    <w:p>
      <w:pPr>
        <w:jc w:val="both"/>
        <w:rPr>
          <w:rFonts w:cs="Arial"/>
        </w:rPr>
      </w:pPr>
    </w:p>
    <w:p>
      <w:pPr>
        <w:jc w:val="both"/>
        <w:rPr>
          <w:rFonts w:cs="Arial"/>
        </w:rPr>
      </w:pPr>
    </w:p>
    <w:p>
      <w:pPr>
        <w:autoSpaceDE w:val="0"/>
        <w:autoSpaceDN w:val="0"/>
        <w:adjustRightInd w:val="0"/>
        <w:jc w:val="both"/>
        <w:rPr>
          <w:rFonts w:cs="Arial"/>
          <w:b/>
        </w:rPr>
      </w:pPr>
      <w:r>
        <w:rPr>
          <w:rFonts w:cs="Arial"/>
          <w:b/>
          <w:u w:val="single"/>
        </w:rPr>
        <w:t>La cellule de concertation locale</w:t>
      </w:r>
      <w:r>
        <w:rPr>
          <w:b/>
          <w:vertAlign w:val="superscript"/>
        </w:rPr>
        <w:footnoteReference w:id="21"/>
      </w:r>
    </w:p>
    <w:p>
      <w:pPr>
        <w:autoSpaceDE w:val="0"/>
        <w:autoSpaceDN w:val="0"/>
        <w:adjustRightInd w:val="0"/>
        <w:jc w:val="both"/>
        <w:rPr>
          <w:rFonts w:cs="Arial"/>
        </w:rPr>
      </w:pPr>
    </w:p>
    <w:p>
      <w:pPr>
        <w:jc w:val="both"/>
        <w:rPr>
          <w:rFonts w:cs="Arial"/>
        </w:rPr>
      </w:pPr>
      <w:r>
        <w:rPr>
          <w:rFonts w:cs="Arial"/>
        </w:rPr>
        <w:t>Le chef d’établissement peut d’initiative ou à la demande d’un des acteurs de l’Aide à la jeunesse ou de la plate-forme de concertation</w:t>
      </w:r>
      <w:r>
        <w:rPr>
          <w:vertAlign w:val="superscript"/>
        </w:rPr>
        <w:footnoteReference w:id="22"/>
      </w:r>
      <w:r>
        <w:rPr>
          <w:rFonts w:cs="Arial"/>
        </w:rPr>
        <w:t xml:space="preserve"> mettre en place une cellule de concertation locale au sein de son établissement.</w:t>
      </w:r>
    </w:p>
    <w:p>
      <w:pPr>
        <w:jc w:val="both"/>
        <w:rPr>
          <w:rFonts w:cs="Arial"/>
        </w:rPr>
      </w:pPr>
      <w:r>
        <w:rPr>
          <w:rFonts w:cs="Arial"/>
        </w:rPr>
        <w:t>Il en informe le Conseil de participation et l’organe de démocratie sociale compétent.</w:t>
      </w:r>
    </w:p>
    <w:p>
      <w:pPr>
        <w:jc w:val="both"/>
        <w:rPr>
          <w:rFonts w:cs="Arial"/>
        </w:rPr>
      </w:pPr>
    </w:p>
    <w:p>
      <w:pPr>
        <w:jc w:val="both"/>
        <w:rPr>
          <w:rFonts w:cs="Arial"/>
        </w:rPr>
      </w:pPr>
      <w:r>
        <w:rPr>
          <w:rFonts w:cs="Arial"/>
        </w:rPr>
        <w:t>La cellule de concertation locale est appelée à intervenir à trois niveaux :</w:t>
      </w:r>
    </w:p>
    <w:p>
      <w:pPr>
        <w:jc w:val="both"/>
        <w:rPr>
          <w:rFonts w:cs="Arial"/>
        </w:rPr>
      </w:pPr>
    </w:p>
    <w:p>
      <w:pPr>
        <w:numPr>
          <w:ilvl w:val="0"/>
          <w:numId w:val="166"/>
        </w:numPr>
        <w:suppressAutoHyphens/>
        <w:jc w:val="both"/>
        <w:rPr>
          <w:rFonts w:cs="Arial"/>
        </w:rPr>
      </w:pPr>
      <w:r>
        <w:rPr>
          <w:rFonts w:cs="Arial"/>
        </w:rPr>
        <w:t>celui des démarches générales de sensibilisation, d’information et de prévention visant à améliorer la situation du jeune, tant sur le plan de son devenir scolaire que de son épanouissement personnel ainsi que de favoriser le vivre-ensemble et un climat serein propice à l’apprentissage ;</w:t>
      </w:r>
    </w:p>
    <w:p>
      <w:pPr>
        <w:numPr>
          <w:ilvl w:val="0"/>
          <w:numId w:val="166"/>
        </w:numPr>
        <w:suppressAutoHyphens/>
        <w:jc w:val="both"/>
        <w:rPr>
          <w:rFonts w:cs="Arial"/>
        </w:rPr>
      </w:pPr>
      <w:r>
        <w:rPr>
          <w:rFonts w:cs="Arial"/>
        </w:rPr>
        <w:t>celui des démarches ciblées de prévention d’information et d’accompagnement adaptées à des situations identifiées comme problématiques ;</w:t>
      </w:r>
    </w:p>
    <w:p>
      <w:pPr>
        <w:numPr>
          <w:ilvl w:val="0"/>
          <w:numId w:val="166"/>
        </w:numPr>
        <w:suppressAutoHyphens/>
        <w:jc w:val="both"/>
        <w:rPr>
          <w:rFonts w:cs="Arial"/>
        </w:rPr>
      </w:pPr>
      <w:r>
        <w:rPr>
          <w:rFonts w:cs="Arial"/>
        </w:rPr>
        <w:t>celui des démarches d’intervention de crise consécutives à un fait précis qui provoque une « crise » dans l’établissement.</w:t>
      </w:r>
    </w:p>
    <w:p>
      <w:pPr>
        <w:jc w:val="both"/>
        <w:rPr>
          <w:rFonts w:cs="Arial"/>
        </w:rPr>
      </w:pPr>
    </w:p>
    <w:p>
      <w:pPr>
        <w:suppressAutoHyphens/>
        <w:jc w:val="both"/>
        <w:rPr>
          <w:rFonts w:cs="Arial"/>
        </w:rPr>
      </w:pPr>
      <w:r>
        <w:rPr>
          <w:rFonts w:cs="Arial"/>
        </w:rPr>
        <w:t>Elle a pour mission :</w:t>
      </w:r>
    </w:p>
    <w:p>
      <w:pPr>
        <w:suppressAutoHyphens/>
        <w:jc w:val="both"/>
        <w:rPr>
          <w:rFonts w:cs="Arial"/>
        </w:rPr>
      </w:pPr>
      <w:r>
        <w:rPr>
          <w:rFonts w:cs="Arial"/>
        </w:rPr>
        <w:t>1° d’identifier, de manière dynamique et systémique, les caractéristiques spécifiques à l’école des thématiques abordées (accrochage, prévention et réduction des violences, orientation…) ;</w:t>
      </w:r>
    </w:p>
    <w:p>
      <w:pPr>
        <w:suppressAutoHyphens/>
        <w:jc w:val="both"/>
        <w:rPr>
          <w:rFonts w:cs="Arial"/>
        </w:rPr>
      </w:pPr>
    </w:p>
    <w:p>
      <w:pPr>
        <w:suppressAutoHyphens/>
        <w:jc w:val="both"/>
        <w:rPr>
          <w:rFonts w:cs="Arial"/>
        </w:rPr>
      </w:pPr>
      <w:r>
        <w:rPr>
          <w:rFonts w:cs="Arial"/>
        </w:rPr>
        <w:t xml:space="preserve">2° d’établir, dans le cadre du projet d’établissement, un plan d’action collective (sensibilisation, prévention, intervention) et le mettre en œuvre ; </w:t>
      </w:r>
    </w:p>
    <w:p>
      <w:pPr>
        <w:suppressAutoHyphens/>
        <w:jc w:val="both"/>
        <w:rPr>
          <w:rFonts w:cs="Arial"/>
        </w:rPr>
      </w:pPr>
    </w:p>
    <w:p>
      <w:pPr>
        <w:suppressAutoHyphens/>
        <w:jc w:val="both"/>
        <w:rPr>
          <w:rFonts w:cs="Arial"/>
        </w:rPr>
      </w:pPr>
      <w:r>
        <w:rPr>
          <w:rFonts w:cs="Arial"/>
        </w:rPr>
        <w:t>3° d’enrichir ses projets à partir des outils, études, propositions, indicateurs et autres données mis à sa disposition à l’intervention du comité de pilotage   et/ou de la plate-forme ;</w:t>
      </w:r>
    </w:p>
    <w:p>
      <w:pPr>
        <w:suppressAutoHyphens/>
        <w:jc w:val="both"/>
        <w:rPr>
          <w:rFonts w:cs="Arial"/>
        </w:rPr>
      </w:pPr>
    </w:p>
    <w:p>
      <w:pPr>
        <w:suppressAutoHyphens/>
        <w:jc w:val="both"/>
        <w:rPr>
          <w:rFonts w:cs="Arial"/>
        </w:rPr>
      </w:pPr>
      <w:r>
        <w:rPr>
          <w:rFonts w:cs="Arial"/>
        </w:rPr>
        <w:t>4° de garantir qu’un accompagnement individuel est mis en place pour les enfants et les jeunes en difficulté ou en danger et leur famille ; les orienter, si nécessaire, vers le(s) service(s) adéquat(s) ;</w:t>
      </w:r>
    </w:p>
    <w:p>
      <w:pPr>
        <w:suppressAutoHyphens/>
        <w:jc w:val="both"/>
        <w:rPr>
          <w:rFonts w:cs="Arial"/>
        </w:rPr>
      </w:pPr>
    </w:p>
    <w:p>
      <w:pPr>
        <w:suppressAutoHyphens/>
        <w:jc w:val="both"/>
        <w:rPr>
          <w:rFonts w:cs="Arial"/>
        </w:rPr>
      </w:pPr>
      <w:r>
        <w:rPr>
          <w:rFonts w:cs="Arial"/>
        </w:rPr>
        <w:t>5° de prévoir toutes dispositions qui permettront à tout mineur qui a bénéficié d’une prise en charge par un service d’accrochage scolaire (SAS), de poursuivre ou de reprendre sa scolarité dans les meilleures conditions ;</w:t>
      </w:r>
    </w:p>
    <w:p>
      <w:pPr>
        <w:suppressAutoHyphens/>
        <w:jc w:val="both"/>
        <w:rPr>
          <w:rFonts w:cs="Arial"/>
        </w:rPr>
      </w:pPr>
    </w:p>
    <w:p>
      <w:pPr>
        <w:suppressAutoHyphens/>
        <w:jc w:val="both"/>
        <w:rPr>
          <w:rFonts w:cs="Arial"/>
        </w:rPr>
      </w:pPr>
      <w:r>
        <w:rPr>
          <w:rFonts w:cs="Arial"/>
        </w:rPr>
        <w:t>6° d’organiser le travail de concertation entre acteurs locaux au niveau des dispositifs ponctuels d’accompagnement, afin d’éviter la dégradation de la situation du jeune dans sa scolarité et son environnement et de réduire le nombre de situations à signaler au SAJ ;</w:t>
      </w:r>
    </w:p>
    <w:p>
      <w:pPr>
        <w:suppressAutoHyphens/>
        <w:jc w:val="both"/>
        <w:rPr>
          <w:rFonts w:cs="Arial"/>
        </w:rPr>
      </w:pPr>
    </w:p>
    <w:p>
      <w:pPr>
        <w:suppressAutoHyphens/>
        <w:jc w:val="both"/>
        <w:rPr>
          <w:rFonts w:cs="Arial"/>
        </w:rPr>
      </w:pPr>
      <w:r>
        <w:rPr>
          <w:rFonts w:cs="Arial"/>
        </w:rPr>
        <w:t>7° de mettre en place les coopérations utiles avec les services et organismes oeuvrant dans le quartier proche de l’école ;</w:t>
      </w:r>
    </w:p>
    <w:p>
      <w:pPr>
        <w:suppressAutoHyphens/>
        <w:jc w:val="both"/>
        <w:rPr>
          <w:rFonts w:cs="Arial"/>
        </w:rPr>
      </w:pPr>
    </w:p>
    <w:p>
      <w:pPr>
        <w:suppressAutoHyphens/>
        <w:jc w:val="both"/>
        <w:rPr>
          <w:rFonts w:cs="Arial"/>
        </w:rPr>
      </w:pPr>
      <w:r>
        <w:rPr>
          <w:rFonts w:cs="Arial"/>
        </w:rPr>
        <w:t>8° de veiller à la régulation du système, notamment en suscitant régulièrement la modélisation et l’échange de pratiques entre acteurs impliqués dans des dispositifs particuliers.</w:t>
      </w:r>
    </w:p>
    <w:p>
      <w:pPr>
        <w:suppressAutoHyphens/>
        <w:jc w:val="both"/>
        <w:rPr>
          <w:rFonts w:cs="Arial"/>
        </w:rPr>
      </w:pPr>
    </w:p>
    <w:p>
      <w:pPr>
        <w:suppressAutoHyphens/>
        <w:jc w:val="both"/>
        <w:rPr>
          <w:rFonts w:cs="Arial"/>
        </w:rPr>
      </w:pPr>
    </w:p>
    <w:p>
      <w:pPr>
        <w:suppressAutoHyphens/>
        <w:jc w:val="both"/>
        <w:rPr>
          <w:rFonts w:cs="Arial"/>
        </w:rPr>
      </w:pPr>
      <w:r>
        <w:rPr>
          <w:rFonts w:cs="Arial"/>
        </w:rPr>
        <w:t>La cellule de concertation locale comprend :</w:t>
      </w:r>
    </w:p>
    <w:p>
      <w:pPr>
        <w:suppressAutoHyphens/>
        <w:jc w:val="both"/>
        <w:rPr>
          <w:rFonts w:cs="Arial"/>
        </w:rPr>
      </w:pPr>
    </w:p>
    <w:p>
      <w:pPr>
        <w:suppressAutoHyphens/>
        <w:jc w:val="both"/>
        <w:rPr>
          <w:rFonts w:cs="Arial"/>
        </w:rPr>
      </w:pPr>
      <w:r>
        <w:rPr>
          <w:rFonts w:cs="Arial"/>
        </w:rPr>
        <w:t>1° un ou des membres du personnel directeur et enseignant ;</w:t>
      </w:r>
    </w:p>
    <w:p>
      <w:pPr>
        <w:suppressAutoHyphens/>
        <w:jc w:val="both"/>
        <w:rPr>
          <w:rFonts w:cs="Arial"/>
        </w:rPr>
      </w:pPr>
      <w:r>
        <w:rPr>
          <w:rFonts w:cs="Arial"/>
        </w:rPr>
        <w:t>2° un ou des membres de l’équipe du CPMS ;</w:t>
      </w:r>
    </w:p>
    <w:p>
      <w:pPr>
        <w:suppressAutoHyphens/>
        <w:jc w:val="both"/>
        <w:rPr>
          <w:rFonts w:cs="Arial"/>
        </w:rPr>
      </w:pPr>
      <w:r>
        <w:rPr>
          <w:rFonts w:cs="Arial"/>
        </w:rPr>
        <w:t xml:space="preserve">3° un représentant du conseiller ou du directeur de l’Aide à </w:t>
      </w:r>
      <w:smartTag w:uri="urn:schemas-microsoft-com:office:smarttags" w:element="PersonName">
        <w:smartTagPr>
          <w:attr w:name="ProductID" w:val="la Jeunesse"/>
        </w:smartTagPr>
        <w:r>
          <w:rPr>
            <w:rFonts w:cs="Arial"/>
          </w:rPr>
          <w:t>la Jeunesse</w:t>
        </w:r>
      </w:smartTag>
      <w:r>
        <w:rPr>
          <w:rFonts w:cs="Arial"/>
        </w:rPr>
        <w:t xml:space="preserve"> de l’arrondissement dans lequel est situé l’établissement scolaire ;</w:t>
      </w:r>
    </w:p>
    <w:p>
      <w:pPr>
        <w:suppressAutoHyphens/>
        <w:jc w:val="both"/>
        <w:rPr>
          <w:rFonts w:cs="Arial"/>
        </w:rPr>
      </w:pPr>
      <w:r>
        <w:rPr>
          <w:rFonts w:cs="Arial"/>
        </w:rPr>
        <w:t xml:space="preserve">4° un ou des représentants des services d’aide en milieu ouvert (AMO) et/ou les services qui apportent leurs concours à l’exécution de décisions individuelles dans le cadre des programmes d’aide élaborés par le conseiller ou le directeur de l’Aide à </w:t>
      </w:r>
      <w:smartTag w:uri="urn:schemas-microsoft-com:office:smarttags" w:element="PersonName">
        <w:smartTagPr>
          <w:attr w:name="ProductID" w:val="la Jeunesse"/>
        </w:smartTagPr>
        <w:r>
          <w:rPr>
            <w:rFonts w:cs="Arial"/>
          </w:rPr>
          <w:t>la Jeunesse</w:t>
        </w:r>
      </w:smartTag>
      <w:r>
        <w:rPr>
          <w:rFonts w:cs="Arial"/>
        </w:rPr>
        <w:t xml:space="preserve"> ou par le Tribunal de jeunesse.</w:t>
      </w:r>
    </w:p>
    <w:p>
      <w:pPr>
        <w:suppressAutoHyphens/>
        <w:jc w:val="both"/>
        <w:rPr>
          <w:rFonts w:cs="Arial"/>
        </w:rPr>
      </w:pPr>
    </w:p>
    <w:p>
      <w:pPr>
        <w:suppressAutoHyphens/>
        <w:jc w:val="both"/>
        <w:rPr>
          <w:rFonts w:cs="Arial"/>
        </w:rPr>
      </w:pPr>
      <w:r>
        <w:rPr>
          <w:rFonts w:cs="Arial"/>
        </w:rPr>
        <w:t>Elle établit les contacts utiles avec les autres services externes  (les équipes mobiles, les SAS, les commissions décentralisées rendant un avis en matière d’inscription ou les commissions zonales des inscriptions, etc…) et peut en intégrer un ou des représentants.</w:t>
      </w:r>
    </w:p>
    <w:p>
      <w:pPr>
        <w:jc w:val="both"/>
        <w:rPr>
          <w:rFonts w:cs="Arial"/>
        </w:rPr>
      </w:pPr>
    </w:p>
    <w:p>
      <w:pPr>
        <w:jc w:val="both"/>
        <w:rPr>
          <w:rFonts w:cs="Arial"/>
        </w:rPr>
      </w:pPr>
      <w:r>
        <w:rPr>
          <w:rFonts w:cs="Arial"/>
        </w:rPr>
        <w:t xml:space="preserve">La composition de la cellule est définie dans le règlement d’ordre intérieur. Celui-ci est établi lors de la 1ère réunion de la cellule convoquée par le chef d’établissement à laquelle participe au moins un représentant de chacune des catégories susmentionnées (1° à 4°) et est soumis, pour approbation, au chef d’établissement pour l’enseignement organisé par </w:t>
      </w:r>
      <w:smartTag w:uri="urn:schemas-microsoft-com:office:smarttags" w:element="PersonName">
        <w:smartTagPr>
          <w:attr w:name="ProductID" w:val="la F￩d￩ration Wallonie-Bruxelles"/>
        </w:smartTagPr>
        <w:r>
          <w:rPr>
            <w:rFonts w:cs="Arial"/>
          </w:rPr>
          <w:t>la Fédération Wallonie-Bruxelles</w:t>
        </w:r>
      </w:smartTag>
      <w:r>
        <w:rPr>
          <w:rFonts w:cs="Arial"/>
        </w:rPr>
        <w:t xml:space="preserve">, et au Pouvoir organisateur pour l’enseignement subventionné par </w:t>
      </w:r>
      <w:smartTag w:uri="urn:schemas-microsoft-com:office:smarttags" w:element="PersonName">
        <w:smartTagPr>
          <w:attr w:name="ProductID" w:val="la F￩d￩ration Wallonie-Bruxelles"/>
        </w:smartTagPr>
        <w:r>
          <w:rPr>
            <w:rFonts w:cs="Arial"/>
          </w:rPr>
          <w:t>la Fédération Wallonie-Bruxelles</w:t>
        </w:r>
      </w:smartTag>
      <w:r>
        <w:rPr>
          <w:rFonts w:cs="Arial"/>
        </w:rPr>
        <w:t>.</w:t>
      </w:r>
    </w:p>
    <w:p>
      <w:pPr>
        <w:suppressAutoHyphens/>
        <w:jc w:val="both"/>
        <w:rPr>
          <w:rFonts w:cs="Arial"/>
        </w:rPr>
      </w:pPr>
    </w:p>
    <w:p>
      <w:pPr>
        <w:suppressAutoHyphens/>
        <w:jc w:val="both"/>
        <w:rPr>
          <w:rFonts w:cs="Arial"/>
        </w:rPr>
      </w:pPr>
      <w:r>
        <w:rPr>
          <w:rFonts w:cs="Arial"/>
        </w:rPr>
        <w:t>Elle peut inviter toute personne jugée utile à la réalisation des objectifs poursuivis.</w:t>
      </w:r>
    </w:p>
    <w:p>
      <w:pPr>
        <w:suppressAutoHyphens/>
        <w:jc w:val="both"/>
        <w:rPr>
          <w:rFonts w:cs="Arial"/>
        </w:rPr>
      </w:pPr>
    </w:p>
    <w:p>
      <w:pPr>
        <w:suppressAutoHyphens/>
        <w:jc w:val="both"/>
        <w:rPr>
          <w:rFonts w:cs="Arial"/>
        </w:rPr>
      </w:pPr>
      <w:r>
        <w:rPr>
          <w:rFonts w:cs="Arial"/>
        </w:rPr>
        <w:t>Elle peut se réunir valablement même si toutes les composantes ne peuvent être présentes, pour autant que tous les membres aient été dûment convoqués.</w:t>
      </w:r>
    </w:p>
    <w:p>
      <w:pPr>
        <w:suppressAutoHyphens/>
        <w:jc w:val="both"/>
        <w:rPr>
          <w:rFonts w:cs="Arial"/>
        </w:rPr>
      </w:pPr>
    </w:p>
    <w:p>
      <w:pPr>
        <w:suppressAutoHyphens/>
        <w:jc w:val="both"/>
      </w:pPr>
      <w:r>
        <w:t>Au moins une fois l’an, le chef d’établissement informe le Conseil de participation et l’organe de démocratie sociale compétent des actions développées par la cellule de concertation locale.</w:t>
      </w:r>
    </w:p>
    <w:p>
      <w:pPr>
        <w:suppressAutoHyphens/>
        <w:jc w:val="both"/>
      </w:pPr>
    </w:p>
    <w:p>
      <w:pPr>
        <w:suppressAutoHyphens/>
        <w:jc w:val="both"/>
        <w:rPr>
          <w:rFonts w:cs="Arial"/>
          <w:b/>
          <w:u w:val="single"/>
        </w:rPr>
      </w:pPr>
      <w:r>
        <w:rPr>
          <w:b/>
          <w:u w:val="single"/>
        </w:rPr>
        <w:t>Situations particulières qui doivent être signalées au conseiller de l’Aide à la jeunesse</w:t>
      </w:r>
    </w:p>
    <w:p>
      <w:pPr>
        <w:pStyle w:val="2"/>
        <w:jc w:val="both"/>
        <w:rPr>
          <w:rFonts w:ascii="Arial" w:eastAsia="Times New Roman" w:hAnsi="Arial" w:cs="Arial"/>
          <w:sz w:val="22"/>
          <w:szCs w:val="24"/>
          <w:lang w:eastAsia="fr-FR"/>
        </w:rPr>
      </w:pPr>
    </w:p>
    <w:p>
      <w:pPr>
        <w:jc w:val="both"/>
        <w:rPr>
          <w:rFonts w:cs="Arial"/>
        </w:rPr>
      </w:pPr>
      <w:r>
        <w:rPr>
          <w:rFonts w:cs="Arial"/>
        </w:rPr>
        <w:t xml:space="preserve">Dans certaines situations, il est du devoir du chef d’établissement de collaborer avec le service de l’Aide à </w:t>
      </w:r>
      <w:smartTag w:uri="urn:schemas-microsoft-com:office:smarttags" w:element="PersonName">
        <w:smartTagPr>
          <w:attr w:name="ProductID" w:val="la Jeunesse"/>
        </w:smartTagPr>
        <w:r>
          <w:rPr>
            <w:rFonts w:cs="Arial"/>
          </w:rPr>
          <w:t>la Jeunesse</w:t>
        </w:r>
      </w:smartTag>
      <w:r>
        <w:rPr>
          <w:rFonts w:cs="Arial"/>
        </w:rPr>
        <w:t>, par l’intermédiaire de son conseiller de l’Aide à la jeunesse</w:t>
      </w:r>
      <w:r>
        <w:rPr>
          <w:vertAlign w:val="superscript"/>
        </w:rPr>
        <w:footnoteReference w:id="23"/>
      </w:r>
      <w:r>
        <w:rPr>
          <w:rFonts w:cs="Arial"/>
        </w:rPr>
        <w:t>, afin d’aider des élèves mineurs fréquentant son établissement scolaire.</w:t>
      </w:r>
    </w:p>
    <w:p>
      <w:pPr>
        <w:pStyle w:val="2"/>
        <w:jc w:val="both"/>
        <w:rPr>
          <w:rFonts w:ascii="Arial" w:eastAsia="Times New Roman" w:hAnsi="Arial" w:cs="Arial"/>
          <w:sz w:val="22"/>
          <w:szCs w:val="24"/>
          <w:lang w:eastAsia="fr-FR"/>
        </w:rPr>
      </w:pPr>
    </w:p>
    <w:p>
      <w:pPr>
        <w:jc w:val="both"/>
        <w:rPr>
          <w:rFonts w:cs="Arial"/>
        </w:rPr>
      </w:pPr>
      <w:r>
        <w:rPr>
          <w:rFonts w:cs="Arial"/>
        </w:rPr>
        <w:t>Comme prérequis à cette collaboration, le chef d’établissement définit avec le conseiller de l’Aide à la jeunesse les modalités de communication et de motivation de signalement de ces élèves mineurs.</w:t>
      </w:r>
    </w:p>
    <w:p>
      <w:pPr>
        <w:jc w:val="both"/>
        <w:rPr>
          <w:rFonts w:cs="Arial"/>
        </w:rPr>
      </w:pPr>
    </w:p>
    <w:p>
      <w:pPr>
        <w:jc w:val="both"/>
        <w:rPr>
          <w:rFonts w:cs="Arial"/>
        </w:rPr>
      </w:pPr>
      <w:r>
        <w:rPr>
          <w:rFonts w:cs="Arial"/>
        </w:rPr>
        <w:t>Le chef d’établissement et le conseiller de l’Aide à la jeunesse peuvent par exemple convenir de modèles de formulaires de signalement de ces élèves mineurs par le chef d’établissement au conseiller de l’Aide à la jeunesse et de réponse de celui-ci.</w:t>
      </w:r>
    </w:p>
    <w:p>
      <w:pPr>
        <w:pStyle w:val="Titre5"/>
        <w:numPr>
          <w:ilvl w:val="4"/>
          <w:numId w:val="0"/>
        </w:numPr>
        <w:tabs>
          <w:tab w:val="num" w:pos="0"/>
        </w:tabs>
        <w:suppressAutoHyphens/>
        <w:spacing w:before="0"/>
        <w:ind w:left="1008" w:hanging="1008"/>
        <w:rPr>
          <w:b w:val="0"/>
          <w:bCs w:val="0"/>
          <w:i w:val="0"/>
          <w:color w:val="auto"/>
          <w:szCs w:val="24"/>
          <w:u w:val="none"/>
          <w:lang w:val="fr-FR"/>
        </w:rPr>
      </w:pPr>
    </w:p>
    <w:p>
      <w:pPr>
        <w:jc w:val="both"/>
        <w:rPr>
          <w:rFonts w:cs="Arial"/>
        </w:rPr>
      </w:pPr>
      <w:r>
        <w:rPr>
          <w:rFonts w:cs="Arial"/>
        </w:rPr>
        <w:t>Le chef d’établissement collabore avec le secteur de l’Aide à la jeunesse</w:t>
      </w:r>
      <w:r>
        <w:rPr>
          <w:vertAlign w:val="superscript"/>
        </w:rPr>
        <w:footnoteReference w:id="24"/>
      </w:r>
      <w:r>
        <w:rPr>
          <w:rFonts w:cs="Arial"/>
        </w:rPr>
        <w:t xml:space="preserve"> quand il constate, notamment:</w:t>
      </w:r>
    </w:p>
    <w:p>
      <w:pPr>
        <w:jc w:val="both"/>
        <w:rPr>
          <w:rFonts w:cs="Arial"/>
        </w:rPr>
      </w:pPr>
    </w:p>
    <w:p>
      <w:pPr>
        <w:numPr>
          <w:ilvl w:val="0"/>
          <w:numId w:val="165"/>
        </w:numPr>
        <w:suppressAutoHyphens/>
        <w:jc w:val="both"/>
        <w:rPr>
          <w:rFonts w:cs="Arial"/>
        </w:rPr>
      </w:pPr>
      <w:r>
        <w:rPr>
          <w:rFonts w:cs="Arial"/>
        </w:rPr>
        <w:t>soit qu’un élève mineur est en difficulté ;</w:t>
      </w:r>
    </w:p>
    <w:p>
      <w:pPr>
        <w:numPr>
          <w:ilvl w:val="0"/>
          <w:numId w:val="165"/>
        </w:numPr>
        <w:suppressAutoHyphens/>
        <w:jc w:val="both"/>
        <w:rPr>
          <w:rFonts w:cs="Arial"/>
        </w:rPr>
      </w:pPr>
      <w:r>
        <w:rPr>
          <w:rFonts w:cs="Arial"/>
        </w:rPr>
        <w:t>soit que la santé ou la sécurité d’un élève sont en danger ;</w:t>
      </w:r>
    </w:p>
    <w:p>
      <w:pPr>
        <w:numPr>
          <w:ilvl w:val="0"/>
          <w:numId w:val="165"/>
        </w:numPr>
        <w:suppressAutoHyphens/>
        <w:jc w:val="both"/>
        <w:rPr>
          <w:rFonts w:cs="Arial"/>
        </w:rPr>
      </w:pPr>
      <w:r>
        <w:rPr>
          <w:rFonts w:cs="Arial"/>
        </w:rPr>
        <w:t>soit que les conditions d’éducation d’un élève sont compromises par son comportement, celui de sa famille ou de ses familiers.</w:t>
      </w:r>
    </w:p>
    <w:p>
      <w:pPr>
        <w:jc w:val="both"/>
        <w:rPr>
          <w:rFonts w:cs="Arial"/>
        </w:rPr>
      </w:pPr>
      <w:r>
        <w:rPr>
          <w:rFonts w:cs="Arial"/>
        </w:rPr>
        <w:t>Le chef d’établissement signale alors les coordonnées de cet élève au conseiller de l’Aide à la jeunesse sur base, éventuellement, du formulaire prévu à cet effet.</w:t>
      </w:r>
    </w:p>
    <w:p>
      <w:pPr>
        <w:jc w:val="both"/>
        <w:rPr>
          <w:rFonts w:cs="Arial"/>
        </w:rPr>
      </w:pPr>
    </w:p>
    <w:p>
      <w:pPr>
        <w:pStyle w:val="Corpsdetexte"/>
        <w:rPr>
          <w:rFonts w:cs="Times New Roman"/>
          <w:spacing w:val="0"/>
        </w:rPr>
      </w:pPr>
      <w:r>
        <w:t>Pour que le conseiller de l’Aide à la jeunesse puisse agir efficacement, il conviendra que le chef d’établissement indique, d’une part, tout ce qui a déjà été entrepris par l’école face à la situation de l’élève et de ses éventuelles absences et, d’autre part, les éléments qui font craindre que l’élève est en danger physique ou psychologique ou qu’il est confronté à des difficultés graves.</w:t>
      </w:r>
    </w:p>
    <w:p>
      <w:pPr>
        <w:pStyle w:val="Corpsdetexte2"/>
        <w:rPr>
          <w:sz w:val="24"/>
        </w:rPr>
      </w:pPr>
    </w:p>
    <w:p>
      <w:pPr>
        <w:rPr>
          <w:rFonts w:cs="Arial"/>
          <w:b/>
          <w:bCs/>
          <w:u w:val="single"/>
        </w:rPr>
      </w:pPr>
      <w:bookmarkStart w:id="555" w:name="_Toc162434336"/>
      <w:bookmarkStart w:id="556" w:name="_Toc166930661"/>
      <w:r>
        <w:rPr>
          <w:b/>
          <w:bCs/>
          <w:u w:val="single"/>
        </w:rPr>
        <w:br w:type="page"/>
      </w:r>
    </w:p>
    <w:p>
      <w:pPr>
        <w:pStyle w:val="Corpsdetexte2"/>
        <w:rPr>
          <w:b/>
          <w:bCs/>
          <w:u w:val="single"/>
        </w:rPr>
      </w:pPr>
      <w:r>
        <w:rPr>
          <w:b/>
          <w:bCs/>
          <w:u w:val="single"/>
        </w:rPr>
        <w:t>Les services d’accrochage scolaire (SAS)</w:t>
      </w:r>
      <w:r>
        <w:rPr>
          <w:rStyle w:val="Appelnotedebasdep"/>
          <w:b/>
          <w:bCs/>
          <w:u w:val="single"/>
        </w:rPr>
        <w:footnoteReference w:id="25"/>
      </w:r>
      <w:r>
        <w:rPr>
          <w:b/>
          <w:bCs/>
          <w:u w:val="single"/>
        </w:rPr>
        <w:t>: élève exclu ou en situation de crise</w:t>
      </w:r>
      <w:bookmarkEnd w:id="555"/>
      <w:bookmarkEnd w:id="556"/>
    </w:p>
    <w:p>
      <w:pPr>
        <w:jc w:val="both"/>
        <w:rPr>
          <w:rFonts w:cs="Arial"/>
          <w:sz w:val="16"/>
          <w:szCs w:val="16"/>
        </w:rPr>
      </w:pPr>
    </w:p>
    <w:p>
      <w:pPr>
        <w:tabs>
          <w:tab w:val="num" w:pos="3420"/>
        </w:tabs>
        <w:jc w:val="both"/>
        <w:rPr>
          <w:rFonts w:cs="Arial"/>
          <w:lang w:val="fr-BE"/>
        </w:rPr>
      </w:pPr>
      <w:r>
        <w:rPr>
          <w:rFonts w:cs="Arial"/>
          <w:lang w:val="fr-BE"/>
        </w:rPr>
        <w:t>Un élève exclu de son école, en absentéisme/décrochage scolaire ou en situation de crise</w:t>
      </w:r>
      <w:r>
        <w:rPr>
          <w:rStyle w:val="Appelnotedebasdep"/>
          <w:rFonts w:cs="Arial"/>
          <w:lang w:val="fr-BE"/>
        </w:rPr>
        <w:footnoteReference w:id="26"/>
      </w:r>
      <w:r>
        <w:rPr>
          <w:rFonts w:cs="Arial"/>
          <w:lang w:val="fr-BE"/>
        </w:rPr>
        <w:t xml:space="preserve"> peut être orienté par l’intermédiaire de ses </w:t>
      </w:r>
      <w:r>
        <w:rPr>
          <w:rFonts w:cs="Arial"/>
        </w:rPr>
        <w:t xml:space="preserve">parents, de la personne investie de l’autorité parentale ou qui assume la garde en fait de l'enfant, vers un SAS </w:t>
      </w:r>
      <w:r>
        <w:rPr>
          <w:rFonts w:cs="Arial"/>
          <w:lang w:val="fr-BE"/>
        </w:rPr>
        <w:t>(voir liste à l'</w:t>
      </w:r>
      <w:hyperlink w:anchor="Annexe_25B" w:history="1">
        <w:r>
          <w:rPr>
            <w:rStyle w:val="Lienhypertexte"/>
            <w:rFonts w:cs="Arial"/>
            <w:color w:val="auto"/>
            <w:lang w:val="fr-BE"/>
          </w:rPr>
          <w:t>annexe 2.5.B.</w:t>
        </w:r>
      </w:hyperlink>
      <w:r>
        <w:rPr>
          <w:rFonts w:cs="Arial"/>
          <w:lang w:val="fr-BE"/>
        </w:rPr>
        <w:t>)</w:t>
      </w:r>
      <w:r>
        <w:rPr>
          <w:rFonts w:cs="Arial"/>
        </w:rPr>
        <w:t xml:space="preserve">, </w:t>
      </w:r>
      <w:r>
        <w:rPr>
          <w:rFonts w:cs="Arial"/>
          <w:b/>
          <w:bCs/>
        </w:rPr>
        <w:t>sur base volontaire</w:t>
      </w:r>
      <w:r>
        <w:rPr>
          <w:rFonts w:cs="Arial"/>
        </w:rPr>
        <w:t xml:space="preserve"> de ces derniers et de l'intéressé.</w:t>
      </w:r>
    </w:p>
    <w:p>
      <w:pPr>
        <w:jc w:val="both"/>
        <w:rPr>
          <w:rFonts w:cs="Arial"/>
          <w:sz w:val="16"/>
          <w:lang w:val="fr-BE"/>
        </w:rPr>
      </w:pPr>
    </w:p>
    <w:p>
      <w:pPr>
        <w:jc w:val="both"/>
        <w:rPr>
          <w:rFonts w:cs="Arial"/>
          <w:lang w:val="fr-BE"/>
        </w:rPr>
      </w:pPr>
      <w:r>
        <w:rPr>
          <w:rFonts w:cs="Arial"/>
          <w:lang w:val="fr-BE"/>
        </w:rPr>
        <w:t>La prise en charge d’un enfant par un SAS satisfait pleinement à l’obligation scolaire : c’est une aide sociale, éducative et pédagogique, qui consiste en l’accueil en journée et une aide, un accompagnement en lien avec le milieu familial ou de vie du jeune.</w:t>
      </w:r>
    </w:p>
    <w:p>
      <w:pPr>
        <w:jc w:val="both"/>
        <w:rPr>
          <w:rFonts w:cs="Arial"/>
          <w:sz w:val="16"/>
          <w:szCs w:val="16"/>
          <w:lang w:val="fr-BE"/>
        </w:rPr>
      </w:pPr>
    </w:p>
    <w:p>
      <w:pPr>
        <w:tabs>
          <w:tab w:val="left" w:pos="900"/>
        </w:tabs>
        <w:autoSpaceDE w:val="0"/>
        <w:autoSpaceDN w:val="0"/>
        <w:adjustRightInd w:val="0"/>
        <w:jc w:val="both"/>
        <w:rPr>
          <w:rFonts w:cs="Arial"/>
          <w:lang w:val="fr-BE"/>
        </w:rPr>
      </w:pPr>
      <w:r>
        <w:rPr>
          <w:szCs w:val="16"/>
        </w:rPr>
        <w:t xml:space="preserve">Quelles sont les </w:t>
      </w:r>
      <w:r>
        <w:rPr>
          <w:b/>
          <w:szCs w:val="16"/>
        </w:rPr>
        <w:t>conditions</w:t>
      </w:r>
      <w:r>
        <w:rPr>
          <w:szCs w:val="16"/>
        </w:rPr>
        <w:t xml:space="preserve"> pour qu’un mineur en âge d’obligation scolaire puisse être temporairement accueilli par un service d’accrochage scolaire tout en répondant à cette obligation ?</w:t>
      </w:r>
    </w:p>
    <w:p>
      <w:pPr>
        <w:jc w:val="both"/>
        <w:rPr>
          <w:rFonts w:cs="Arial"/>
          <w:lang w:val="fr-BE"/>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65"/>
        <w:gridCol w:w="1571"/>
        <w:gridCol w:w="1571"/>
        <w:gridCol w:w="1571"/>
      </w:tblGrid>
      <w:tr>
        <w:trPr>
          <w:trHeight w:val="454"/>
        </w:trPr>
        <w:tc>
          <w:tcPr>
            <w:tcW w:w="5065" w:type="dxa"/>
            <w:tcBorders>
              <w:top w:val="double" w:sz="4" w:space="0" w:color="auto"/>
              <w:left w:val="double" w:sz="4" w:space="0" w:color="auto"/>
              <w:bottom w:val="single" w:sz="12" w:space="0" w:color="auto"/>
              <w:right w:val="single" w:sz="12" w:space="0" w:color="auto"/>
            </w:tcBorders>
            <w:vAlign w:val="center"/>
          </w:tcPr>
          <w:p>
            <w:pPr>
              <w:jc w:val="center"/>
              <w:rPr>
                <w:rFonts w:cs="Arial"/>
                <w:bCs/>
                <w:szCs w:val="22"/>
                <w:lang w:val="fr-BE"/>
              </w:rPr>
            </w:pPr>
          </w:p>
        </w:tc>
        <w:tc>
          <w:tcPr>
            <w:tcW w:w="1571" w:type="dxa"/>
            <w:tcBorders>
              <w:top w:val="double" w:sz="4" w:space="0" w:color="auto"/>
              <w:left w:val="single" w:sz="12" w:space="0" w:color="auto"/>
              <w:bottom w:val="single" w:sz="12" w:space="0" w:color="auto"/>
              <w:right w:val="single" w:sz="4" w:space="0" w:color="auto"/>
            </w:tcBorders>
            <w:vAlign w:val="center"/>
          </w:tcPr>
          <w:p>
            <w:pPr>
              <w:jc w:val="center"/>
              <w:rPr>
                <w:rFonts w:cs="Arial"/>
                <w:bCs/>
                <w:szCs w:val="22"/>
                <w:lang w:val="fr-BE"/>
              </w:rPr>
            </w:pPr>
            <w:r>
              <w:rPr>
                <w:rFonts w:cs="Arial"/>
                <w:bCs/>
                <w:szCs w:val="22"/>
                <w:lang w:val="fr-BE"/>
              </w:rPr>
              <w:t>Art. 31</w:t>
            </w:r>
          </w:p>
          <w:p>
            <w:pPr>
              <w:jc w:val="center"/>
              <w:rPr>
                <w:rFonts w:cs="Arial"/>
                <w:bCs/>
                <w:szCs w:val="22"/>
                <w:lang w:val="fr-BE"/>
              </w:rPr>
            </w:pPr>
          </w:p>
          <w:p>
            <w:pPr>
              <w:jc w:val="center"/>
              <w:rPr>
                <w:rFonts w:cs="Arial"/>
                <w:szCs w:val="22"/>
                <w:lang w:val="de-DE"/>
              </w:rPr>
            </w:pPr>
            <w:r>
              <w:rPr>
                <w:rFonts w:cs="Arial"/>
                <w:szCs w:val="22"/>
                <w:lang w:val="fr-BE"/>
              </w:rPr>
              <w:t>En cas d’exclusion</w:t>
            </w:r>
          </w:p>
        </w:tc>
        <w:tc>
          <w:tcPr>
            <w:tcW w:w="1571" w:type="dxa"/>
            <w:tcBorders>
              <w:top w:val="double" w:sz="4" w:space="0" w:color="auto"/>
              <w:left w:val="single" w:sz="4" w:space="0" w:color="auto"/>
              <w:bottom w:val="single" w:sz="12" w:space="0" w:color="auto"/>
              <w:right w:val="single" w:sz="4" w:space="0" w:color="auto"/>
            </w:tcBorders>
            <w:vAlign w:val="center"/>
          </w:tcPr>
          <w:p>
            <w:pPr>
              <w:spacing w:line="120" w:lineRule="auto"/>
              <w:jc w:val="center"/>
              <w:rPr>
                <w:rFonts w:cs="Arial"/>
                <w:bCs/>
                <w:szCs w:val="22"/>
              </w:rPr>
            </w:pPr>
          </w:p>
          <w:p>
            <w:pPr>
              <w:jc w:val="center"/>
              <w:rPr>
                <w:rFonts w:cs="Arial"/>
                <w:bCs/>
                <w:szCs w:val="22"/>
              </w:rPr>
            </w:pPr>
            <w:r>
              <w:rPr>
                <w:rFonts w:cs="Arial"/>
                <w:bCs/>
                <w:szCs w:val="22"/>
              </w:rPr>
              <w:t>Art. 32</w:t>
            </w:r>
          </w:p>
          <w:p>
            <w:pPr>
              <w:spacing w:line="120" w:lineRule="auto"/>
              <w:jc w:val="center"/>
              <w:rPr>
                <w:rFonts w:cs="Arial"/>
                <w:bCs/>
                <w:szCs w:val="22"/>
              </w:rPr>
            </w:pPr>
          </w:p>
          <w:p>
            <w:pPr>
              <w:jc w:val="center"/>
              <w:rPr>
                <w:rFonts w:cs="Arial"/>
                <w:bCs/>
                <w:szCs w:val="22"/>
              </w:rPr>
            </w:pPr>
            <w:r>
              <w:rPr>
                <w:rFonts w:cs="Arial"/>
                <w:szCs w:val="22"/>
              </w:rPr>
              <w:t>En cas de situation de crise ou d’absentéisme</w:t>
            </w:r>
          </w:p>
        </w:tc>
        <w:tc>
          <w:tcPr>
            <w:tcW w:w="1571" w:type="dxa"/>
            <w:tcBorders>
              <w:top w:val="double" w:sz="4" w:space="0" w:color="auto"/>
              <w:left w:val="single" w:sz="4" w:space="0" w:color="auto"/>
              <w:bottom w:val="single" w:sz="12" w:space="0" w:color="auto"/>
              <w:right w:val="double" w:sz="4" w:space="0" w:color="auto"/>
            </w:tcBorders>
            <w:vAlign w:val="center"/>
          </w:tcPr>
          <w:p>
            <w:pPr>
              <w:spacing w:line="120" w:lineRule="auto"/>
              <w:jc w:val="center"/>
              <w:rPr>
                <w:rFonts w:cs="Arial"/>
                <w:bCs/>
                <w:szCs w:val="22"/>
              </w:rPr>
            </w:pPr>
          </w:p>
          <w:p>
            <w:pPr>
              <w:jc w:val="center"/>
              <w:rPr>
                <w:rFonts w:cs="Arial"/>
                <w:bCs/>
                <w:szCs w:val="22"/>
              </w:rPr>
            </w:pPr>
            <w:r>
              <w:rPr>
                <w:rFonts w:cs="Arial"/>
                <w:bCs/>
                <w:szCs w:val="22"/>
              </w:rPr>
              <w:t>Art. 33</w:t>
            </w:r>
          </w:p>
          <w:p>
            <w:pPr>
              <w:spacing w:line="120" w:lineRule="auto"/>
              <w:jc w:val="center"/>
              <w:rPr>
                <w:rFonts w:cs="Arial"/>
                <w:szCs w:val="22"/>
              </w:rPr>
            </w:pPr>
          </w:p>
          <w:p>
            <w:pPr>
              <w:jc w:val="center"/>
              <w:rPr>
                <w:rFonts w:cs="Arial"/>
                <w:bCs/>
                <w:szCs w:val="22"/>
              </w:rPr>
            </w:pPr>
            <w:r>
              <w:rPr>
                <w:rFonts w:cs="Arial"/>
                <w:szCs w:val="22"/>
              </w:rPr>
              <w:t>En cas de non inscription ou d’inscription sans aucune fréquentation</w:t>
            </w:r>
          </w:p>
        </w:tc>
      </w:tr>
      <w:tr>
        <w:trPr>
          <w:trHeight w:val="454"/>
        </w:trPr>
        <w:tc>
          <w:tcPr>
            <w:tcW w:w="5065" w:type="dxa"/>
            <w:tcBorders>
              <w:top w:val="double" w:sz="4" w:space="0" w:color="auto"/>
              <w:left w:val="double" w:sz="4" w:space="0" w:color="auto"/>
              <w:bottom w:val="single" w:sz="12" w:space="0" w:color="auto"/>
              <w:right w:val="single" w:sz="12" w:space="0" w:color="auto"/>
            </w:tcBorders>
            <w:vAlign w:val="center"/>
          </w:tcPr>
          <w:p>
            <w:pPr>
              <w:jc w:val="both"/>
              <w:rPr>
                <w:rFonts w:cs="Arial"/>
                <w:bCs/>
                <w:szCs w:val="22"/>
                <w:lang w:val="fr-BE"/>
              </w:rPr>
            </w:pPr>
            <w:r>
              <w:rPr>
                <w:rFonts w:cs="Arial"/>
                <w:bCs/>
                <w:szCs w:val="22"/>
                <w:lang w:val="fr-BE"/>
              </w:rPr>
              <w:t>Accord des responsables légaux et de l'enfant</w:t>
            </w:r>
          </w:p>
        </w:tc>
        <w:tc>
          <w:tcPr>
            <w:tcW w:w="1571" w:type="dxa"/>
            <w:tcBorders>
              <w:top w:val="double" w:sz="4" w:space="0" w:color="auto"/>
              <w:left w:val="single" w:sz="12" w:space="0" w:color="auto"/>
              <w:bottom w:val="single" w:sz="12"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double" w:sz="4" w:space="0" w:color="auto"/>
              <w:left w:val="single" w:sz="4" w:space="0" w:color="auto"/>
              <w:bottom w:val="single" w:sz="12"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double" w:sz="4" w:space="0" w:color="auto"/>
              <w:left w:val="single" w:sz="4" w:space="0" w:color="auto"/>
              <w:bottom w:val="single" w:sz="12" w:space="0" w:color="auto"/>
              <w:right w:val="double" w:sz="4" w:space="0" w:color="auto"/>
            </w:tcBorders>
            <w:vAlign w:val="center"/>
          </w:tcPr>
          <w:p>
            <w:pPr>
              <w:jc w:val="center"/>
              <w:rPr>
                <w:rFonts w:cs="Arial"/>
                <w:bCs/>
                <w:szCs w:val="22"/>
                <w:lang w:val="de-DE"/>
              </w:rPr>
            </w:pPr>
            <w:r>
              <w:rPr>
                <w:rFonts w:cs="Arial"/>
                <w:bCs/>
                <w:szCs w:val="22"/>
                <w:lang w:val="de-DE"/>
              </w:rPr>
              <w:t>OUI</w:t>
            </w:r>
          </w:p>
        </w:tc>
      </w:tr>
      <w:tr>
        <w:trPr>
          <w:trHeight w:val="454"/>
        </w:trPr>
        <w:tc>
          <w:tcPr>
            <w:tcW w:w="5065" w:type="dxa"/>
            <w:tcBorders>
              <w:top w:val="double" w:sz="4" w:space="0" w:color="auto"/>
              <w:left w:val="double" w:sz="4" w:space="0" w:color="auto"/>
              <w:bottom w:val="single" w:sz="12" w:space="0" w:color="auto"/>
              <w:right w:val="single" w:sz="12" w:space="0" w:color="auto"/>
            </w:tcBorders>
            <w:vAlign w:val="center"/>
          </w:tcPr>
          <w:p>
            <w:pPr>
              <w:jc w:val="both"/>
              <w:rPr>
                <w:rFonts w:cs="Arial"/>
                <w:bCs/>
                <w:szCs w:val="22"/>
                <w:lang w:val="fr-BE"/>
              </w:rPr>
            </w:pPr>
            <w:r>
              <w:rPr>
                <w:rFonts w:cs="Arial"/>
                <w:bCs/>
                <w:szCs w:val="22"/>
                <w:lang w:val="fr-BE"/>
              </w:rPr>
              <w:t>Avis CZI, CD, ou organe de représentation et de coordination</w:t>
            </w:r>
          </w:p>
        </w:tc>
        <w:tc>
          <w:tcPr>
            <w:tcW w:w="1571" w:type="dxa"/>
            <w:tcBorders>
              <w:top w:val="double" w:sz="4" w:space="0" w:color="auto"/>
              <w:left w:val="single" w:sz="12" w:space="0" w:color="auto"/>
              <w:bottom w:val="single" w:sz="12" w:space="0" w:color="auto"/>
              <w:right w:val="single" w:sz="4" w:space="0" w:color="auto"/>
            </w:tcBorders>
            <w:vAlign w:val="center"/>
          </w:tcPr>
          <w:p>
            <w:pPr>
              <w:jc w:val="center"/>
              <w:rPr>
                <w:rFonts w:cs="Arial"/>
                <w:bCs/>
                <w:szCs w:val="22"/>
              </w:rPr>
            </w:pPr>
          </w:p>
        </w:tc>
        <w:tc>
          <w:tcPr>
            <w:tcW w:w="1571" w:type="dxa"/>
            <w:tcBorders>
              <w:top w:val="double" w:sz="4" w:space="0" w:color="auto"/>
              <w:left w:val="single" w:sz="4" w:space="0" w:color="auto"/>
              <w:bottom w:val="single" w:sz="12" w:space="0" w:color="auto"/>
              <w:right w:val="single" w:sz="4" w:space="0" w:color="auto"/>
            </w:tcBorders>
            <w:vAlign w:val="center"/>
          </w:tcPr>
          <w:p>
            <w:pPr>
              <w:jc w:val="center"/>
              <w:rPr>
                <w:rFonts w:cs="Arial"/>
                <w:bCs/>
                <w:szCs w:val="22"/>
              </w:rPr>
            </w:pPr>
          </w:p>
        </w:tc>
        <w:tc>
          <w:tcPr>
            <w:tcW w:w="1571" w:type="dxa"/>
            <w:tcBorders>
              <w:top w:val="double" w:sz="4" w:space="0" w:color="auto"/>
              <w:left w:val="single" w:sz="4" w:space="0" w:color="auto"/>
              <w:bottom w:val="single" w:sz="12" w:space="0" w:color="auto"/>
              <w:right w:val="double" w:sz="4" w:space="0" w:color="auto"/>
            </w:tcBorders>
            <w:vAlign w:val="center"/>
          </w:tcPr>
          <w:p>
            <w:pPr>
              <w:jc w:val="center"/>
              <w:rPr>
                <w:rFonts w:cs="Arial"/>
                <w:bCs/>
                <w:szCs w:val="22"/>
                <w:lang w:val="de-DE"/>
              </w:rPr>
            </w:pPr>
            <w:r>
              <w:rPr>
                <w:rFonts w:cs="Arial"/>
                <w:bCs/>
                <w:szCs w:val="22"/>
                <w:lang w:val="de-DE"/>
              </w:rPr>
              <w:t>OUI</w:t>
            </w:r>
          </w:p>
        </w:tc>
      </w:tr>
      <w:tr>
        <w:trPr>
          <w:trHeight w:val="454"/>
        </w:trPr>
        <w:tc>
          <w:tcPr>
            <w:tcW w:w="5065" w:type="dxa"/>
            <w:tcBorders>
              <w:top w:val="double" w:sz="4" w:space="0" w:color="auto"/>
              <w:left w:val="double" w:sz="4" w:space="0" w:color="auto"/>
              <w:bottom w:val="single" w:sz="12" w:space="0" w:color="auto"/>
              <w:right w:val="single" w:sz="12" w:space="0" w:color="auto"/>
            </w:tcBorders>
            <w:vAlign w:val="center"/>
          </w:tcPr>
          <w:p>
            <w:pPr>
              <w:jc w:val="both"/>
              <w:rPr>
                <w:rFonts w:cs="Arial"/>
                <w:bCs/>
                <w:szCs w:val="22"/>
                <w:lang w:val="fr-BE"/>
              </w:rPr>
            </w:pPr>
            <w:r>
              <w:rPr>
                <w:rFonts w:cs="Arial"/>
                <w:bCs/>
                <w:szCs w:val="22"/>
                <w:lang w:val="fr-BE"/>
              </w:rPr>
              <w:t>Avis du Conseil de classe</w:t>
            </w:r>
          </w:p>
        </w:tc>
        <w:tc>
          <w:tcPr>
            <w:tcW w:w="1571" w:type="dxa"/>
            <w:tcBorders>
              <w:top w:val="double" w:sz="4" w:space="0" w:color="auto"/>
              <w:left w:val="single" w:sz="12" w:space="0" w:color="auto"/>
              <w:bottom w:val="single" w:sz="12" w:space="0" w:color="auto"/>
              <w:right w:val="single" w:sz="4" w:space="0" w:color="auto"/>
            </w:tcBorders>
            <w:vAlign w:val="center"/>
          </w:tcPr>
          <w:p>
            <w:pPr>
              <w:jc w:val="center"/>
              <w:rPr>
                <w:rFonts w:cs="Arial"/>
                <w:bCs/>
                <w:szCs w:val="22"/>
              </w:rPr>
            </w:pPr>
          </w:p>
        </w:tc>
        <w:tc>
          <w:tcPr>
            <w:tcW w:w="1571" w:type="dxa"/>
            <w:tcBorders>
              <w:top w:val="double" w:sz="4" w:space="0" w:color="auto"/>
              <w:left w:val="single" w:sz="4" w:space="0" w:color="auto"/>
              <w:bottom w:val="single" w:sz="12"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double" w:sz="4" w:space="0" w:color="auto"/>
              <w:left w:val="single" w:sz="4" w:space="0" w:color="auto"/>
              <w:bottom w:val="single" w:sz="12" w:space="0" w:color="auto"/>
              <w:right w:val="double" w:sz="4" w:space="0" w:color="auto"/>
            </w:tcBorders>
            <w:vAlign w:val="center"/>
          </w:tcPr>
          <w:p>
            <w:pPr>
              <w:jc w:val="center"/>
              <w:rPr>
                <w:rFonts w:cs="Arial"/>
                <w:bCs/>
                <w:szCs w:val="22"/>
                <w:lang w:val="de-DE"/>
              </w:rPr>
            </w:pPr>
          </w:p>
        </w:tc>
      </w:tr>
      <w:tr>
        <w:trPr>
          <w:trHeight w:val="454"/>
        </w:trPr>
        <w:tc>
          <w:tcPr>
            <w:tcW w:w="5065" w:type="dxa"/>
            <w:tcBorders>
              <w:top w:val="double" w:sz="4" w:space="0" w:color="auto"/>
              <w:left w:val="double" w:sz="4" w:space="0" w:color="auto"/>
              <w:bottom w:val="single" w:sz="12" w:space="0" w:color="auto"/>
              <w:right w:val="single" w:sz="12" w:space="0" w:color="auto"/>
            </w:tcBorders>
            <w:vAlign w:val="center"/>
          </w:tcPr>
          <w:p>
            <w:pPr>
              <w:jc w:val="both"/>
              <w:rPr>
                <w:rFonts w:cs="Arial"/>
                <w:bCs/>
                <w:szCs w:val="22"/>
                <w:lang w:val="fr-BE"/>
              </w:rPr>
            </w:pPr>
            <w:r>
              <w:rPr>
                <w:rFonts w:cs="Arial"/>
                <w:bCs/>
                <w:szCs w:val="22"/>
                <w:lang w:val="fr-BE"/>
              </w:rPr>
              <w:t>Avis du CPMS</w:t>
            </w:r>
          </w:p>
        </w:tc>
        <w:tc>
          <w:tcPr>
            <w:tcW w:w="1571" w:type="dxa"/>
            <w:tcBorders>
              <w:top w:val="double" w:sz="4" w:space="0" w:color="auto"/>
              <w:left w:val="single" w:sz="12" w:space="0" w:color="auto"/>
              <w:bottom w:val="single" w:sz="12" w:space="0" w:color="auto"/>
              <w:right w:val="single" w:sz="4" w:space="0" w:color="auto"/>
            </w:tcBorders>
            <w:vAlign w:val="center"/>
          </w:tcPr>
          <w:p>
            <w:pPr>
              <w:jc w:val="center"/>
              <w:rPr>
                <w:rFonts w:cs="Arial"/>
                <w:bCs/>
                <w:szCs w:val="22"/>
                <w:lang w:val="de-DE"/>
              </w:rPr>
            </w:pPr>
          </w:p>
        </w:tc>
        <w:tc>
          <w:tcPr>
            <w:tcW w:w="1571" w:type="dxa"/>
            <w:tcBorders>
              <w:top w:val="double" w:sz="4" w:space="0" w:color="auto"/>
              <w:left w:val="single" w:sz="4" w:space="0" w:color="auto"/>
              <w:bottom w:val="single" w:sz="12"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double" w:sz="4" w:space="0" w:color="auto"/>
              <w:left w:val="single" w:sz="4" w:space="0" w:color="auto"/>
              <w:bottom w:val="single" w:sz="12" w:space="0" w:color="auto"/>
              <w:right w:val="double" w:sz="4" w:space="0" w:color="auto"/>
            </w:tcBorders>
            <w:vAlign w:val="center"/>
          </w:tcPr>
          <w:p>
            <w:pPr>
              <w:jc w:val="center"/>
              <w:rPr>
                <w:rFonts w:cs="Arial"/>
                <w:bCs/>
                <w:szCs w:val="22"/>
                <w:lang w:val="de-DE"/>
              </w:rPr>
            </w:pPr>
          </w:p>
        </w:tc>
      </w:tr>
      <w:tr>
        <w:trPr>
          <w:trHeight w:val="454"/>
        </w:trPr>
        <w:tc>
          <w:tcPr>
            <w:tcW w:w="5065" w:type="dxa"/>
            <w:tcBorders>
              <w:top w:val="double" w:sz="4" w:space="0" w:color="auto"/>
              <w:left w:val="double" w:sz="4" w:space="0" w:color="auto"/>
              <w:bottom w:val="single" w:sz="12" w:space="0" w:color="auto"/>
              <w:right w:val="single" w:sz="12" w:space="0" w:color="auto"/>
            </w:tcBorders>
            <w:vAlign w:val="center"/>
          </w:tcPr>
          <w:p>
            <w:pPr>
              <w:jc w:val="both"/>
              <w:rPr>
                <w:rFonts w:cs="Arial"/>
                <w:bCs/>
                <w:szCs w:val="22"/>
                <w:lang w:val="fr-BE"/>
              </w:rPr>
            </w:pPr>
            <w:r>
              <w:rPr>
                <w:rFonts w:cs="Arial"/>
                <w:bCs/>
                <w:szCs w:val="22"/>
                <w:lang w:val="fr-BE"/>
              </w:rPr>
              <w:t>Organisation d’un partenariat entre le SAS et l’école</w:t>
            </w:r>
          </w:p>
        </w:tc>
        <w:tc>
          <w:tcPr>
            <w:tcW w:w="1571" w:type="dxa"/>
            <w:tcBorders>
              <w:top w:val="double" w:sz="4" w:space="0" w:color="auto"/>
              <w:left w:val="single" w:sz="12" w:space="0" w:color="auto"/>
              <w:bottom w:val="single" w:sz="12"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double" w:sz="4" w:space="0" w:color="auto"/>
              <w:left w:val="single" w:sz="4" w:space="0" w:color="auto"/>
              <w:bottom w:val="single" w:sz="12" w:space="0" w:color="auto"/>
              <w:right w:val="single" w:sz="4" w:space="0" w:color="auto"/>
            </w:tcBorders>
            <w:vAlign w:val="center"/>
          </w:tcPr>
          <w:p>
            <w:pPr>
              <w:jc w:val="center"/>
              <w:rPr>
                <w:rFonts w:cs="Arial"/>
                <w:bCs/>
                <w:szCs w:val="22"/>
                <w:lang w:val="de-DE"/>
              </w:rPr>
            </w:pPr>
            <w:r>
              <w:rPr>
                <w:rFonts w:cs="Arial"/>
                <w:bCs/>
                <w:szCs w:val="22"/>
                <w:lang w:val="de-DE"/>
              </w:rPr>
              <w:t>OUI</w:t>
            </w:r>
          </w:p>
        </w:tc>
        <w:tc>
          <w:tcPr>
            <w:tcW w:w="1571" w:type="dxa"/>
            <w:tcBorders>
              <w:top w:val="double" w:sz="4" w:space="0" w:color="auto"/>
              <w:left w:val="single" w:sz="4" w:space="0" w:color="auto"/>
              <w:bottom w:val="single" w:sz="12" w:space="0" w:color="auto"/>
              <w:right w:val="double" w:sz="4" w:space="0" w:color="auto"/>
            </w:tcBorders>
            <w:vAlign w:val="center"/>
          </w:tcPr>
          <w:p>
            <w:pPr>
              <w:jc w:val="center"/>
              <w:rPr>
                <w:rFonts w:cs="Arial"/>
                <w:bCs/>
                <w:szCs w:val="22"/>
                <w:lang w:val="de-DE"/>
              </w:rPr>
            </w:pPr>
            <w:r>
              <w:rPr>
                <w:rFonts w:cs="Arial"/>
                <w:bCs/>
                <w:szCs w:val="22"/>
                <w:lang w:val="de-DE"/>
              </w:rPr>
              <w:t>OUI</w:t>
            </w:r>
          </w:p>
        </w:tc>
      </w:tr>
      <w:tr>
        <w:trPr>
          <w:trHeight w:val="454"/>
        </w:trPr>
        <w:tc>
          <w:tcPr>
            <w:tcW w:w="5065" w:type="dxa"/>
            <w:tcBorders>
              <w:top w:val="double" w:sz="4" w:space="0" w:color="auto"/>
              <w:left w:val="double" w:sz="4" w:space="0" w:color="auto"/>
              <w:bottom w:val="single" w:sz="12" w:space="0" w:color="auto"/>
              <w:right w:val="single" w:sz="12" w:space="0" w:color="auto"/>
            </w:tcBorders>
            <w:vAlign w:val="center"/>
          </w:tcPr>
          <w:p>
            <w:pPr>
              <w:jc w:val="both"/>
              <w:rPr>
                <w:rFonts w:cs="Arial"/>
                <w:bCs/>
                <w:szCs w:val="22"/>
                <w:lang w:val="fr-BE"/>
              </w:rPr>
            </w:pPr>
            <w:r>
              <w:rPr>
                <w:rFonts w:cs="Arial"/>
                <w:bCs/>
                <w:szCs w:val="22"/>
                <w:lang w:val="fr-BE"/>
              </w:rPr>
              <w:t xml:space="preserve">Durée de la prise en charge </w:t>
            </w:r>
            <w:r>
              <w:rPr>
                <w:rFonts w:cs="Arial"/>
                <w:szCs w:val="22"/>
                <w:lang w:val="fr-BE"/>
              </w:rPr>
              <w:t>sur une année scolaire</w:t>
            </w:r>
          </w:p>
        </w:tc>
        <w:tc>
          <w:tcPr>
            <w:tcW w:w="1571" w:type="dxa"/>
            <w:tcBorders>
              <w:top w:val="double" w:sz="4" w:space="0" w:color="auto"/>
              <w:left w:val="single" w:sz="12" w:space="0" w:color="auto"/>
              <w:bottom w:val="single" w:sz="12" w:space="0" w:color="auto"/>
              <w:right w:val="single" w:sz="4" w:space="0" w:color="auto"/>
            </w:tcBorders>
            <w:vAlign w:val="center"/>
          </w:tcPr>
          <w:p>
            <w:pPr>
              <w:jc w:val="center"/>
              <w:rPr>
                <w:rFonts w:cs="Arial"/>
                <w:bCs/>
                <w:szCs w:val="22"/>
                <w:lang w:val="de-DE"/>
              </w:rPr>
            </w:pPr>
            <w:r>
              <w:rPr>
                <w:rFonts w:cs="Arial"/>
                <w:bCs/>
                <w:szCs w:val="22"/>
                <w:lang w:val="de-DE"/>
              </w:rPr>
              <w:t>3 mois</w:t>
            </w:r>
          </w:p>
          <w:p>
            <w:pPr>
              <w:jc w:val="center"/>
              <w:rPr>
                <w:rFonts w:cs="Arial"/>
                <w:bCs/>
                <w:szCs w:val="22"/>
                <w:lang w:val="de-DE"/>
              </w:rPr>
            </w:pPr>
            <w:r>
              <w:rPr>
                <w:rFonts w:cs="Arial"/>
                <w:bCs/>
                <w:szCs w:val="22"/>
                <w:lang w:val="de-DE"/>
              </w:rPr>
              <w:t>(renouvelable 1x) + dérogation possible après le 15 avril jusqu’au 30 juin</w:t>
            </w:r>
          </w:p>
        </w:tc>
        <w:tc>
          <w:tcPr>
            <w:tcW w:w="1571" w:type="dxa"/>
            <w:tcBorders>
              <w:top w:val="double" w:sz="4" w:space="0" w:color="auto"/>
              <w:left w:val="single" w:sz="4" w:space="0" w:color="auto"/>
              <w:bottom w:val="single" w:sz="12" w:space="0" w:color="auto"/>
              <w:right w:val="single" w:sz="4" w:space="0" w:color="auto"/>
            </w:tcBorders>
            <w:vAlign w:val="center"/>
          </w:tcPr>
          <w:p>
            <w:pPr>
              <w:jc w:val="center"/>
              <w:rPr>
                <w:rFonts w:cs="Arial"/>
                <w:bCs/>
                <w:szCs w:val="22"/>
                <w:lang w:val="de-DE"/>
              </w:rPr>
            </w:pPr>
            <w:r>
              <w:rPr>
                <w:rFonts w:cs="Arial"/>
                <w:bCs/>
                <w:szCs w:val="22"/>
                <w:lang w:val="de-DE"/>
              </w:rPr>
              <w:t>3 mois</w:t>
            </w:r>
          </w:p>
          <w:p>
            <w:pPr>
              <w:jc w:val="center"/>
              <w:rPr>
                <w:rFonts w:cs="Arial"/>
                <w:bCs/>
                <w:szCs w:val="22"/>
                <w:lang w:val="de-DE"/>
              </w:rPr>
            </w:pPr>
            <w:r>
              <w:rPr>
                <w:rFonts w:cs="Arial"/>
                <w:bCs/>
                <w:szCs w:val="22"/>
                <w:lang w:val="de-DE"/>
              </w:rPr>
              <w:t>(renouvelable 1x) + dérogation possible après le 15 avril jusqu’au 30 juin</w:t>
            </w:r>
          </w:p>
        </w:tc>
        <w:tc>
          <w:tcPr>
            <w:tcW w:w="1571" w:type="dxa"/>
            <w:tcBorders>
              <w:top w:val="double" w:sz="4" w:space="0" w:color="auto"/>
              <w:left w:val="single" w:sz="4" w:space="0" w:color="auto"/>
              <w:bottom w:val="single" w:sz="12" w:space="0" w:color="auto"/>
              <w:right w:val="double" w:sz="4" w:space="0" w:color="auto"/>
            </w:tcBorders>
            <w:vAlign w:val="center"/>
          </w:tcPr>
          <w:p>
            <w:pPr>
              <w:jc w:val="center"/>
              <w:rPr>
                <w:rFonts w:cs="Arial"/>
                <w:bCs/>
                <w:szCs w:val="22"/>
                <w:lang w:val="de-DE"/>
              </w:rPr>
            </w:pPr>
            <w:r>
              <w:rPr>
                <w:rFonts w:cs="Arial"/>
                <w:bCs/>
                <w:szCs w:val="22"/>
                <w:lang w:val="de-DE"/>
              </w:rPr>
              <w:t>3 mois</w:t>
            </w:r>
          </w:p>
          <w:p>
            <w:pPr>
              <w:jc w:val="center"/>
              <w:rPr>
                <w:rFonts w:cs="Arial"/>
                <w:bCs/>
                <w:szCs w:val="22"/>
                <w:lang w:val="de-DE"/>
              </w:rPr>
            </w:pPr>
            <w:r>
              <w:rPr>
                <w:rFonts w:cs="Arial"/>
                <w:bCs/>
                <w:szCs w:val="22"/>
                <w:lang w:val="de-DE"/>
              </w:rPr>
              <w:t>(renouvelable 1x) + dérogation possible après le 15 avril jusqu’au 30 juin</w:t>
            </w:r>
          </w:p>
        </w:tc>
      </w:tr>
      <w:tr>
        <w:trPr>
          <w:trHeight w:val="454"/>
        </w:trPr>
        <w:tc>
          <w:tcPr>
            <w:tcW w:w="5065" w:type="dxa"/>
            <w:tcBorders>
              <w:top w:val="double" w:sz="4" w:space="0" w:color="auto"/>
              <w:left w:val="double" w:sz="4" w:space="0" w:color="auto"/>
              <w:bottom w:val="single" w:sz="12" w:space="0" w:color="auto"/>
              <w:right w:val="single" w:sz="12" w:space="0" w:color="auto"/>
            </w:tcBorders>
            <w:vAlign w:val="center"/>
          </w:tcPr>
          <w:p>
            <w:pPr>
              <w:jc w:val="both"/>
              <w:rPr>
                <w:rFonts w:cs="Arial"/>
                <w:bCs/>
                <w:szCs w:val="22"/>
                <w:lang w:val="fr-BE"/>
              </w:rPr>
            </w:pPr>
            <w:r>
              <w:rPr>
                <w:rFonts w:cs="Arial"/>
                <w:bCs/>
                <w:szCs w:val="22"/>
                <w:lang w:val="fr-BE"/>
              </w:rPr>
              <w:t>Durée maximale sur l’ensemble de la scolarité</w:t>
            </w:r>
          </w:p>
        </w:tc>
        <w:tc>
          <w:tcPr>
            <w:tcW w:w="4713" w:type="dxa"/>
            <w:gridSpan w:val="3"/>
            <w:tcBorders>
              <w:top w:val="double" w:sz="4" w:space="0" w:color="auto"/>
              <w:left w:val="single" w:sz="12" w:space="0" w:color="auto"/>
              <w:bottom w:val="single" w:sz="12" w:space="0" w:color="auto"/>
              <w:right w:val="double" w:sz="4" w:space="0" w:color="auto"/>
            </w:tcBorders>
            <w:vAlign w:val="center"/>
          </w:tcPr>
          <w:p>
            <w:pPr>
              <w:jc w:val="center"/>
              <w:rPr>
                <w:rFonts w:cs="Arial"/>
                <w:bCs/>
                <w:szCs w:val="22"/>
                <w:lang w:val="de-DE"/>
              </w:rPr>
            </w:pPr>
            <w:r>
              <w:rPr>
                <w:rFonts w:cs="Arial"/>
                <w:bCs/>
                <w:szCs w:val="22"/>
                <w:lang w:val="de-DE"/>
              </w:rPr>
              <w:t>1 an</w:t>
            </w:r>
          </w:p>
          <w:p>
            <w:pPr>
              <w:jc w:val="both"/>
              <w:rPr>
                <w:rFonts w:cs="Arial"/>
                <w:bCs/>
                <w:szCs w:val="22"/>
                <w:lang w:val="de-DE"/>
              </w:rPr>
            </w:pPr>
          </w:p>
        </w:tc>
      </w:tr>
    </w:tbl>
    <w:p>
      <w:pPr>
        <w:jc w:val="both"/>
        <w:rPr>
          <w:rFonts w:cs="Arial"/>
          <w:b/>
          <w:sz w:val="16"/>
          <w:szCs w:val="16"/>
          <w:u w:val="single"/>
          <w:lang w:val="fr-BE"/>
        </w:rPr>
      </w:pPr>
    </w:p>
    <w:p>
      <w:pPr>
        <w:jc w:val="both"/>
        <w:rPr>
          <w:rFonts w:cs="Arial"/>
          <w:b/>
          <w:sz w:val="20"/>
          <w:szCs w:val="20"/>
          <w:u w:val="single"/>
          <w:lang w:val="fr-BE"/>
        </w:rPr>
      </w:pPr>
      <w:r>
        <w:rPr>
          <w:rFonts w:cs="Arial"/>
          <w:b/>
          <w:sz w:val="20"/>
          <w:szCs w:val="20"/>
          <w:u w:val="single"/>
          <w:lang w:val="fr-BE"/>
        </w:rPr>
        <w:t xml:space="preserve">Attention: quand une école accueille un élève qui a fréquenté un service d’accrochage scolaire, elle peut demander des moyens humains supplémentaires pour favoriser son retour réussi à l’école. </w:t>
      </w:r>
    </w:p>
    <w:p>
      <w:pPr>
        <w:jc w:val="both"/>
        <w:rPr>
          <w:rFonts w:cs="Arial"/>
          <w:b/>
          <w:sz w:val="20"/>
          <w:szCs w:val="20"/>
          <w:u w:val="single"/>
          <w:lang w:val="fr-BE"/>
        </w:rPr>
      </w:pPr>
    </w:p>
    <w:p>
      <w:pPr>
        <w:autoSpaceDE w:val="0"/>
        <w:autoSpaceDN w:val="0"/>
        <w:adjustRightInd w:val="0"/>
        <w:jc w:val="both"/>
        <w:rPr>
          <w:rFonts w:cs="Arial"/>
          <w:lang w:val="fr-BE"/>
        </w:rPr>
      </w:pPr>
      <w:r>
        <w:rPr>
          <w:rFonts w:cs="Arial"/>
          <w:lang w:val="fr-BE"/>
        </w:rPr>
        <w:t>Une fois intégré ou réintégré dans un établissement scolaire, l’élève peut continuer à fréquenter le service d’accrochage scolaire qui a assuré sa prise en charge, à raison de maximum deux demi-jours par semaine au cours des deux mois qui suivent son retour à l’école</w:t>
      </w:r>
      <w:r>
        <w:rPr>
          <w:rFonts w:cs="Arial"/>
          <w:vertAlign w:val="superscript"/>
          <w:lang w:val="fr-BE"/>
        </w:rPr>
        <w:footnoteReference w:id="27"/>
      </w:r>
      <w:r>
        <w:rPr>
          <w:rFonts w:cs="Arial"/>
          <w:lang w:val="fr-BE"/>
        </w:rPr>
        <w:t>.</w:t>
      </w:r>
    </w:p>
    <w:p>
      <w:pPr>
        <w:tabs>
          <w:tab w:val="num" w:pos="3420"/>
        </w:tabs>
        <w:jc w:val="both"/>
        <w:rPr>
          <w:rFonts w:cs="Arial"/>
          <w:lang w:val="fr-BE"/>
        </w:rPr>
      </w:pPr>
      <w:r>
        <w:rPr>
          <w:rFonts w:cs="Arial"/>
          <w:lang w:val="fr-BE"/>
        </w:rPr>
        <w:t>La fréquentation du service d’accrochage scolaire durant cette période doit faire l’objet d’une convention entre le chef d’établissement, l’élève, ses parents ou la personne investie de l’autorité parentale, le centre psycho-médico-social et le service d’accrochage scolaire concernés.</w:t>
      </w:r>
    </w:p>
    <w:p>
      <w:pPr>
        <w:tabs>
          <w:tab w:val="num" w:pos="3420"/>
        </w:tabs>
        <w:jc w:val="both"/>
        <w:rPr>
          <w:rFonts w:cs="Arial"/>
          <w:lang w:val="fr-BE"/>
        </w:rPr>
      </w:pPr>
      <w:r>
        <w:rPr>
          <w:rFonts w:cs="Arial"/>
          <w:lang w:val="fr-BE"/>
        </w:rPr>
        <w:t>Le chef d’établissement, à la demande de l’élève et de sa famille, peut faire appel au CPMS afin d’accompagner le retour de cet élève à l’école.</w:t>
      </w:r>
    </w:p>
    <w:p>
      <w:pPr>
        <w:jc w:val="both"/>
        <w:rPr>
          <w:rFonts w:cs="Arial"/>
          <w:lang w:val="fr-BE"/>
        </w:rPr>
      </w:pPr>
      <w:r>
        <w:rPr>
          <w:rFonts w:cs="Arial"/>
          <w:lang w:val="fr-BE"/>
        </w:rPr>
        <w:t>Il peut également demander des moyens humains supplémentaires pour assurer son accompagnement dans les meilleures conditions lors de son retour à l’école (voir</w:t>
      </w:r>
      <w:hyperlink w:anchor="Annexe_225C#Annexe_225C" w:history="1">
        <w:r>
          <w:rPr>
            <w:rStyle w:val="Lienhypertexte"/>
            <w:color w:val="auto"/>
            <w:u w:val="none"/>
          </w:rPr>
          <w:t xml:space="preserve"> </w:t>
        </w:r>
        <w:r>
          <w:rPr>
            <w:rStyle w:val="Lienhypertexte"/>
            <w:color w:val="auto"/>
          </w:rPr>
          <w:t>annexe 2.5.C</w:t>
        </w:r>
      </w:hyperlink>
      <w:r>
        <w:rPr>
          <w:rFonts w:cs="Arial"/>
          <w:lang w:val="fr-BE"/>
        </w:rPr>
        <w:t xml:space="preserve">), à savoir, l’engagement ou la désignation à titre temporaire pour six périodes d’un membre du personnel enseignant par élève, sans jamais dépasser un total de 24 périodes par établissement. Il peut également affecter un membre de l’équipe éducative à l’accompagnement de l’élève accueilli. Les périodes supplémentaires sont alors affectées au remplacement de ce membre, pour la partie de charge qu’il abandonne. </w:t>
      </w:r>
    </w:p>
    <w:p>
      <w:pPr>
        <w:tabs>
          <w:tab w:val="num" w:pos="3420"/>
        </w:tabs>
        <w:jc w:val="both"/>
        <w:rPr>
          <w:rFonts w:cs="Arial"/>
          <w:lang w:val="fr-BE"/>
        </w:rPr>
      </w:pPr>
      <w:r>
        <w:rPr>
          <w:rFonts w:cs="Arial"/>
          <w:lang w:val="fr-BE"/>
        </w:rPr>
        <w:t>Ces moyens supplémentaires peuvent être utilisés, pour une période de deux mois dès le onzième jour scolaire qui suit l’intégration ou la réintégration du jeune dans l’établissement scolaire</w:t>
      </w:r>
    </w:p>
    <w:p>
      <w:pPr>
        <w:tabs>
          <w:tab w:val="num" w:pos="3420"/>
        </w:tabs>
        <w:jc w:val="both"/>
        <w:rPr>
          <w:rFonts w:cs="Arial"/>
          <w:lang w:val="fr-BE"/>
        </w:rPr>
      </w:pPr>
    </w:p>
    <w:p>
      <w:pPr>
        <w:jc w:val="both"/>
        <w:rPr>
          <w:rFonts w:ascii="Times New Roman" w:hAnsi="Times New Roman"/>
          <w:sz w:val="24"/>
        </w:rPr>
      </w:pPr>
      <w:r>
        <w:rPr>
          <w:rFonts w:cs="Arial"/>
          <w:lang w:val="fr-BE"/>
        </w:rPr>
        <w:t>L’établissement qui accueille un élève dont la prise en charge par un SAS s’est terminée le 30 juin de l’année scolaire précédente, peut demander l’activation de ces moyens complémentaires au début de l’année scolaire suivante.</w:t>
      </w:r>
      <w:r>
        <w:rPr>
          <w:rFonts w:ascii="Times New Roman" w:hAnsi="Times New Roman"/>
          <w:sz w:val="24"/>
        </w:rPr>
        <w:t xml:space="preserve"> </w:t>
      </w:r>
    </w:p>
    <w:p>
      <w:pPr>
        <w:pStyle w:val="Titre2"/>
      </w:pPr>
      <w:bookmarkStart w:id="557" w:name="_Chapitre_2.6._Sanctions"/>
      <w:bookmarkStart w:id="558" w:name="_Toc295931987"/>
      <w:bookmarkStart w:id="559" w:name="_Toc295913734"/>
      <w:bookmarkEnd w:id="557"/>
      <w:r>
        <w:br w:type="page"/>
      </w:r>
      <w:bookmarkStart w:id="560" w:name="_Toc423420001"/>
      <w:bookmarkStart w:id="561" w:name="_Toc450645208"/>
      <w:bookmarkStart w:id="562" w:name="_Toc453942444"/>
      <w:bookmarkStart w:id="563" w:name="_Toc454888061"/>
      <w:bookmarkStart w:id="564" w:name="_Toc486241723"/>
      <w:r>
        <w:t>Chapitre 2.6. Sanctions disciplinaires et exclusions</w:t>
      </w:r>
      <w:bookmarkEnd w:id="558"/>
      <w:bookmarkEnd w:id="559"/>
      <w:bookmarkEnd w:id="560"/>
      <w:bookmarkEnd w:id="561"/>
      <w:bookmarkEnd w:id="562"/>
      <w:bookmarkEnd w:id="563"/>
      <w:bookmarkEnd w:id="564"/>
      <w:r>
        <w:t xml:space="preserve"> </w:t>
      </w:r>
    </w:p>
    <w:p>
      <w:pPr>
        <w:jc w:val="both"/>
        <w:rPr>
          <w:szCs w:val="22"/>
          <w:lang w:val="fr-BE"/>
        </w:rPr>
      </w:pPr>
    </w:p>
    <w:p>
      <w:pPr>
        <w:pStyle w:val="Corpsdetexte2"/>
        <w:ind w:left="2126" w:hanging="2127"/>
        <w:rPr>
          <w:i/>
          <w:spacing w:val="-6"/>
          <w:sz w:val="20"/>
          <w:szCs w:val="20"/>
          <w:lang w:val="fr-BE"/>
        </w:rPr>
      </w:pPr>
      <w:r>
        <w:rPr>
          <w:b/>
          <w:i/>
          <w:szCs w:val="22"/>
          <w:u w:val="single"/>
          <w:lang w:val="fr-BE"/>
        </w:rPr>
        <w:t>Bases légales</w:t>
      </w:r>
      <w:r>
        <w:rPr>
          <w:szCs w:val="22"/>
          <w:lang w:val="fr-BE"/>
        </w:rPr>
        <w:t xml:space="preserve">: </w:t>
      </w:r>
      <w:r>
        <w:rPr>
          <w:szCs w:val="22"/>
          <w:lang w:val="fr-BE"/>
        </w:rPr>
        <w:tab/>
      </w:r>
      <w:hyperlink r:id="rId66" w:history="1">
        <w:r>
          <w:rPr>
            <w:rStyle w:val="Lienhypertexte"/>
            <w:i/>
            <w:color w:val="auto"/>
            <w:spacing w:val="-6"/>
            <w:sz w:val="20"/>
            <w:szCs w:val="20"/>
            <w:lang w:val="fr-BE"/>
          </w:rPr>
          <w:t>Loi du 29 mai 1959 modifiant certaines dispositions de la législation de l’enseignement, article 3, §3;</w:t>
        </w:r>
      </w:hyperlink>
    </w:p>
    <w:p>
      <w:pPr>
        <w:pStyle w:val="Corpsdetexte2"/>
        <w:ind w:left="2126"/>
        <w:rPr>
          <w:i/>
          <w:spacing w:val="-6"/>
          <w:sz w:val="20"/>
          <w:szCs w:val="20"/>
          <w:lang w:val="fr-BE"/>
        </w:rPr>
      </w:pPr>
      <w:hyperlink r:id="rId67" w:history="1">
        <w:r>
          <w:rPr>
            <w:rStyle w:val="Lienhypertexte"/>
            <w:i/>
            <w:color w:val="auto"/>
            <w:spacing w:val="-6"/>
            <w:sz w:val="20"/>
            <w:szCs w:val="20"/>
            <w:lang w:val="fr-BE"/>
          </w:rPr>
          <w:t>Décret du 13 juillet 1998 portant organisation de l’enseignement maternel et primaire et modifiant la réglementation de l’enseignement, article 26, alinéa 2 </w:t>
        </w:r>
      </w:hyperlink>
      <w:r>
        <w:rPr>
          <w:i/>
          <w:spacing w:val="-6"/>
          <w:sz w:val="20"/>
          <w:szCs w:val="20"/>
          <w:lang w:val="fr-BE"/>
        </w:rPr>
        <w:t>;</w:t>
      </w:r>
      <w:r>
        <w:rPr>
          <w:i/>
          <w:spacing w:val="-6"/>
          <w:sz w:val="20"/>
          <w:szCs w:val="20"/>
          <w:lang w:val="fr-BE"/>
        </w:rPr>
        <w:br/>
      </w:r>
      <w:hyperlink r:id="rId68" w:history="1">
        <w:r>
          <w:rPr>
            <w:rStyle w:val="Lienhypertexte"/>
            <w:i/>
            <w:color w:val="auto"/>
            <w:spacing w:val="-6"/>
            <w:sz w:val="20"/>
            <w:szCs w:val="20"/>
            <w:lang w:val="fr-BE"/>
          </w:rPr>
          <w:t>Décret du 24 juillet 1997 définissant les missions prioritaires de l’enseignement fondamental et de l’enseignement secondaire et organisant les structures propres à les atteindre, articles 81 à 86 et 89 à 94;</w:t>
        </w:r>
      </w:hyperlink>
    </w:p>
    <w:p>
      <w:pPr>
        <w:pStyle w:val="Corpsdetexte2"/>
        <w:ind w:left="2126"/>
        <w:rPr>
          <w:spacing w:val="-6"/>
          <w:lang w:val="fr-BE"/>
        </w:rPr>
      </w:pPr>
      <w:hyperlink r:id="rId69" w:history="1">
        <w:r>
          <w:rPr>
            <w:rStyle w:val="Lienhypertexte"/>
            <w:i/>
            <w:color w:val="auto"/>
            <w:spacing w:val="-6"/>
            <w:sz w:val="20"/>
            <w:szCs w:val="20"/>
            <w:lang w:val="fr-BE"/>
          </w:rPr>
          <w:t>Arrêté du Gouvernement de la Communauté française du 18/01/2008, définissant les dispositions communes en matière de faits graves devant figurer dans le règlement d’ordre intérieur de chaque établissement d’enseignement subventionné ou organisé par la Communauté française</w:t>
        </w:r>
      </w:hyperlink>
      <w:r>
        <w:rPr>
          <w:spacing w:val="-6"/>
          <w:lang w:val="fr-BE"/>
        </w:rPr>
        <w:t>.</w:t>
      </w:r>
    </w:p>
    <w:p>
      <w:pPr>
        <w:jc w:val="both"/>
        <w:rPr>
          <w:szCs w:val="22"/>
          <w:lang w:val="fr-BE"/>
        </w:rPr>
      </w:pPr>
    </w:p>
    <w:p>
      <w:pPr>
        <w:pStyle w:val="Titre3"/>
      </w:pPr>
      <w:bookmarkStart w:id="565" w:name="_Toc172713817"/>
      <w:bookmarkStart w:id="566" w:name="_Toc272404482"/>
      <w:bookmarkStart w:id="567" w:name="_Toc295931988"/>
      <w:bookmarkStart w:id="568" w:name="_Toc295913735"/>
      <w:bookmarkStart w:id="569" w:name="_Toc423420002"/>
      <w:bookmarkStart w:id="570" w:name="_Toc450645209"/>
      <w:bookmarkStart w:id="571" w:name="_Toc453942445"/>
      <w:bookmarkStart w:id="572" w:name="_Toc454888062"/>
      <w:bookmarkStart w:id="573" w:name="_Toc486241724"/>
      <w:r>
        <w:t>2.6.1. Sanctions disciplinaires</w:t>
      </w:r>
      <w:bookmarkEnd w:id="565"/>
      <w:bookmarkEnd w:id="566"/>
      <w:bookmarkEnd w:id="567"/>
      <w:bookmarkEnd w:id="568"/>
      <w:bookmarkEnd w:id="569"/>
      <w:bookmarkEnd w:id="570"/>
      <w:bookmarkEnd w:id="571"/>
      <w:bookmarkEnd w:id="572"/>
      <w:bookmarkEnd w:id="573"/>
    </w:p>
    <w:p>
      <w:pPr>
        <w:pStyle w:val="Corpsdetexte2"/>
      </w:pPr>
    </w:p>
    <w:p>
      <w:pPr>
        <w:pStyle w:val="Corpsdetexte2"/>
      </w:pPr>
      <w:r>
        <w:t>Les sanctions disciplinaires et les modalités selon lesquelles elles sont prises doivent figurer dans le règlement d’ordre intérieur (R.O.I.) de chaque école. Il est important que les élèves soient associés à celui-ci (exemple : présentation du R.O.I. aux élèves en début d’année scolaire).</w:t>
      </w:r>
    </w:p>
    <w:p>
      <w:pPr>
        <w:pStyle w:val="Corpsdetexte2"/>
      </w:pPr>
    </w:p>
    <w:p>
      <w:pPr>
        <w:pStyle w:val="Corpsdetexte2"/>
      </w:pPr>
      <w:r>
        <w:t>Dans l’enseignement subventionné, les sanctions disciplinaires relèvent des prérogatives du Pouvoir organisateur.</w:t>
      </w:r>
    </w:p>
    <w:p>
      <w:pPr>
        <w:pStyle w:val="Corpsdetexte2"/>
        <w:rPr>
          <w:sz w:val="18"/>
          <w:szCs w:val="18"/>
        </w:rPr>
      </w:pPr>
    </w:p>
    <w:p>
      <w:pPr>
        <w:pStyle w:val="Corpsdetexte2"/>
      </w:pPr>
      <w:r>
        <w:t xml:space="preserve">Dans l’enseignement organisé par </w:t>
      </w:r>
      <w:smartTag w:uri="urn:schemas-microsoft-com:office:smarttags" w:element="PersonName">
        <w:smartTagPr>
          <w:attr w:name="ProductID" w:val="la F￩d￩ration Wallonie-Bruxelles"/>
        </w:smartTagPr>
        <w:r>
          <w:t>la Fédération Wallonie-Bruxelles</w:t>
        </w:r>
      </w:smartTag>
      <w:r>
        <w:t xml:space="preserve">, l’Arrêté du Gouvernement de </w:t>
      </w:r>
      <w:smartTag w:uri="urn:schemas-microsoft-com:office:smarttags" w:element="PersonName">
        <w:smartTagPr>
          <w:attr w:name="ProductID" w:val="la F￩d￩ration Wallonie-Bruxelles"/>
        </w:smartTagPr>
        <w:r>
          <w:t>la Fédération Wallonie-Bruxelles</w:t>
        </w:r>
      </w:smartTag>
      <w:r>
        <w:t xml:space="preserve"> du 12/01/1999 définissant les sanctions disciplinaires et les modalités selon lesquelles elles sont prises dans les établissements d’enseignement organisés par </w:t>
      </w:r>
      <w:smartTag w:uri="urn:schemas-microsoft-com:office:smarttags" w:element="PersonName">
        <w:smartTagPr>
          <w:attr w:name="ProductID" w:val="la F￩d￩ration Wallonie-Bruxelles"/>
        </w:smartTagPr>
        <w:r>
          <w:t>la Fédération Wallonie-Bruxelles</w:t>
        </w:r>
      </w:smartTag>
      <w:r>
        <w:t xml:space="preserve"> régit cette question.</w:t>
      </w:r>
    </w:p>
    <w:p>
      <w:pPr>
        <w:pStyle w:val="Corpsdetexte2"/>
        <w:rPr>
          <w:sz w:val="18"/>
          <w:szCs w:val="18"/>
        </w:rPr>
      </w:pPr>
    </w:p>
    <w:p>
      <w:pPr>
        <w:pStyle w:val="Corpsdetexte2"/>
      </w:pPr>
      <w:r>
        <w:t>De manière générale, toute sanction disciplinaire doit être proportionnelle à la gravité des faits et à leurs antécédents éventuels</w:t>
      </w:r>
    </w:p>
    <w:p>
      <w:pPr>
        <w:pStyle w:val="Corpsdetexte2"/>
        <w:rPr>
          <w:sz w:val="18"/>
          <w:szCs w:val="18"/>
        </w:rPr>
      </w:pPr>
    </w:p>
    <w:p>
      <w:pPr>
        <w:pStyle w:val="Corpsdetexte2"/>
      </w:pPr>
      <w:r>
        <w:t xml:space="preserve">En ce qui concerne les </w:t>
      </w:r>
      <w:r>
        <w:rPr>
          <w:u w:val="single"/>
        </w:rPr>
        <w:t xml:space="preserve">établissements organisés par </w:t>
      </w:r>
      <w:smartTag w:uri="urn:schemas-microsoft-com:office:smarttags" w:element="PersonName">
        <w:smartTagPr>
          <w:attr w:name="ProductID" w:val="la F￩d￩ration Wallonie-Bruxelles"/>
        </w:smartTagPr>
        <w:r>
          <w:rPr>
            <w:u w:val="single"/>
          </w:rPr>
          <w:t>la Fédération Wallonie-Bruxelles</w:t>
        </w:r>
      </w:smartTag>
      <w:r>
        <w:t>,</w:t>
      </w:r>
    </w:p>
    <w:p>
      <w:pPr>
        <w:pStyle w:val="Corpsdetexte2"/>
        <w:rPr>
          <w:sz w:val="18"/>
          <w:szCs w:val="18"/>
        </w:rPr>
      </w:pPr>
    </w:p>
    <w:p>
      <w:pPr>
        <w:pStyle w:val="Corpsdetexte2"/>
        <w:tabs>
          <w:tab w:val="left" w:pos="360"/>
        </w:tabs>
        <w:spacing w:after="120"/>
        <w:ind w:left="356" w:hanging="357"/>
      </w:pPr>
      <w:r>
        <w:t xml:space="preserve">1. </w:t>
      </w:r>
      <w:r>
        <w:tab/>
        <w:t>Les sanctions disciplinaires prononcées à l'encontre d'un élève ne peuvent pas être prises en compte dans l'évaluation des compétences.</w:t>
      </w:r>
    </w:p>
    <w:p>
      <w:pPr>
        <w:tabs>
          <w:tab w:val="left" w:pos="360"/>
        </w:tabs>
        <w:ind w:left="359" w:hanging="360"/>
        <w:jc w:val="both"/>
        <w:rPr>
          <w:lang w:val="fr-BE"/>
        </w:rPr>
      </w:pPr>
      <w:r>
        <w:t xml:space="preserve">2. </w:t>
      </w:r>
      <w:r>
        <w:tab/>
        <w:t>Dans le respect des dispositions du règlement d'ordre intérieur</w:t>
      </w:r>
      <w:r>
        <w:rPr>
          <w:rStyle w:val="Appelnotedebasdep"/>
        </w:rPr>
        <w:footnoteReference w:id="28"/>
      </w:r>
      <w:r>
        <w:t xml:space="preserve">, les élèves sont susceptibles de se voir appliquer une sanction disciplinaire notamment pour tout acte, comportement ou abstention répréhensibles commis non seulement dans l'enceinte de l'école mais aussi hors de l'école si les faits reprochés ont une incidence directe sur la bonne marche de l'école. </w:t>
      </w:r>
    </w:p>
    <w:p>
      <w:pPr>
        <w:rPr>
          <w:szCs w:val="22"/>
          <w:lang w:val="fr-BE"/>
        </w:rPr>
      </w:pPr>
    </w:p>
    <w:p>
      <w:pPr>
        <w:pStyle w:val="Corpsdetexte2"/>
      </w:pPr>
      <w:r>
        <w:t xml:space="preserve">Pour les établissements organisés et subventionnés par </w:t>
      </w:r>
      <w:smartTag w:uri="urn:schemas-microsoft-com:office:smarttags" w:element="PersonName">
        <w:smartTagPr>
          <w:attr w:name="ProductID" w:val="la F￩d￩ration Wallonie-Bruxelles"/>
        </w:smartTagPr>
        <w:r>
          <w:t>la Fédération Wallonie-Bruxelles</w:t>
        </w:r>
      </w:smartTag>
      <w:r>
        <w:t xml:space="preserve"> les dispositions suivantes doivent être insérées dans le règlement d’ordre intérieur :</w:t>
      </w:r>
    </w:p>
    <w:p>
      <w:pPr>
        <w:pStyle w:val="Corpsdetexte2"/>
        <w:rPr>
          <w:rFonts w:cs="Times New Roman"/>
        </w:rPr>
      </w:pPr>
    </w:p>
    <w:p>
      <w:pPr>
        <w:pStyle w:val="Corpsdetexte2"/>
      </w:pPr>
      <w:r>
        <w:t>L’Arrêté du 18 janvier 2008</w:t>
      </w:r>
      <w:r>
        <w:rPr>
          <w:vertAlign w:val="superscript"/>
        </w:rPr>
        <w:footnoteReference w:id="29"/>
      </w:r>
      <w:r>
        <w:t xml:space="preserve"> impose aux établissements scolaires d’inclure dans leur règlement d’ordre intérieur la disposition selon laquelle les faits graves suivants sont considérés comme pouvant justifier l’exclusion définitive prévue aux articles 81 et 89 du </w:t>
      </w:r>
      <w:hyperlink r:id="rId70" w:history="1">
        <w:r>
          <w:rPr>
            <w:rStyle w:val="Lienhypertexte"/>
            <w:color w:val="auto"/>
            <w:u w:val="none"/>
          </w:rPr>
          <w:t>Décret du 24 juillet 1997</w:t>
        </w:r>
      </w:hyperlink>
      <w:r>
        <w:t xml:space="preserve"> définissant les missions prioritaires de l’enseignement fondamental et de l’enseignement secondaire et organisant les structures propres à les atteindre :</w:t>
      </w:r>
    </w:p>
    <w:p>
      <w:pPr>
        <w:pStyle w:val="Corpsdetexte2"/>
        <w:numPr>
          <w:ilvl w:val="0"/>
          <w:numId w:val="167"/>
        </w:numPr>
        <w:spacing w:before="120"/>
        <w:ind w:left="714" w:hanging="357"/>
        <w:rPr>
          <w:u w:val="single"/>
        </w:rPr>
      </w:pPr>
      <w:r>
        <w:rPr>
          <w:u w:val="single"/>
        </w:rPr>
        <w:t>Dans l’enceinte de l’établissement ou hors de celle-ci</w:t>
      </w:r>
    </w:p>
    <w:p>
      <w:pPr>
        <w:pStyle w:val="Corpsdetexte2"/>
        <w:numPr>
          <w:ilvl w:val="1"/>
          <w:numId w:val="190"/>
        </w:numPr>
        <w:spacing w:before="120"/>
      </w:pPr>
      <w:r>
        <w:t>Tout coup et blessure porté sciemment par un élève à un autre élève ou à un membre du personnel de l’établissement.</w:t>
      </w:r>
    </w:p>
    <w:p>
      <w:pPr>
        <w:pStyle w:val="Corpsdetexte2"/>
        <w:numPr>
          <w:ilvl w:val="1"/>
          <w:numId w:val="190"/>
        </w:numPr>
      </w:pPr>
      <w:r>
        <w:t>Le fait d’exercer sciemment et de manière répétée sur un autre élève ou un membre du personnel de l’établissement une pression psychologique insupportable, par menaces, insultes, injures, calomnies ou diffamation.</w:t>
      </w:r>
    </w:p>
    <w:p>
      <w:pPr>
        <w:pStyle w:val="Corpsdetexte2"/>
        <w:numPr>
          <w:ilvl w:val="1"/>
          <w:numId w:val="190"/>
        </w:numPr>
      </w:pPr>
      <w:r>
        <w:t>Le racket à l’encontre d’un autre élève de l’établissement.</w:t>
      </w:r>
    </w:p>
    <w:p>
      <w:pPr>
        <w:pStyle w:val="Corpsdetexte2"/>
        <w:numPr>
          <w:ilvl w:val="1"/>
          <w:numId w:val="190"/>
        </w:numPr>
      </w:pPr>
      <w:r>
        <w:t>Tout acte de violence sexuelle à l’encontre d’un élève ou d’un membre du personnel de l’établissement.</w:t>
      </w:r>
    </w:p>
    <w:p>
      <w:pPr>
        <w:pStyle w:val="Corpsdetexte2"/>
        <w:numPr>
          <w:ilvl w:val="0"/>
          <w:numId w:val="167"/>
        </w:numPr>
        <w:spacing w:before="120"/>
        <w:ind w:left="714" w:hanging="357"/>
        <w:rPr>
          <w:u w:val="single"/>
        </w:rPr>
      </w:pPr>
      <w:r>
        <w:rPr>
          <w:u w:val="single"/>
        </w:rPr>
        <w:t>Dans l’enceinte de l’établissement, sur le chemin de celui-ci ou dans le cadre d’activités scolaires organisées en dehors de l’enceinte de l’école</w:t>
      </w:r>
    </w:p>
    <w:p>
      <w:pPr>
        <w:pStyle w:val="Paragraphedeliste"/>
        <w:numPr>
          <w:ilvl w:val="1"/>
          <w:numId w:val="167"/>
        </w:numPr>
        <w:spacing w:before="120"/>
        <w:rPr>
          <w:rFonts w:ascii="Times New Roman" w:hAnsi="Times New Roman"/>
          <w:sz w:val="24"/>
        </w:rPr>
      </w:pPr>
      <w:r>
        <w:rPr>
          <w:rFonts w:cs="Arial"/>
        </w:rPr>
        <w:t>La détention ou l’usage d’une arme.</w:t>
      </w:r>
      <w:r>
        <w:rPr>
          <w:rFonts w:ascii="Times New Roman" w:hAnsi="Times New Roman"/>
          <w:sz w:val="24"/>
        </w:rPr>
        <w:t xml:space="preserve"> </w:t>
      </w:r>
    </w:p>
    <w:p>
      <w:pPr>
        <w:rPr>
          <w:szCs w:val="22"/>
          <w:lang w:val="fr-BE"/>
        </w:rPr>
      </w:pPr>
    </w:p>
    <w:p>
      <w:pPr>
        <w:pStyle w:val="Titre3"/>
      </w:pPr>
      <w:bookmarkStart w:id="574" w:name="_2.6.2.__"/>
      <w:bookmarkStart w:id="575" w:name="_Toc172713818"/>
      <w:bookmarkStart w:id="576" w:name="_Toc272404483"/>
      <w:bookmarkStart w:id="577" w:name="_Toc295931989"/>
      <w:bookmarkStart w:id="578" w:name="_Toc295913736"/>
      <w:bookmarkStart w:id="579" w:name="_Toc423420003"/>
      <w:bookmarkStart w:id="580" w:name="_Toc450645210"/>
      <w:bookmarkStart w:id="581" w:name="_Toc453942446"/>
      <w:bookmarkStart w:id="582" w:name="_Toc454888063"/>
      <w:bookmarkStart w:id="583" w:name="_Toc486241725"/>
      <w:bookmarkEnd w:id="574"/>
      <w:r>
        <w:t>2.6.2. Exclusions</w:t>
      </w:r>
      <w:bookmarkEnd w:id="575"/>
      <w:bookmarkEnd w:id="576"/>
      <w:bookmarkEnd w:id="577"/>
      <w:bookmarkEnd w:id="578"/>
      <w:bookmarkEnd w:id="579"/>
      <w:bookmarkEnd w:id="580"/>
      <w:bookmarkEnd w:id="581"/>
      <w:bookmarkEnd w:id="582"/>
      <w:bookmarkEnd w:id="583"/>
    </w:p>
    <w:p>
      <w:pPr>
        <w:pStyle w:val="En-tte"/>
        <w:tabs>
          <w:tab w:val="clear" w:pos="4536"/>
          <w:tab w:val="clear" w:pos="9072"/>
        </w:tabs>
        <w:rPr>
          <w:sz w:val="18"/>
          <w:szCs w:val="18"/>
        </w:rPr>
      </w:pPr>
      <w:bookmarkStart w:id="584" w:name="_Toc101153563"/>
    </w:p>
    <w:p>
      <w:pPr>
        <w:pStyle w:val="En-tte"/>
        <w:tabs>
          <w:tab w:val="clear" w:pos="4536"/>
          <w:tab w:val="clear" w:pos="9072"/>
        </w:tabs>
        <w:jc w:val="both"/>
        <w:rPr>
          <w:b/>
          <w:bCs/>
          <w:i/>
          <w:iCs/>
        </w:rPr>
      </w:pPr>
      <w:r>
        <w:rPr>
          <w:b/>
          <w:bCs/>
          <w:i/>
          <w:iCs/>
        </w:rPr>
        <w:t xml:space="preserve">Le chef d’établissement veille à informer au plus tôt le C.P.M.S. de la situation de l’élève dont le comportement pourrait conduire à une mesure d’exclusion provisoire ou définitive. </w:t>
      </w:r>
    </w:p>
    <w:p>
      <w:pPr>
        <w:pStyle w:val="En-tte"/>
        <w:tabs>
          <w:tab w:val="clear" w:pos="4536"/>
          <w:tab w:val="clear" w:pos="9072"/>
        </w:tabs>
      </w:pPr>
    </w:p>
    <w:p>
      <w:pPr>
        <w:pStyle w:val="Titre4"/>
      </w:pPr>
      <w:bookmarkStart w:id="585" w:name="_Toc165786010"/>
      <w:bookmarkStart w:id="586" w:name="_Toc295931990"/>
      <w:bookmarkStart w:id="587" w:name="_Toc423420004"/>
      <w:bookmarkStart w:id="588" w:name="_Toc450645211"/>
      <w:bookmarkStart w:id="589" w:name="_Toc453942447"/>
      <w:bookmarkStart w:id="590" w:name="_Toc454888064"/>
      <w:bookmarkStart w:id="591" w:name="_Toc486241726"/>
      <w:r>
        <w:t>2.6.2.1. L’exclusion provisoire</w:t>
      </w:r>
      <w:bookmarkEnd w:id="584"/>
      <w:bookmarkEnd w:id="585"/>
      <w:bookmarkEnd w:id="586"/>
      <w:bookmarkEnd w:id="587"/>
      <w:bookmarkEnd w:id="588"/>
      <w:bookmarkEnd w:id="589"/>
      <w:bookmarkEnd w:id="590"/>
      <w:bookmarkEnd w:id="591"/>
    </w:p>
    <w:p>
      <w:pPr>
        <w:jc w:val="both"/>
        <w:rPr>
          <w:sz w:val="18"/>
          <w:szCs w:val="18"/>
        </w:rPr>
      </w:pPr>
    </w:p>
    <w:p>
      <w:pPr>
        <w:jc w:val="both"/>
      </w:pPr>
      <w:r>
        <w:t>Dans le courant d’une même année scolaire, l’exclusion provisoire de l’école ou d’un cours ne peut excéder 12 demi-journées. A la demande du chef d’établissement, le Ministre peut déroger à cette règle dans des circonstances exceptionnelles.</w:t>
      </w:r>
    </w:p>
    <w:p>
      <w:pPr>
        <w:jc w:val="both"/>
      </w:pPr>
    </w:p>
    <w:p>
      <w:pPr>
        <w:jc w:val="both"/>
      </w:pPr>
      <w:r>
        <w:t>Un même fait ne peut faire l’objet d’une décision d’exclusion provisoire suivie d’une décision d’exclusion définitive en vertu du principe général de droit « NON BIS IN IDEM » selon lequel un même fait ne peut être sanctionné deux fois.</w:t>
      </w:r>
    </w:p>
    <w:p>
      <w:pPr>
        <w:pStyle w:val="Titre6"/>
      </w:pPr>
      <w:bookmarkStart w:id="592" w:name="_2.1.5.2._L’exclusion_définitive"/>
      <w:bookmarkStart w:id="593" w:name="_2.1.4.2.2._L’exclusion_définitive"/>
      <w:bookmarkStart w:id="594" w:name="_Toc101153564"/>
      <w:bookmarkStart w:id="595" w:name="_Toc165786011"/>
      <w:bookmarkStart w:id="596" w:name="_Toc295931991"/>
      <w:bookmarkEnd w:id="592"/>
      <w:bookmarkEnd w:id="593"/>
    </w:p>
    <w:p>
      <w:pPr>
        <w:pStyle w:val="Titre4"/>
      </w:pPr>
      <w:bookmarkStart w:id="597" w:name="_Toc423420005"/>
      <w:bookmarkStart w:id="598" w:name="_Toc450645212"/>
      <w:bookmarkStart w:id="599" w:name="_Toc453942448"/>
      <w:bookmarkStart w:id="600" w:name="_Toc454888065"/>
      <w:bookmarkStart w:id="601" w:name="_Toc486241727"/>
      <w:r>
        <w:t>2.6.2.2. L’exclusion définitive</w:t>
      </w:r>
      <w:bookmarkEnd w:id="594"/>
      <w:bookmarkEnd w:id="595"/>
      <w:bookmarkEnd w:id="596"/>
      <w:bookmarkEnd w:id="597"/>
      <w:bookmarkEnd w:id="598"/>
      <w:bookmarkEnd w:id="599"/>
      <w:bookmarkEnd w:id="600"/>
      <w:bookmarkEnd w:id="601"/>
    </w:p>
    <w:p/>
    <w:p>
      <w:pPr>
        <w:rPr>
          <w:bCs/>
          <w:i/>
          <w:u w:val="single"/>
        </w:rPr>
      </w:pPr>
      <w:bookmarkStart w:id="602" w:name="_Toc101153565"/>
      <w:r>
        <w:rPr>
          <w:bCs/>
          <w:i/>
          <w:u w:val="single"/>
        </w:rPr>
        <w:t>A. Motifs d’exclusion</w:t>
      </w:r>
      <w:bookmarkEnd w:id="602"/>
      <w:r>
        <w:rPr>
          <w:bCs/>
          <w:i/>
          <w:u w:val="single"/>
        </w:rPr>
        <w:t xml:space="preserve"> définitive (</w:t>
      </w:r>
      <w:r>
        <w:rPr>
          <w:i/>
          <w:u w:val="single"/>
        </w:rPr>
        <w:t>articles 81, § 1</w:t>
      </w:r>
      <w:r>
        <w:rPr>
          <w:i/>
          <w:u w:val="single"/>
          <w:vertAlign w:val="superscript"/>
        </w:rPr>
        <w:t>er</w:t>
      </w:r>
      <w:r>
        <w:rPr>
          <w:i/>
          <w:u w:val="single"/>
        </w:rPr>
        <w:t>, et 89, § 1</w:t>
      </w:r>
      <w:r>
        <w:rPr>
          <w:i/>
          <w:u w:val="single"/>
          <w:vertAlign w:val="superscript"/>
        </w:rPr>
        <w:t>er</w:t>
      </w:r>
      <w:r>
        <w:rPr>
          <w:i/>
          <w:u w:val="single"/>
        </w:rPr>
        <w:t>, du décret du 24 juillet 1997</w:t>
      </w:r>
      <w:r>
        <w:rPr>
          <w:bCs/>
          <w:i/>
          <w:u w:val="single"/>
        </w:rPr>
        <w:t>)</w:t>
      </w:r>
    </w:p>
    <w:p>
      <w:pPr>
        <w:pStyle w:val="Titre7"/>
        <w:spacing w:before="0" w:after="0"/>
        <w:jc w:val="both"/>
      </w:pPr>
    </w:p>
    <w:p>
      <w:pPr>
        <w:pStyle w:val="Corpsdetexte2"/>
      </w:pPr>
      <w:r>
        <w:t>Un élève ne peut être exclu définitivement d’une école que si les faits dont il s’est rendu coupable portent atteinte à l’intégrité physique, psychologique ou morale d’un membre du personnel ou d’un élève, compromettant l’organisation ou la bonne marche de l’école ou lui font subir un préjudice matériel ou moral grave.</w:t>
      </w:r>
    </w:p>
    <w:p>
      <w:pPr>
        <w:pStyle w:val="Corpsdetexte2"/>
        <w:rPr>
          <w:sz w:val="18"/>
          <w:szCs w:val="18"/>
        </w:rPr>
      </w:pPr>
    </w:p>
    <w:p>
      <w:pPr>
        <w:jc w:val="both"/>
        <w:rPr>
          <w:b/>
          <w:i/>
          <w:u w:val="single"/>
        </w:rPr>
      </w:pPr>
      <w:r>
        <w:rPr>
          <w:b/>
          <w:i/>
          <w:u w:val="single"/>
        </w:rPr>
        <w:t>Quels sont les faits pouvant entraîner l’exclusion définitive d’un élève ?</w:t>
      </w:r>
    </w:p>
    <w:p>
      <w:pPr>
        <w:jc w:val="both"/>
        <w:rPr>
          <w:b/>
          <w:u w:val="single"/>
        </w:rPr>
      </w:pPr>
    </w:p>
    <w:p>
      <w:pPr>
        <w:pStyle w:val="Corpsdetexte2"/>
      </w:pPr>
      <w:r>
        <w:t>Les articles 81 et 89 du</w:t>
      </w:r>
      <w:r>
        <w:rPr>
          <w:u w:val="single"/>
        </w:rPr>
        <w:t xml:space="preserve"> </w:t>
      </w:r>
      <w:hyperlink r:id="rId71" w:history="1">
        <w:r>
          <w:rPr>
            <w:rStyle w:val="Lienhypertexte"/>
            <w:color w:val="auto"/>
          </w:rPr>
          <w:t>Décret du 24 juillet 1997</w:t>
        </w:r>
      </w:hyperlink>
      <w:r>
        <w:rPr>
          <w:u w:val="single"/>
        </w:rPr>
        <w:t xml:space="preserve"> </w:t>
      </w:r>
      <w:r>
        <w:t xml:space="preserve">définissant les missions prioritaires de l’enseignement fondamental et de l’enseignement secondaire et organisant les structures propres à les atteindre dressent une liste </w:t>
      </w:r>
      <w:r>
        <w:rPr>
          <w:b/>
        </w:rPr>
        <w:t>non exhaustive</w:t>
      </w:r>
      <w:r>
        <w:t xml:space="preserve"> de faits </w:t>
      </w:r>
      <w:r>
        <w:rPr>
          <w:b/>
        </w:rPr>
        <w:t>pouvant</w:t>
      </w:r>
      <w:r>
        <w:t xml:space="preserve"> entrainer l’exclusion définitive de l’élève :</w:t>
      </w:r>
    </w:p>
    <w:p>
      <w:pPr>
        <w:pStyle w:val="Corpsdetexte2"/>
      </w:pPr>
      <w:r>
        <w:t xml:space="preserve">Sont </w:t>
      </w:r>
      <w:r>
        <w:rPr>
          <w:u w:val="single"/>
        </w:rPr>
        <w:t>notamment</w:t>
      </w:r>
      <w:r>
        <w:t xml:space="preserve"> considérés comme faits </w:t>
      </w:r>
      <w:r>
        <w:rPr>
          <w:b/>
        </w:rPr>
        <w:t>pouvant</w:t>
      </w:r>
      <w:r>
        <w:t xml:space="preserve"> entraîner l’exclusion définitive de l’élève:</w:t>
      </w:r>
    </w:p>
    <w:p>
      <w:pPr>
        <w:pStyle w:val="Corpsdetexte2"/>
        <w:rPr>
          <w:sz w:val="16"/>
        </w:rPr>
      </w:pPr>
    </w:p>
    <w:p>
      <w:pPr>
        <w:numPr>
          <w:ilvl w:val="0"/>
          <w:numId w:val="123"/>
        </w:numPr>
        <w:spacing w:after="40"/>
        <w:ind w:left="356" w:hanging="357"/>
        <w:jc w:val="both"/>
      </w:pPr>
      <w:r>
        <w:t>tout coup ou blessure donné sciemment par un élève à un autre élève ou à un membre du personnel, dans l’enceinte de l’établissement ou hors de celle-ci, ayant entraîné une incapacité même limitée dans le temps de travail ou de suivre les cours (remarque: l’absence d’incapacité limitée dans le temps de travail ou de suivre le cours permet d’exclure l’élève conformément à l’article 81 du décret susmentionné qui autorise l’exclusion d’un élève pour atteinte à l’intégrité physique);</w:t>
      </w:r>
    </w:p>
    <w:p>
      <w:pPr>
        <w:numPr>
          <w:ilvl w:val="0"/>
          <w:numId w:val="123"/>
        </w:numPr>
        <w:spacing w:after="40"/>
        <w:ind w:left="356" w:hanging="357"/>
        <w:jc w:val="both"/>
        <w:rPr>
          <w:spacing w:val="-2"/>
        </w:rPr>
      </w:pPr>
      <w:r>
        <w:rPr>
          <w:spacing w:val="-2"/>
        </w:rPr>
        <w:t xml:space="preserve">tout coup ou blessure donné sciemment par un élève à un délégué du Pouvoir organisateur, à un inspecteur, à un vérificateur ou à un délégué de </w:t>
      </w:r>
      <w:smartTag w:uri="urn:schemas-microsoft-com:office:smarttags" w:element="PersonName">
        <w:smartTagPr>
          <w:attr w:name="ProductID" w:val="la F￩d￩ration Wallonie-Bruxelles"/>
        </w:smartTagPr>
        <w:r>
          <w:rPr>
            <w:spacing w:val="-2"/>
          </w:rPr>
          <w:t>la Fédération Wallonie-Bruxelles</w:t>
        </w:r>
      </w:smartTag>
      <w:r>
        <w:rPr>
          <w:spacing w:val="-2"/>
        </w:rPr>
        <w:t xml:space="preserve">, dans l'enceinte de l'école ou hors de celle-ci, ayant entraîné une incapacité de travail même limitée dans le temps </w:t>
      </w:r>
      <w:r>
        <w:t>(remarque: l’absence d’incapacité limitée dans le temps de travail ou de suivre le cours permet malgré tout d’exclure l’élève conformément à l’article 81 du décret susmentionné qui autorise l’exclusion d’un élève pour atteinte à l’intégrité physique);</w:t>
      </w:r>
    </w:p>
    <w:p>
      <w:pPr>
        <w:numPr>
          <w:ilvl w:val="0"/>
          <w:numId w:val="123"/>
        </w:numPr>
        <w:spacing w:after="40"/>
        <w:ind w:left="356" w:hanging="357"/>
        <w:jc w:val="both"/>
      </w:pPr>
      <w:r>
        <w:t>tout coup ou blessure donné sciemment par un élève à une personne autorisée à pénétrer au sein de l’école lorsqu’ils sont portés dans l’enceinte de l’école, ayant entraîné une incapacité de travail même limitée dans le temps (remarque: l’absence d’incapacité limitée dans le temps de travail ou de suivre le cours permet malgré tout d’exclure l’élève conformément à l’article 81 du décret susmentionné qui autorise l’exclusion d’un élève pour atteinte à l’intégrité physique);</w:t>
      </w:r>
    </w:p>
    <w:p>
      <w:pPr>
        <w:numPr>
          <w:ilvl w:val="0"/>
          <w:numId w:val="123"/>
        </w:numPr>
        <w:spacing w:after="40"/>
        <w:ind w:left="356" w:hanging="357"/>
        <w:jc w:val="both"/>
        <w:rPr>
          <w:spacing w:val="-8"/>
        </w:rPr>
      </w:pPr>
      <w:r>
        <w:rPr>
          <w:spacing w:val="-8"/>
        </w:rPr>
        <w:t>l’introduction ou la détention par un élève au sein de l’école ou dans le voisinage immédiat de celle-ci de quelque arme que ce soit, visée, sous quelque catégorie que ce soit, à l’article 3 de la loi du 03/01/1933 relative à la fabrication, au commerce et au port des armes et au commerce des munitions;</w:t>
      </w:r>
    </w:p>
    <w:p>
      <w:pPr>
        <w:numPr>
          <w:ilvl w:val="0"/>
          <w:numId w:val="123"/>
        </w:numPr>
        <w:spacing w:after="40"/>
        <w:ind w:left="356" w:hanging="357"/>
        <w:jc w:val="both"/>
      </w:pPr>
      <w:r>
        <w:t>toute manipulation hors de son usage didactique d’un instrument utilisé dans le cadre de certains cours ou activités pédagogiques lorsque cet instrument peut causer des blessures;</w:t>
      </w:r>
    </w:p>
    <w:p>
      <w:pPr>
        <w:numPr>
          <w:ilvl w:val="0"/>
          <w:numId w:val="123"/>
        </w:numPr>
        <w:spacing w:after="40"/>
        <w:ind w:left="356" w:hanging="357"/>
        <w:jc w:val="both"/>
        <w:rPr>
          <w:spacing w:val="-2"/>
        </w:rPr>
      </w:pPr>
      <w:r>
        <w:rPr>
          <w:spacing w:val="-2"/>
        </w:rPr>
        <w:t>l’introduction ou la détention, sans raison légitime, par un élève au sein de l’école ou dans le voisinage immédiat de celle-ci de tout instrument, outil, objet tranchant, contondant ou blessant;</w:t>
      </w:r>
    </w:p>
    <w:p>
      <w:pPr>
        <w:numPr>
          <w:ilvl w:val="0"/>
          <w:numId w:val="123"/>
        </w:numPr>
        <w:spacing w:after="40"/>
        <w:ind w:left="356" w:hanging="357"/>
        <w:jc w:val="both"/>
      </w:pPr>
      <w:r>
        <w:t>l’introduction ou la détention par un élève au sein de l’école ou dans le voisinage immédiat de celle-ci de substances inflammables sauf dans les cas où celles-ci sont nécessaires aux activités pédagogiques et utilisées exclusivement dans le cadre de celles-ci;</w:t>
      </w:r>
    </w:p>
    <w:p>
      <w:pPr>
        <w:numPr>
          <w:ilvl w:val="0"/>
          <w:numId w:val="123"/>
        </w:numPr>
        <w:spacing w:after="40"/>
        <w:ind w:left="356" w:hanging="357"/>
        <w:jc w:val="both"/>
        <w:rPr>
          <w:spacing w:val="-2"/>
        </w:rPr>
      </w:pPr>
      <w:r>
        <w:rPr>
          <w:spacing w:val="-2"/>
        </w:rPr>
        <w:t>l’introduction ou la détention par un élève au sein de l’école ou dans le voisinage immédiat de celle-ci de substances vénéneuses, soporifiques, stupéfiantes, désinfectantes ou antiseptiques, en violation des règles fixées pour l’usage, le commerce et le stockage de ces substances;</w:t>
      </w:r>
    </w:p>
    <w:p>
      <w:pPr>
        <w:numPr>
          <w:ilvl w:val="0"/>
          <w:numId w:val="123"/>
        </w:numPr>
        <w:spacing w:after="40"/>
        <w:ind w:left="356" w:hanging="357"/>
        <w:jc w:val="both"/>
      </w:pPr>
      <w:r>
        <w:t>le fait d’extorquer, à l’aide de violences ou de menaces, des fonds, valeurs, objets, promesses d’un autre élève ou d’un membre du personnel dans l’enceinte de l’école ou hors de celle-ci;</w:t>
      </w:r>
    </w:p>
    <w:p>
      <w:pPr>
        <w:numPr>
          <w:ilvl w:val="0"/>
          <w:numId w:val="123"/>
        </w:numPr>
        <w:spacing w:after="40"/>
        <w:ind w:left="356" w:hanging="357"/>
        <w:jc w:val="both"/>
        <w:rPr>
          <w:spacing w:val="-2"/>
        </w:rPr>
      </w:pPr>
      <w:r>
        <w:rPr>
          <w:spacing w:val="-2"/>
        </w:rPr>
        <w:t>le fait d’exercer sciemment et de manière répétée sur un autre élève ou un membre du personnel une pression psychologique insupportable, par insultes, injures, calomnies ou diffamation;</w:t>
      </w:r>
    </w:p>
    <w:p>
      <w:pPr>
        <w:numPr>
          <w:ilvl w:val="0"/>
          <w:numId w:val="123"/>
        </w:numPr>
        <w:ind w:left="359"/>
        <w:jc w:val="both"/>
      </w:pPr>
      <w:r>
        <w:t>lorsqu’il peut être apporté la preuve qu’une personne étrangère à l’école a commis un des faits graves visés aux points 1 à 10 repris ci-dessus sur l’instigation ou avec la complicité d’un élève de l’école, ce dernier est considéré comme ayant commis un fait pouvant justifier l’exclusion définitive prévue aux articles 81 et 89 du décret du 24 juillet 1997. Cette disposition ne trouve pas à s’appliquer lorsque le fait est commis par les parents ou la personne investie de l’autorité parentale.</w:t>
      </w:r>
    </w:p>
    <w:p>
      <w:pPr>
        <w:jc w:val="both"/>
        <w:rPr>
          <w:sz w:val="16"/>
          <w:szCs w:val="16"/>
        </w:rPr>
      </w:pPr>
    </w:p>
    <w:p>
      <w:pPr>
        <w:jc w:val="both"/>
        <w:rPr>
          <w:i/>
        </w:rPr>
      </w:pPr>
      <w:r>
        <w:rPr>
          <w:i/>
        </w:rPr>
        <w:t>A remarquer que par « voisinage immédiat de l’institution », il faut entendre « partie visible de la voie publique à partir de l’établissement scolaire »</w:t>
      </w:r>
      <w:r>
        <w:rPr>
          <w:rStyle w:val="Appelnotedebasdep"/>
          <w:i/>
        </w:rPr>
        <w:footnoteReference w:id="30"/>
      </w:r>
      <w:r>
        <w:rPr>
          <w:i/>
        </w:rPr>
        <w:t>.</w:t>
      </w:r>
    </w:p>
    <w:p>
      <w:pPr>
        <w:pStyle w:val="Corpsdetexte2"/>
        <w:rPr>
          <w:sz w:val="18"/>
          <w:szCs w:val="18"/>
        </w:rPr>
      </w:pPr>
    </w:p>
    <w:p>
      <w:pPr>
        <w:pStyle w:val="Corpsdetexte2"/>
      </w:pPr>
      <w:r>
        <w:rPr>
          <w:b/>
          <w:u w:val="single"/>
        </w:rPr>
        <w:t>Attention:</w:t>
      </w:r>
      <w:r>
        <w:rPr>
          <w:b/>
        </w:rPr>
        <w:t xml:space="preserve"> </w:t>
      </w:r>
      <w:r>
        <w:t>Les faits décrits aux points 1 à 11 repris ci-dessus n’entraînent pas ipso facto l’exclusion de l’élève.</w:t>
      </w:r>
    </w:p>
    <w:p>
      <w:pPr>
        <w:pStyle w:val="Corpsdetexte2"/>
        <w:rPr>
          <w:sz w:val="18"/>
          <w:szCs w:val="18"/>
        </w:rPr>
      </w:pPr>
    </w:p>
    <w:p>
      <w:pPr>
        <w:rPr>
          <w:bCs/>
          <w:i/>
          <w:u w:val="single"/>
        </w:rPr>
      </w:pPr>
      <w:bookmarkStart w:id="603" w:name="_Toc101153566"/>
      <w:r>
        <w:rPr>
          <w:bCs/>
          <w:i/>
          <w:u w:val="single"/>
        </w:rPr>
        <w:t>B. Modalités</w:t>
      </w:r>
      <w:bookmarkEnd w:id="603"/>
      <w:r>
        <w:rPr>
          <w:bCs/>
          <w:i/>
          <w:u w:val="single"/>
        </w:rPr>
        <w:t xml:space="preserve"> – Etapes de la procédure d’exclusion</w:t>
      </w:r>
    </w:p>
    <w:p>
      <w:pPr>
        <w:pStyle w:val="Corpsdetexte2"/>
        <w:rPr>
          <w:sz w:val="16"/>
          <w:szCs w:val="16"/>
        </w:rPr>
      </w:pPr>
    </w:p>
    <w:p>
      <w:pPr>
        <w:pStyle w:val="Retraitcorpsdetexte"/>
        <w:numPr>
          <w:ilvl w:val="0"/>
          <w:numId w:val="124"/>
        </w:numPr>
        <w:tabs>
          <w:tab w:val="clear" w:pos="705"/>
          <w:tab w:val="num" w:pos="540"/>
        </w:tabs>
        <w:spacing w:after="80"/>
        <w:ind w:left="537" w:hanging="357"/>
        <w:rPr>
          <w:szCs w:val="22"/>
        </w:rPr>
      </w:pPr>
      <w:bookmarkStart w:id="604" w:name="_Toc101153567"/>
      <w:r>
        <w:rPr>
          <w:szCs w:val="22"/>
        </w:rPr>
        <w:t xml:space="preserve">Etre certain que </w:t>
      </w:r>
      <w:r>
        <w:rPr>
          <w:b/>
          <w:szCs w:val="22"/>
        </w:rPr>
        <w:t>le(s) fait(s) reproché(s)</w:t>
      </w:r>
      <w:r>
        <w:rPr>
          <w:szCs w:val="22"/>
        </w:rPr>
        <w:t xml:space="preserve"> à l’élève constitue(nt) un </w:t>
      </w:r>
      <w:r>
        <w:rPr>
          <w:b/>
          <w:szCs w:val="22"/>
        </w:rPr>
        <w:t>motif d’exclusion</w:t>
      </w:r>
      <w:r>
        <w:rPr>
          <w:szCs w:val="22"/>
        </w:rPr>
        <w:t>.</w:t>
      </w:r>
    </w:p>
    <w:p>
      <w:pPr>
        <w:numPr>
          <w:ilvl w:val="0"/>
          <w:numId w:val="124"/>
        </w:numPr>
        <w:tabs>
          <w:tab w:val="clear" w:pos="705"/>
          <w:tab w:val="num" w:pos="540"/>
        </w:tabs>
        <w:spacing w:after="80"/>
        <w:ind w:left="537" w:hanging="357"/>
        <w:jc w:val="both"/>
        <w:rPr>
          <w:spacing w:val="-2"/>
        </w:rPr>
      </w:pPr>
      <w:r>
        <w:t>S’assurer que le(s) fait(s) reproché(s) est(sont) précis et prouvé(s).</w:t>
      </w:r>
    </w:p>
    <w:p>
      <w:pPr>
        <w:numPr>
          <w:ilvl w:val="0"/>
          <w:numId w:val="124"/>
        </w:numPr>
        <w:tabs>
          <w:tab w:val="clear" w:pos="705"/>
          <w:tab w:val="num" w:pos="540"/>
        </w:tabs>
        <w:spacing w:after="80"/>
        <w:ind w:left="537" w:hanging="357"/>
        <w:jc w:val="both"/>
        <w:rPr>
          <w:bCs/>
          <w:i/>
          <w:u w:val="single"/>
        </w:rPr>
      </w:pPr>
      <w:r>
        <w:t xml:space="preserve">Si la gravité des faits le justifie, par exemple si les faits qui ont entraîné l’exclusion ont mis en danger une autre personne, le chef d’établissement dans l’enseignement organisé, le Pouvoir organisateur ou son délégué dans l’enseignement subventionné, </w:t>
      </w:r>
      <w:r>
        <w:rPr>
          <w:b/>
        </w:rPr>
        <w:t>peut écarter provisoirement l’élève de l’école pendant la procédure d’exclusion</w:t>
      </w:r>
      <w:r>
        <w:t>. Le chef d’établissement dans l’enseignement organisé, le Pouvoir organisateur ou son délégué dans l’enseignement subventionné s’assure que les parents de l’élève ou la personne investie de l’autorité parentale sont informés de la mesure d’écartement prise à l’égard de leur enfant.</w:t>
      </w:r>
      <w:r>
        <w:rPr>
          <w:b/>
          <w:bCs/>
          <w:i/>
          <w:iCs/>
          <w:spacing w:val="-2"/>
        </w:rPr>
        <w:t xml:space="preserve"> </w:t>
      </w:r>
      <w:r>
        <w:rPr>
          <w:bCs/>
          <w:i/>
          <w:u w:val="single"/>
        </w:rPr>
        <w:t>Cette procédure doit être appliquée avec grande prudence et réservée aux cas où il y a danger. L’écartement provisoire ne peut dépasser 10 jours d’ouverture d’école.</w:t>
      </w:r>
    </w:p>
    <w:p>
      <w:pPr>
        <w:pStyle w:val="Retraitcorpsdetexte3"/>
        <w:numPr>
          <w:ilvl w:val="0"/>
          <w:numId w:val="124"/>
        </w:numPr>
        <w:tabs>
          <w:tab w:val="clear" w:pos="705"/>
          <w:tab w:val="num" w:pos="540"/>
        </w:tabs>
        <w:spacing w:after="80"/>
        <w:ind w:left="537" w:hanging="357"/>
        <w:jc w:val="both"/>
        <w:rPr>
          <w:szCs w:val="22"/>
        </w:rPr>
      </w:pPr>
      <w:r>
        <w:rPr>
          <w:szCs w:val="22"/>
        </w:rPr>
        <w:t xml:space="preserve">Procéder à </w:t>
      </w:r>
      <w:r>
        <w:rPr>
          <w:b/>
          <w:szCs w:val="22"/>
        </w:rPr>
        <w:t>l’audition de l’élève et ses parents</w:t>
      </w:r>
      <w:r>
        <w:rPr>
          <w:szCs w:val="22"/>
        </w:rPr>
        <w:t xml:space="preserve"> ou la personne investie de l’autorité parentale (appelés ci-après les intéressés). La convocation doit indiquer explicitement qu’une procédure pouvant conduire à l’exclusion définitive est engagée et contenir un résumé des faits pris en considération.</w:t>
      </w:r>
    </w:p>
    <w:p>
      <w:pPr>
        <w:numPr>
          <w:ilvl w:val="1"/>
          <w:numId w:val="124"/>
        </w:numPr>
        <w:tabs>
          <w:tab w:val="clear" w:pos="705"/>
          <w:tab w:val="num" w:pos="1080"/>
        </w:tabs>
        <w:spacing w:after="40"/>
        <w:ind w:left="1077" w:hanging="539"/>
        <w:jc w:val="both"/>
        <w:rPr>
          <w:szCs w:val="22"/>
        </w:rPr>
      </w:pPr>
      <w:r>
        <w:rPr>
          <w:szCs w:val="22"/>
        </w:rPr>
        <w:t xml:space="preserve">Inviter les intéressés par </w:t>
      </w:r>
      <w:r>
        <w:rPr>
          <w:b/>
          <w:szCs w:val="22"/>
        </w:rPr>
        <w:t>lettre recommandée avec accusé de réception</w:t>
      </w:r>
      <w:r>
        <w:rPr>
          <w:szCs w:val="22"/>
        </w:rPr>
        <w:t>. Ils peuvent se faire assister d’un défenseur.</w:t>
      </w:r>
    </w:p>
    <w:p>
      <w:pPr>
        <w:numPr>
          <w:ilvl w:val="1"/>
          <w:numId w:val="124"/>
        </w:numPr>
        <w:tabs>
          <w:tab w:val="clear" w:pos="705"/>
          <w:tab w:val="num" w:pos="1080"/>
        </w:tabs>
        <w:spacing w:after="40"/>
        <w:ind w:left="1079" w:hanging="540"/>
        <w:jc w:val="both"/>
        <w:rPr>
          <w:spacing w:val="-4"/>
          <w:lang w:val="fr-BE"/>
        </w:rPr>
      </w:pPr>
      <w:r>
        <w:rPr>
          <w:spacing w:val="-4"/>
        </w:rPr>
        <w:t xml:space="preserve">La date proposée aux parents </w:t>
      </w:r>
      <w:r>
        <w:t>ou la personne investie de l’autorité parentale</w:t>
      </w:r>
      <w:r>
        <w:rPr>
          <w:spacing w:val="-4"/>
        </w:rPr>
        <w:t xml:space="preserve"> est </w:t>
      </w:r>
      <w:r>
        <w:rPr>
          <w:b/>
          <w:spacing w:val="-4"/>
        </w:rPr>
        <w:t>au plus tôt le 4</w:t>
      </w:r>
      <w:r>
        <w:rPr>
          <w:b/>
          <w:spacing w:val="-4"/>
          <w:vertAlign w:val="superscript"/>
        </w:rPr>
        <w:t>e</w:t>
      </w:r>
      <w:r>
        <w:rPr>
          <w:b/>
          <w:spacing w:val="-4"/>
        </w:rPr>
        <w:t xml:space="preserve"> jour ouvrable</w:t>
      </w:r>
      <w:r>
        <w:rPr>
          <w:spacing w:val="-4"/>
        </w:rPr>
        <w:t xml:space="preserve"> qui suit la présentation de la lettre d’invitation</w:t>
      </w:r>
      <w:r>
        <w:t>.</w:t>
      </w:r>
    </w:p>
    <w:p>
      <w:pPr>
        <w:spacing w:after="40"/>
        <w:ind w:left="1079"/>
        <w:jc w:val="both"/>
        <w:rPr>
          <w:sz w:val="8"/>
          <w:szCs w:val="8"/>
        </w:rPr>
      </w:pPr>
    </w:p>
    <w:p>
      <w:pPr>
        <w:spacing w:after="40"/>
        <w:ind w:left="1079"/>
        <w:jc w:val="both"/>
        <w:rPr>
          <w:b/>
        </w:rPr>
      </w:pPr>
      <w:r>
        <w:rPr>
          <w:i/>
        </w:rPr>
        <w:t>Comment bien calculer les 4 jours de délai entre la notification de l’exclusion définitive et l’audition des parents/élève</w:t>
      </w:r>
      <w:r>
        <w:rPr>
          <w:b/>
        </w:rPr>
        <w:t> </w:t>
      </w:r>
      <w:r>
        <w:t>?</w:t>
      </w:r>
    </w:p>
    <w:p>
      <w:pPr>
        <w:spacing w:after="40"/>
        <w:ind w:left="1079"/>
        <w:jc w:val="both"/>
      </w:pPr>
      <w:r>
        <w:t>Illustration: la lettre recommandée avec accusé de réception est déposée au bureau de poste un lundi. Le délai commence à courir le premier jour qui suit celui où le pli a été présenté au domicile du destinataire (que celui-ci soit présent ou non). Par conséquent, le premier jour ouvrable est le mercredi. Le dimanche et les jours fériés n’étant pas des jours ouvrables, l’audition peut avoir lieu à partir du lundi suivant.</w:t>
      </w:r>
    </w:p>
    <w:p>
      <w:pPr>
        <w:spacing w:before="120"/>
        <w:ind w:left="1077"/>
        <w:jc w:val="both"/>
        <w:rPr>
          <w:spacing w:val="-4"/>
          <w:lang w:val="fr-BE"/>
        </w:rPr>
      </w:pPr>
      <w:r>
        <w:rPr>
          <w:spacing w:val="-2"/>
        </w:rPr>
        <w:t xml:space="preserve">Le </w:t>
      </w:r>
      <w:r>
        <w:t>chef d’établissement dans l’enseignement organisé, le Pouvoir organisateur ou son délégué dans l’enseignement subventionné</w:t>
      </w:r>
      <w:r>
        <w:rPr>
          <w:spacing w:val="-2"/>
        </w:rPr>
        <w:t xml:space="preserve"> leur </w:t>
      </w:r>
      <w:r>
        <w:rPr>
          <w:b/>
          <w:spacing w:val="-2"/>
        </w:rPr>
        <w:t>expose le(s) fait(s) reproché(s)</w:t>
      </w:r>
      <w:r>
        <w:rPr>
          <w:spacing w:val="-2"/>
        </w:rPr>
        <w:t xml:space="preserve"> </w:t>
      </w:r>
      <w:r>
        <w:rPr>
          <w:b/>
          <w:spacing w:val="-2"/>
        </w:rPr>
        <w:t>et met le dossier disciplinaire à la disposition des intéressés</w:t>
      </w:r>
      <w:r>
        <w:rPr>
          <w:spacing w:val="-2"/>
        </w:rPr>
        <w:t xml:space="preserve">. Afin d’assurer les droits de la défense et d’éviter toute erreur de procédure, il est recommandé au </w:t>
      </w:r>
      <w:r>
        <w:t>chef d’établissement dans l’enseignement organisé, au Pouvoir organisateur ou son délégué dans l’enseignement subventionné</w:t>
      </w:r>
      <w:r>
        <w:rPr>
          <w:spacing w:val="-2"/>
        </w:rPr>
        <w:t xml:space="preserve"> de fournir aux parents </w:t>
      </w:r>
      <w:r>
        <w:t>ou la personne investie de l’autorité parentale</w:t>
      </w:r>
      <w:r>
        <w:rPr>
          <w:spacing w:val="-2"/>
        </w:rPr>
        <w:t xml:space="preserve"> un document récapitulant les faits sur base desquels une exclusion est envisagée. </w:t>
      </w:r>
      <w:r>
        <w:rPr>
          <w:spacing w:val="-4"/>
          <w:lang w:val="fr-BE"/>
        </w:rPr>
        <w:t>Si les parents de l’élève mineur ou la personne investie de l’autorité parentale souhaitent disposer d’un exemplaire du dossier avant, pendant ou après l’audition, le chef d’établissement doit leur en remettre une copie. Le chef d’établissement peut conditionner la remise d’un exemplaire du dossier au payement préalable du coût des copies.</w:t>
      </w:r>
    </w:p>
    <w:p>
      <w:pPr>
        <w:spacing w:before="120"/>
        <w:ind w:left="907" w:firstLine="170"/>
        <w:jc w:val="both"/>
        <w:rPr>
          <w:szCs w:val="22"/>
        </w:rPr>
      </w:pPr>
      <w:r>
        <w:rPr>
          <w:szCs w:val="22"/>
        </w:rPr>
        <w:t>Il entend le point de vue des intéressés.</w:t>
      </w:r>
    </w:p>
    <w:p>
      <w:pPr>
        <w:spacing w:before="120"/>
        <w:ind w:left="1077"/>
        <w:jc w:val="both"/>
        <w:rPr>
          <w:szCs w:val="22"/>
        </w:rPr>
      </w:pPr>
      <w:r>
        <w:rPr>
          <w:szCs w:val="22"/>
        </w:rPr>
        <w:t xml:space="preserve">Il dresse </w:t>
      </w:r>
      <w:r>
        <w:rPr>
          <w:b/>
          <w:szCs w:val="22"/>
        </w:rPr>
        <w:t>un procès-verbal de l’audition</w:t>
      </w:r>
      <w:r>
        <w:rPr>
          <w:szCs w:val="22"/>
        </w:rPr>
        <w:t xml:space="preserve"> reprenant les différents avis et joint la liste éventuelle des pièces dont les personnes ont pris connaissance. Les parents ou la personne investie de l’autorité parentale, après avoir éventuellement ajouté une remarque, et le chef d’établissement signent le procès-verbal d’audition.</w:t>
      </w:r>
    </w:p>
    <w:p>
      <w:pPr>
        <w:spacing w:before="120"/>
        <w:ind w:left="1077"/>
        <w:jc w:val="both"/>
        <w:rPr>
          <w:spacing w:val="-6"/>
          <w:szCs w:val="22"/>
        </w:rPr>
      </w:pPr>
      <w:r>
        <w:rPr>
          <w:spacing w:val="-6"/>
          <w:szCs w:val="22"/>
        </w:rPr>
        <w:t xml:space="preserve">Au cas où les intéressés refuseraient de signer le procès-verbal ou ne répondraient pas à la convocation, un procès-verbal de carence est établi et signé par un membre du personnel enseignant. </w:t>
      </w:r>
    </w:p>
    <w:p>
      <w:pPr>
        <w:numPr>
          <w:ilvl w:val="0"/>
          <w:numId w:val="124"/>
        </w:numPr>
        <w:spacing w:before="120"/>
        <w:jc w:val="both"/>
        <w:rPr>
          <w:szCs w:val="22"/>
        </w:rPr>
      </w:pPr>
      <w:r>
        <w:rPr>
          <w:szCs w:val="22"/>
        </w:rPr>
        <w:t xml:space="preserve">Prendre </w:t>
      </w:r>
      <w:r>
        <w:rPr>
          <w:b/>
          <w:szCs w:val="22"/>
        </w:rPr>
        <w:t>l’avis du corps enseignant</w:t>
      </w:r>
    </w:p>
    <w:p>
      <w:pPr>
        <w:tabs>
          <w:tab w:val="left" w:pos="1080"/>
        </w:tabs>
        <w:spacing w:before="120"/>
        <w:ind w:left="1077"/>
        <w:jc w:val="both"/>
        <w:rPr>
          <w:szCs w:val="22"/>
        </w:rPr>
      </w:pPr>
      <w:r>
        <w:rPr>
          <w:spacing w:val="-4"/>
          <w:szCs w:val="22"/>
        </w:rPr>
        <w:tab/>
        <w:t xml:space="preserve">Le </w:t>
      </w:r>
      <w:r>
        <w:rPr>
          <w:szCs w:val="22"/>
        </w:rPr>
        <w:t>chef d’établissement dans l’enseignement organisé, le Pouvoir organisateur ou son délégué dans l’enseignement subventionné</w:t>
      </w:r>
      <w:r>
        <w:rPr>
          <w:spacing w:val="-4"/>
          <w:szCs w:val="22"/>
        </w:rPr>
        <w:t xml:space="preserve"> énonce devant le corps enseignant les faits reprochés et lit le PV d’audition</w:t>
      </w:r>
      <w:r>
        <w:rPr>
          <w:szCs w:val="22"/>
        </w:rPr>
        <w:t>.</w:t>
      </w:r>
    </w:p>
    <w:p>
      <w:pPr>
        <w:tabs>
          <w:tab w:val="left" w:pos="1080"/>
        </w:tabs>
        <w:spacing w:before="120"/>
        <w:jc w:val="both"/>
        <w:rPr>
          <w:szCs w:val="22"/>
        </w:rPr>
      </w:pPr>
      <w:r>
        <w:rPr>
          <w:szCs w:val="22"/>
        </w:rPr>
        <w:tab/>
        <w:t>Le corps enseignant émet un avis.</w:t>
      </w:r>
    </w:p>
    <w:p>
      <w:pPr>
        <w:tabs>
          <w:tab w:val="left" w:pos="1080"/>
        </w:tabs>
        <w:spacing w:before="120"/>
        <w:ind w:left="1080"/>
        <w:jc w:val="both"/>
        <w:rPr>
          <w:szCs w:val="22"/>
        </w:rPr>
      </w:pPr>
      <w:r>
        <w:rPr>
          <w:szCs w:val="22"/>
        </w:rPr>
        <w:t xml:space="preserve">Un </w:t>
      </w:r>
      <w:r>
        <w:rPr>
          <w:b/>
          <w:szCs w:val="22"/>
        </w:rPr>
        <w:t>procès-verbal de la réunion est rédigé et signé par les membres présents</w:t>
      </w:r>
      <w:r>
        <w:rPr>
          <w:szCs w:val="22"/>
        </w:rPr>
        <w:t>.</w:t>
      </w:r>
    </w:p>
    <w:p>
      <w:pPr>
        <w:numPr>
          <w:ilvl w:val="0"/>
          <w:numId w:val="124"/>
        </w:numPr>
        <w:tabs>
          <w:tab w:val="left" w:pos="1080"/>
        </w:tabs>
        <w:spacing w:before="120"/>
        <w:jc w:val="both"/>
        <w:rPr>
          <w:szCs w:val="22"/>
        </w:rPr>
      </w:pPr>
      <w:r>
        <w:t>Le chef d’établissement dans l’enseignement organisé, le Pouvoir organisateur ou son délégué dans l’enseignement subventionné, prononce la décision d’exclusion définitive. Cette décision énonce les motifs sur lesquels s’appuie cette décision. Ceux-ci doivent être identiques aux griefs repris dans la convocation à l’audition.</w:t>
      </w:r>
    </w:p>
    <w:p>
      <w:pPr>
        <w:tabs>
          <w:tab w:val="left" w:pos="1080"/>
        </w:tabs>
        <w:spacing w:before="120"/>
        <w:ind w:left="705"/>
        <w:jc w:val="both"/>
        <w:rPr>
          <w:szCs w:val="22"/>
        </w:rPr>
      </w:pPr>
    </w:p>
    <w:p>
      <w:pPr>
        <w:numPr>
          <w:ilvl w:val="0"/>
          <w:numId w:val="124"/>
        </w:numPr>
        <w:tabs>
          <w:tab w:val="left" w:pos="1080"/>
        </w:tabs>
        <w:spacing w:before="120"/>
        <w:jc w:val="both"/>
        <w:rPr>
          <w:szCs w:val="22"/>
        </w:rPr>
      </w:pPr>
      <w:r>
        <w:rPr>
          <w:b/>
        </w:rPr>
        <w:t>La décision d’exclusion définitive est communiquée aux parents de l’élève</w:t>
      </w:r>
      <w:r>
        <w:t xml:space="preserve"> ou aux responsables de l’autorité parentale par </w:t>
      </w:r>
      <w:r>
        <w:rPr>
          <w:b/>
        </w:rPr>
        <w:t>lettre recommandée avec accusé de réception</w:t>
      </w:r>
      <w:r>
        <w:t xml:space="preserve"> et mentionne la possibilité d’une procédure de recours et ses modalités, ainsi que les coordonnées des services CPMS auxquels une aide peut être obtenue pour la réinscription. L’introduction du recours n’est pas suspensive de la décision d’exclusion. </w:t>
      </w:r>
      <w:r>
        <w:rPr>
          <w:spacing w:val="-4"/>
        </w:rPr>
        <w:t xml:space="preserve">Dans l’enseignement organisé par </w:t>
      </w:r>
      <w:smartTag w:uri="urn:schemas-microsoft-com:office:smarttags" w:element="PersonName">
        <w:smartTagPr>
          <w:attr w:name="ProductID" w:val="la F￩d￩ration Wallonie-Bruxelles"/>
        </w:smartTagPr>
        <w:r>
          <w:rPr>
            <w:spacing w:val="-4"/>
          </w:rPr>
          <w:t>la Fédération Wallonie-Bruxelles</w:t>
        </w:r>
      </w:smartTag>
      <w:r>
        <w:rPr>
          <w:spacing w:val="-4"/>
        </w:rPr>
        <w:t>, l’avis du corps enseignant est annexé à la décision.</w:t>
      </w:r>
    </w:p>
    <w:p>
      <w:pPr>
        <w:pStyle w:val="Paragraphedeliste"/>
        <w:rPr>
          <w:szCs w:val="22"/>
        </w:rPr>
      </w:pPr>
    </w:p>
    <w:p>
      <w:pPr>
        <w:numPr>
          <w:ilvl w:val="0"/>
          <w:numId w:val="124"/>
        </w:numPr>
        <w:tabs>
          <w:tab w:val="left" w:pos="1080"/>
        </w:tabs>
        <w:spacing w:before="120"/>
        <w:jc w:val="both"/>
        <w:rPr>
          <w:szCs w:val="22"/>
        </w:rPr>
      </w:pPr>
      <w:r>
        <w:rPr>
          <w:u w:val="single"/>
        </w:rPr>
        <w:t xml:space="preserve">Dans l’enseignement organisé par </w:t>
      </w:r>
      <w:smartTag w:uri="urn:schemas-microsoft-com:office:smarttags" w:element="PersonName">
        <w:smartTagPr>
          <w:attr w:name="ProductID" w:val="la F￩d￩ration Wallonie-Bruxelles"/>
        </w:smartTagPr>
        <w:r>
          <w:rPr>
            <w:u w:val="single"/>
          </w:rPr>
          <w:t>la Fédération Wallonie-Bruxelles</w:t>
        </w:r>
      </w:smartTag>
      <w:r>
        <w:t xml:space="preserve">, le chef d’établissement transmet le </w:t>
      </w:r>
      <w:r>
        <w:rPr>
          <w:b/>
        </w:rPr>
        <w:t>formulaire électronique de signalement d’exclusion définitive</w:t>
      </w:r>
      <w:r>
        <w:t xml:space="preserve"> (voir le site </w:t>
      </w:r>
      <w:hyperlink r:id="rId72" w:history="1">
        <w:r>
          <w:rPr>
            <w:rStyle w:val="Lienhypertexte"/>
            <w:color w:val="auto"/>
          </w:rPr>
          <w:t>http://www.am.cfwb.be</w:t>
        </w:r>
      </w:hyperlink>
      <w:r>
        <w:t xml:space="preserve"> et la </w:t>
      </w:r>
      <w:hyperlink r:id="rId73" w:history="1">
        <w:r>
          <w:rPr>
            <w:rStyle w:val="Lienhypertexte"/>
            <w:color w:val="auto"/>
          </w:rPr>
          <w:t>circulaire 3783</w:t>
        </w:r>
      </w:hyperlink>
      <w:r>
        <w:t xml:space="preserve"> du 28/10/2011) </w:t>
      </w:r>
      <w:r>
        <w:rPr>
          <w:b/>
        </w:rPr>
        <w:t xml:space="preserve">à </w:t>
      </w:r>
      <w:smartTag w:uri="urn:schemas-microsoft-com:office:smarttags" w:element="PersonName">
        <w:smartTagPr>
          <w:attr w:name="ProductID" w:val="la Direction"/>
        </w:smartTagPr>
        <w:r>
          <w:rPr>
            <w:b/>
          </w:rPr>
          <w:t>la Direction</w:t>
        </w:r>
      </w:smartTag>
      <w:r>
        <w:rPr>
          <w:b/>
        </w:rPr>
        <w:t xml:space="preserve"> générale de l’Enseignement obligatoire</w:t>
      </w:r>
      <w:r>
        <w:rPr>
          <w:szCs w:val="22"/>
        </w:rPr>
        <w:t xml:space="preserve"> (y compris pour une décision de refus de réinscription l’année scolaire suivante) </w:t>
      </w:r>
      <w:r>
        <w:t xml:space="preserve">et une </w:t>
      </w:r>
      <w:r>
        <w:rPr>
          <w:b/>
        </w:rPr>
        <w:t xml:space="preserve">copie de l’ensemble du dossier disciplinaire </w:t>
      </w:r>
      <w:r>
        <w:rPr>
          <w:szCs w:val="22"/>
          <w:lang w:val="fr-BE"/>
        </w:rPr>
        <w:t xml:space="preserve">(toutes les pièces de la procédure) </w:t>
      </w:r>
      <w:r>
        <w:t xml:space="preserve">à </w:t>
      </w:r>
      <w:smartTag w:uri="urn:schemas-microsoft-com:office:smarttags" w:element="PersonName">
        <w:smartTagPr>
          <w:attr w:name="ProductID" w:val="la Commission Zonale"/>
        </w:smartTagPr>
        <w:r>
          <w:t>la Commission Zonale</w:t>
        </w:r>
      </w:smartTag>
      <w:r>
        <w:t xml:space="preserve"> des Inscriptions et au </w:t>
      </w:r>
      <w:r>
        <w:rPr>
          <w:b/>
        </w:rPr>
        <w:t>Service général de l’Enseignement</w:t>
      </w:r>
      <w:r>
        <w:t xml:space="preserve"> organisé par la Fédération Wallonie-Bruxelles</w:t>
      </w:r>
      <w:r>
        <w:rPr>
          <w:rStyle w:val="Appelnotedebasdep"/>
        </w:rPr>
        <w:footnoteReference w:id="31"/>
      </w:r>
      <w:r>
        <w:t xml:space="preserve"> </w:t>
      </w:r>
      <w:r>
        <w:rPr>
          <w:b/>
        </w:rPr>
        <w:t>dans les deux jours</w:t>
      </w:r>
      <w:r>
        <w:t xml:space="preserve"> d’ouverture d’école qui suivent la date d’exclusion</w:t>
      </w:r>
      <w:r>
        <w:rPr>
          <w:szCs w:val="22"/>
        </w:rPr>
        <w:t xml:space="preserve">. Il </w:t>
      </w:r>
      <w:r>
        <w:rPr>
          <w:szCs w:val="22"/>
          <w:lang w:val="fr-BE"/>
        </w:rPr>
        <w:t xml:space="preserve">tient la copie de la décision d’exclusion définitive au sein de son établissement à la disposition de </w:t>
      </w:r>
      <w:smartTag w:uri="urn:schemas-microsoft-com:office:smarttags" w:element="PersonName">
        <w:smartTagPr>
          <w:attr w:name="ProductID" w:val="la Direction"/>
        </w:smartTagPr>
        <w:r>
          <w:rPr>
            <w:szCs w:val="22"/>
            <w:lang w:val="fr-BE"/>
          </w:rPr>
          <w:t>la Direction</w:t>
        </w:r>
      </w:smartTag>
      <w:r>
        <w:rPr>
          <w:szCs w:val="22"/>
          <w:lang w:val="fr-BE"/>
        </w:rPr>
        <w:t xml:space="preserve"> générale de l’Enseignement obligatoire</w:t>
      </w:r>
      <w:r>
        <w:t>.</w:t>
      </w:r>
    </w:p>
    <w:p>
      <w:pPr>
        <w:pStyle w:val="Paragraphedeliste"/>
        <w:rPr>
          <w:szCs w:val="22"/>
        </w:rPr>
      </w:pPr>
    </w:p>
    <w:p>
      <w:pPr>
        <w:numPr>
          <w:ilvl w:val="0"/>
          <w:numId w:val="124"/>
        </w:numPr>
        <w:tabs>
          <w:tab w:val="left" w:pos="1080"/>
        </w:tabs>
        <w:spacing w:before="120"/>
        <w:jc w:val="both"/>
        <w:rPr>
          <w:szCs w:val="22"/>
        </w:rPr>
      </w:pPr>
      <w:r>
        <w:rPr>
          <w:u w:val="single"/>
        </w:rPr>
        <w:t xml:space="preserve">Dans l’enseignement subventionné par </w:t>
      </w:r>
      <w:smartTag w:uri="urn:schemas-microsoft-com:office:smarttags" w:element="PersonName">
        <w:smartTagPr>
          <w:attr w:name="ProductID" w:val="la F￩d￩ration Wallonie-Bruxelles"/>
        </w:smartTagPr>
        <w:r>
          <w:rPr>
            <w:u w:val="single"/>
          </w:rPr>
          <w:t>la Fédération Wallonie-Bruxelles</w:t>
        </w:r>
      </w:smartTag>
      <w:r>
        <w:t xml:space="preserve">, le Pouvoir organisateur ou son délégué transmet le </w:t>
      </w:r>
      <w:r>
        <w:rPr>
          <w:b/>
        </w:rPr>
        <w:t>formulaire électronique de signalement d’exclusion définitive</w:t>
      </w:r>
      <w:r>
        <w:t xml:space="preserve"> (voir le site </w:t>
      </w:r>
      <w:hyperlink r:id="rId74" w:history="1">
        <w:r>
          <w:rPr>
            <w:rStyle w:val="Lienhypertexte"/>
            <w:color w:val="auto"/>
          </w:rPr>
          <w:t>http://www.am.cfwb.be</w:t>
        </w:r>
      </w:hyperlink>
      <w:r>
        <w:t xml:space="preserve"> et la </w:t>
      </w:r>
      <w:hyperlink r:id="rId75" w:history="1">
        <w:r>
          <w:rPr>
            <w:rStyle w:val="Lienhypertexte"/>
            <w:color w:val="auto"/>
          </w:rPr>
          <w:t>circulaire 3783</w:t>
        </w:r>
      </w:hyperlink>
      <w:r>
        <w:t xml:space="preserve"> du 28/10/2011</w:t>
      </w:r>
      <w:r>
        <w:rPr>
          <w:b/>
        </w:rPr>
        <w:t xml:space="preserve">) à </w:t>
      </w:r>
      <w:smartTag w:uri="urn:schemas-microsoft-com:office:smarttags" w:element="PersonName">
        <w:smartTagPr>
          <w:attr w:name="ProductID" w:val="la Direction"/>
        </w:smartTagPr>
        <w:r>
          <w:rPr>
            <w:b/>
          </w:rPr>
          <w:t>la Direction</w:t>
        </w:r>
      </w:smartTag>
      <w:r>
        <w:rPr>
          <w:b/>
        </w:rPr>
        <w:t xml:space="preserve"> générale de l’Enseignement obligatoire</w:t>
      </w:r>
      <w:r>
        <w:t xml:space="preserve"> </w:t>
      </w:r>
      <w:r>
        <w:rPr>
          <w:szCs w:val="22"/>
        </w:rPr>
        <w:t xml:space="preserve">(y compris pour une décision de refus de réinscription l’année scolaire suivante) </w:t>
      </w:r>
      <w:r>
        <w:rPr>
          <w:b/>
        </w:rPr>
        <w:t>dans les</w:t>
      </w:r>
      <w:r>
        <w:t xml:space="preserve"> </w:t>
      </w:r>
      <w:r>
        <w:rPr>
          <w:b/>
        </w:rPr>
        <w:t>dix jours</w:t>
      </w:r>
      <w:r>
        <w:t xml:space="preserve"> ouvrables qui suivent la date d’exclusion</w:t>
      </w:r>
      <w:r>
        <w:rPr>
          <w:szCs w:val="22"/>
        </w:rPr>
        <w:t xml:space="preserve">. </w:t>
      </w:r>
    </w:p>
    <w:p>
      <w:pPr>
        <w:pStyle w:val="Paragraphedeliste"/>
        <w:rPr>
          <w:szCs w:val="22"/>
          <w:lang w:val="fr-BE"/>
        </w:rPr>
      </w:pPr>
    </w:p>
    <w:p>
      <w:pPr>
        <w:numPr>
          <w:ilvl w:val="0"/>
          <w:numId w:val="124"/>
        </w:numPr>
        <w:tabs>
          <w:tab w:val="left" w:pos="1080"/>
        </w:tabs>
        <w:spacing w:before="120"/>
        <w:jc w:val="both"/>
        <w:rPr>
          <w:szCs w:val="22"/>
        </w:rPr>
      </w:pPr>
      <w:r>
        <w:rPr>
          <w:szCs w:val="22"/>
          <w:lang w:val="fr-BE"/>
        </w:rPr>
        <w:t>En cas d’exclusion définitive d’un élève</w:t>
      </w:r>
      <w:r>
        <w:t xml:space="preserve">, </w:t>
      </w:r>
      <w:r>
        <w:rPr>
          <w:spacing w:val="-2"/>
        </w:rPr>
        <w:t>le dossier d’exclusion remplace valablement le dossier de changement d’école : aucun document de changement d’école n’est donc à produire.</w:t>
      </w:r>
    </w:p>
    <w:p>
      <w:pPr>
        <w:rPr>
          <w:lang w:val="fr-BE"/>
        </w:rPr>
      </w:pPr>
    </w:p>
    <w:p>
      <w:pPr>
        <w:pStyle w:val="Titre4"/>
      </w:pPr>
      <w:bookmarkStart w:id="605" w:name="_Toc423420006"/>
      <w:bookmarkStart w:id="606" w:name="_Toc450645213"/>
      <w:bookmarkStart w:id="607" w:name="_Toc453942449"/>
      <w:bookmarkStart w:id="608" w:name="_Toc454888066"/>
      <w:bookmarkStart w:id="609" w:name="_Toc486241728"/>
      <w:r>
        <w:t>2.6.2.3. Recours</w:t>
      </w:r>
      <w:bookmarkEnd w:id="604"/>
      <w:bookmarkEnd w:id="605"/>
      <w:bookmarkEnd w:id="606"/>
      <w:bookmarkEnd w:id="607"/>
      <w:bookmarkEnd w:id="608"/>
      <w:bookmarkEnd w:id="609"/>
    </w:p>
    <w:p>
      <w:pPr>
        <w:jc w:val="both"/>
        <w:rPr>
          <w:sz w:val="16"/>
        </w:rPr>
      </w:pPr>
    </w:p>
    <w:p>
      <w:pPr>
        <w:jc w:val="both"/>
        <w:rPr>
          <w:b/>
          <w:i/>
          <w:u w:val="single"/>
        </w:rPr>
      </w:pPr>
      <w:r>
        <w:rPr>
          <w:b/>
          <w:i/>
          <w:u w:val="single"/>
        </w:rPr>
        <w:t>A. Principe général</w:t>
      </w:r>
    </w:p>
    <w:p>
      <w:pPr>
        <w:jc w:val="both"/>
        <w:rPr>
          <w:sz w:val="16"/>
          <w:szCs w:val="16"/>
        </w:rPr>
      </w:pPr>
    </w:p>
    <w:p>
      <w:pPr>
        <w:pStyle w:val="Corpsdetexte2"/>
      </w:pPr>
      <w:r>
        <w:t>Le recours contre la décision d’exclusion est introduit par lettre recommandée, dans les dix jours ouvrables qui suivent la notification de l'exclusion définitive, auprès:</w:t>
      </w:r>
    </w:p>
    <w:p>
      <w:pPr>
        <w:pStyle w:val="Corpsdetexte2"/>
        <w:numPr>
          <w:ilvl w:val="0"/>
          <w:numId w:val="133"/>
        </w:numPr>
        <w:ind w:left="359"/>
      </w:pPr>
      <w:r>
        <w:t xml:space="preserve">du </w:t>
      </w:r>
      <w:r>
        <w:rPr>
          <w:b/>
        </w:rPr>
        <w:t xml:space="preserve">Service général de l’Enseignement organisé par </w:t>
      </w:r>
      <w:smartTag w:uri="urn:schemas-microsoft-com:office:smarttags" w:element="PersonName">
        <w:smartTagPr>
          <w:attr w:name="ProductID" w:val="la F￩d￩ration Wallonie-Bruxelles"/>
        </w:smartTagPr>
        <w:r>
          <w:rPr>
            <w:b/>
          </w:rPr>
          <w:t>la Fédération Wallonie-Bruxelles</w:t>
        </w:r>
      </w:smartTag>
      <w:r>
        <w:rPr>
          <w:b/>
        </w:rPr>
        <w:t xml:space="preserve">, Boulevard du Jardin Botanique, 20-22 à 1000 Bruxelles </w:t>
      </w:r>
      <w:r>
        <w:t xml:space="preserve">pour l’enseignement organisé par </w:t>
      </w:r>
      <w:smartTag w:uri="urn:schemas-microsoft-com:office:smarttags" w:element="PersonName">
        <w:smartTagPr>
          <w:attr w:name="ProductID" w:val="la F￩d￩ration Wallonie-Bruxelles"/>
        </w:smartTagPr>
        <w:r>
          <w:t>la Fédération Wallonie-Bruxelles</w:t>
        </w:r>
      </w:smartTag>
      <w:r>
        <w:t xml:space="preserve">, </w:t>
      </w:r>
    </w:p>
    <w:p>
      <w:pPr>
        <w:pStyle w:val="Corpsdetexte2"/>
        <w:numPr>
          <w:ilvl w:val="0"/>
          <w:numId w:val="133"/>
        </w:numPr>
        <w:ind w:left="359"/>
      </w:pPr>
      <w:r>
        <w:t>des instances citées ci-dessous pour l’enseignement subventionné (voir point B).</w:t>
      </w:r>
    </w:p>
    <w:p>
      <w:pPr>
        <w:pStyle w:val="Corpsdetexte2"/>
        <w:rPr>
          <w:sz w:val="16"/>
          <w:szCs w:val="16"/>
        </w:rPr>
      </w:pPr>
    </w:p>
    <w:p>
      <w:pPr>
        <w:pStyle w:val="Corpsdetexte2"/>
      </w:pPr>
      <w:r>
        <w:t>L’instance de recours doit statuer sur celui-ci au plus tard le 15</w:t>
      </w:r>
      <w:r>
        <w:rPr>
          <w:vertAlign w:val="superscript"/>
        </w:rPr>
        <w:t xml:space="preserve">e </w:t>
      </w:r>
      <w:r>
        <w:t xml:space="preserve">jour d’ouverture d’école qui suit la réception du recours. Si le courrier parvient pendant les vacances d’été, l’instance de recours doit statuer pour le 20 août. </w:t>
      </w:r>
    </w:p>
    <w:p>
      <w:pPr>
        <w:pStyle w:val="Corpsdetexte2"/>
        <w:rPr>
          <w:sz w:val="8"/>
        </w:rPr>
      </w:pPr>
    </w:p>
    <w:p>
      <w:pPr>
        <w:pStyle w:val="Corpsdetexte2"/>
      </w:pPr>
      <w:r>
        <w:t>La décision prise suite au recours est notifiée par lettre recommandée avec accusé de réception. L’introduction du recours n’est pas suspensive de la décision d’exclusion.</w:t>
      </w:r>
    </w:p>
    <w:p>
      <w:pPr>
        <w:pStyle w:val="Corpsdetexte2"/>
      </w:pPr>
    </w:p>
    <w:p>
      <w:pPr>
        <w:jc w:val="both"/>
        <w:rPr>
          <w:b/>
          <w:i/>
          <w:u w:val="single"/>
        </w:rPr>
      </w:pPr>
      <w:r>
        <w:rPr>
          <w:b/>
          <w:i/>
          <w:u w:val="single"/>
        </w:rPr>
        <w:t>B. Modalités spécifiques à l’enseignement subventionné</w:t>
      </w:r>
    </w:p>
    <w:p>
      <w:pPr>
        <w:jc w:val="both"/>
        <w:rPr>
          <w:b/>
        </w:rPr>
      </w:pPr>
    </w:p>
    <w:p>
      <w:pPr>
        <w:pStyle w:val="Corpsdetexte"/>
        <w:autoSpaceDE w:val="0"/>
        <w:autoSpaceDN w:val="0"/>
        <w:adjustRightInd w:val="0"/>
        <w:rPr>
          <w:szCs w:val="22"/>
        </w:rPr>
      </w:pPr>
      <w:r>
        <w:rPr>
          <w:szCs w:val="22"/>
          <w:u w:val="single"/>
        </w:rPr>
        <w:t>Dans l’enseignement subventionné</w:t>
      </w:r>
      <w:r>
        <w:rPr>
          <w:szCs w:val="22"/>
        </w:rPr>
        <w:t xml:space="preserve">, </w:t>
      </w:r>
      <w:r>
        <w:rPr>
          <w:b/>
          <w:szCs w:val="22"/>
        </w:rPr>
        <w:t>lorsque le Pouvoir organisateur</w:t>
      </w:r>
      <w:r>
        <w:rPr>
          <w:szCs w:val="22"/>
        </w:rPr>
        <w:t xml:space="preserve"> adhère à un organe de représentation et de coordination et </w:t>
      </w:r>
      <w:r>
        <w:rPr>
          <w:b/>
          <w:szCs w:val="22"/>
        </w:rPr>
        <w:t>délègue</w:t>
      </w:r>
      <w:r>
        <w:rPr>
          <w:szCs w:val="22"/>
        </w:rPr>
        <w:t xml:space="preserve"> le droit de prononcer l’exclusion à un membre de son personnel, il prévoit une possibilité de recours selon les cas:</w:t>
      </w:r>
    </w:p>
    <w:p>
      <w:pPr>
        <w:numPr>
          <w:ilvl w:val="0"/>
          <w:numId w:val="127"/>
        </w:numPr>
        <w:ind w:left="359"/>
        <w:jc w:val="both"/>
        <w:rPr>
          <w:rFonts w:cs="Arial"/>
          <w:szCs w:val="22"/>
        </w:rPr>
      </w:pPr>
      <w:r>
        <w:rPr>
          <w:rFonts w:cs="Arial"/>
          <w:szCs w:val="22"/>
        </w:rPr>
        <w:t>au Collège provincial</w:t>
      </w:r>
    </w:p>
    <w:p>
      <w:pPr>
        <w:numPr>
          <w:ilvl w:val="0"/>
          <w:numId w:val="127"/>
        </w:numPr>
        <w:ind w:left="359"/>
        <w:jc w:val="both"/>
        <w:rPr>
          <w:rFonts w:cs="Arial"/>
          <w:szCs w:val="22"/>
        </w:rPr>
      </w:pPr>
      <w:r>
        <w:rPr>
          <w:rFonts w:cs="Arial"/>
          <w:szCs w:val="22"/>
        </w:rPr>
        <w:t>au Collège des Bourgmestre et Échevins</w:t>
      </w:r>
    </w:p>
    <w:p>
      <w:pPr>
        <w:numPr>
          <w:ilvl w:val="0"/>
          <w:numId w:val="127"/>
        </w:numPr>
        <w:ind w:left="359"/>
        <w:jc w:val="both"/>
        <w:rPr>
          <w:rFonts w:cs="Arial"/>
          <w:szCs w:val="22"/>
        </w:rPr>
      </w:pPr>
      <w:r>
        <w:rPr>
          <w:rFonts w:cs="Arial"/>
          <w:szCs w:val="22"/>
        </w:rPr>
        <w:t xml:space="preserve">au Collège de </w:t>
      </w:r>
      <w:smartTag w:uri="urn:schemas-microsoft-com:office:smarttags" w:element="PersonName">
        <w:smartTagPr>
          <w:attr w:name="ProductID" w:val="la COCOF"/>
        </w:smartTagPr>
        <w:r>
          <w:rPr>
            <w:rFonts w:cs="Arial"/>
            <w:szCs w:val="22"/>
          </w:rPr>
          <w:t>la COCOF</w:t>
        </w:r>
      </w:smartTag>
      <w:r>
        <w:rPr>
          <w:rFonts w:cs="Arial"/>
          <w:szCs w:val="22"/>
        </w:rPr>
        <w:t xml:space="preserve"> </w:t>
      </w:r>
    </w:p>
    <w:p>
      <w:pPr>
        <w:numPr>
          <w:ilvl w:val="0"/>
          <w:numId w:val="127"/>
        </w:numPr>
        <w:ind w:left="359"/>
        <w:jc w:val="both"/>
        <w:rPr>
          <w:rFonts w:cs="Arial"/>
          <w:szCs w:val="22"/>
        </w:rPr>
      </w:pPr>
      <w:r>
        <w:rPr>
          <w:rFonts w:cs="Arial"/>
          <w:szCs w:val="22"/>
        </w:rPr>
        <w:t>à son Conseil d’administration</w:t>
      </w:r>
    </w:p>
    <w:p>
      <w:pPr>
        <w:jc w:val="both"/>
        <w:rPr>
          <w:rFonts w:cs="Arial"/>
          <w:szCs w:val="22"/>
        </w:rPr>
      </w:pPr>
      <w:r>
        <w:rPr>
          <w:rFonts w:cs="Arial"/>
          <w:szCs w:val="22"/>
        </w:rPr>
        <w:t>Pour cette dernière possibilité, il est souhaitable que si le Chef d’établissement ayant prononcé l’exclusion fait partie du Conseil d’administration, il se retire lors de la délibération relative au recours.</w:t>
      </w:r>
    </w:p>
    <w:p>
      <w:pPr>
        <w:pStyle w:val="Corpsdetexte"/>
        <w:autoSpaceDE w:val="0"/>
        <w:autoSpaceDN w:val="0"/>
        <w:adjustRightInd w:val="0"/>
        <w:rPr>
          <w:szCs w:val="22"/>
        </w:rPr>
      </w:pPr>
    </w:p>
    <w:p>
      <w:pPr>
        <w:pStyle w:val="Corpsdetexte"/>
        <w:autoSpaceDE w:val="0"/>
        <w:autoSpaceDN w:val="0"/>
        <w:adjustRightInd w:val="0"/>
        <w:rPr>
          <w:szCs w:val="22"/>
        </w:rPr>
      </w:pPr>
      <w:r>
        <w:rPr>
          <w:szCs w:val="22"/>
        </w:rPr>
        <w:t xml:space="preserve">Quand le Pouvoir organisateur adhère à un organe de représentation et de coordination </w:t>
      </w:r>
      <w:r>
        <w:rPr>
          <w:b/>
          <w:szCs w:val="22"/>
        </w:rPr>
        <w:t>mais ne délègue pas à un membre de son personnel le droit de prononcer l’exclusion</w:t>
      </w:r>
      <w:r>
        <w:rPr>
          <w:szCs w:val="22"/>
        </w:rPr>
        <w:t>, le recours est introduit auprès :</w:t>
      </w:r>
    </w:p>
    <w:p>
      <w:pPr>
        <w:numPr>
          <w:ilvl w:val="0"/>
          <w:numId w:val="128"/>
        </w:numPr>
        <w:ind w:left="359"/>
        <w:jc w:val="both"/>
        <w:rPr>
          <w:rFonts w:cs="Arial"/>
          <w:szCs w:val="22"/>
        </w:rPr>
      </w:pPr>
      <w:r>
        <w:rPr>
          <w:rFonts w:cs="Arial"/>
          <w:szCs w:val="22"/>
        </w:rPr>
        <w:t>du conseil d’état pour le réseau officiel subventionné,</w:t>
      </w:r>
    </w:p>
    <w:p>
      <w:pPr>
        <w:numPr>
          <w:ilvl w:val="0"/>
          <w:numId w:val="128"/>
        </w:numPr>
        <w:ind w:left="359"/>
        <w:jc w:val="both"/>
        <w:rPr>
          <w:rFonts w:cs="Arial"/>
          <w:szCs w:val="22"/>
        </w:rPr>
      </w:pPr>
      <w:r>
        <w:rPr>
          <w:rFonts w:cs="Arial"/>
          <w:szCs w:val="22"/>
        </w:rPr>
        <w:t>du tribunal de première instance pour le réseau libre subventionné.</w:t>
      </w:r>
    </w:p>
    <w:p>
      <w:pPr>
        <w:ind w:left="359"/>
        <w:jc w:val="both"/>
        <w:rPr>
          <w:rFonts w:cs="Arial"/>
          <w:szCs w:val="22"/>
        </w:rPr>
      </w:pPr>
      <w:bookmarkStart w:id="610" w:name="_2.1.4.2.2.6._Désignation_d’un"/>
      <w:bookmarkStart w:id="611" w:name="_Toc101153568"/>
      <w:bookmarkStart w:id="612" w:name="_Toc295931992"/>
      <w:bookmarkEnd w:id="610"/>
    </w:p>
    <w:p>
      <w:pPr>
        <w:jc w:val="both"/>
        <w:rPr>
          <w:rFonts w:cs="Arial"/>
          <w:szCs w:val="22"/>
        </w:rPr>
      </w:pPr>
      <w:r>
        <w:rPr>
          <w:rFonts w:cs="Arial"/>
          <w:szCs w:val="22"/>
        </w:rPr>
        <w:t>Dans le cas où le pouvoir organisateur n’adhère pas à un organe de représentation et de coordination, le recours est introduit auprès du Ministre par les parents de l’élève ou la personne investie de l'autorité parentale. Le recours porte exclusivement sur le respect des procédures d'exclusion.</w:t>
      </w:r>
    </w:p>
    <w:p>
      <w:pPr>
        <w:ind w:left="359"/>
        <w:jc w:val="both"/>
        <w:rPr>
          <w:rFonts w:cs="Arial"/>
          <w:szCs w:val="22"/>
        </w:rPr>
      </w:pPr>
    </w:p>
    <w:p>
      <w:pPr>
        <w:pStyle w:val="Titre4"/>
      </w:pPr>
      <w:bookmarkStart w:id="613" w:name="_Toc423420007"/>
      <w:bookmarkStart w:id="614" w:name="_Toc450645214"/>
      <w:bookmarkStart w:id="615" w:name="_Toc453942450"/>
      <w:bookmarkStart w:id="616" w:name="_Toc454888067"/>
      <w:bookmarkStart w:id="617" w:name="_Toc486241729"/>
      <w:r>
        <w:t xml:space="preserve">2.6.2.4. </w:t>
      </w:r>
      <w:bookmarkEnd w:id="611"/>
      <w:r>
        <w:t>Après l’exclusion de l’élève</w:t>
      </w:r>
      <w:bookmarkEnd w:id="612"/>
      <w:bookmarkEnd w:id="613"/>
      <w:bookmarkEnd w:id="614"/>
      <w:bookmarkEnd w:id="615"/>
      <w:bookmarkEnd w:id="616"/>
      <w:bookmarkEnd w:id="617"/>
    </w:p>
    <w:p>
      <w:pPr>
        <w:jc w:val="both"/>
        <w:rPr>
          <w:sz w:val="16"/>
        </w:rPr>
      </w:pPr>
    </w:p>
    <w:p>
      <w:pPr>
        <w:jc w:val="both"/>
        <w:rPr>
          <w:i/>
          <w:iCs/>
        </w:rPr>
      </w:pPr>
      <w:r>
        <w:rPr>
          <w:i/>
          <w:iCs/>
        </w:rPr>
        <w:t xml:space="preserve">Dans l’enseignement organisé ou subventionné par </w:t>
      </w:r>
      <w:smartTag w:uri="urn:schemas-microsoft-com:office:smarttags" w:element="PersonName">
        <w:smartTagPr>
          <w:attr w:name="ProductID" w:val="la F￩d￩ration Wallonie-Bruxelles"/>
        </w:smartTagPr>
        <w:r>
          <w:rPr>
            <w:i/>
            <w:iCs/>
          </w:rPr>
          <w:t>la Fédération Wallonie-Bruxelles</w:t>
        </w:r>
      </w:smartTag>
      <w:r>
        <w:rPr>
          <w:i/>
          <w:iCs/>
        </w:rPr>
        <w:t xml:space="preserve">, il est important que chaque chef d’établissement s’inquiète de l’inscription de l’élève exclu dans une autre école ou dans une autre institution permettant de satisfaire à l’obligation scolaire. </w:t>
      </w:r>
    </w:p>
    <w:p>
      <w:pPr>
        <w:jc w:val="both"/>
        <w:rPr>
          <w:iCs/>
          <w:sz w:val="16"/>
          <w:szCs w:val="16"/>
        </w:rPr>
      </w:pPr>
    </w:p>
    <w:p>
      <w:pPr>
        <w:jc w:val="both"/>
        <w:rPr>
          <w:i/>
          <w:iCs/>
          <w:spacing w:val="-4"/>
        </w:rPr>
      </w:pPr>
      <w:r>
        <w:rPr>
          <w:i/>
          <w:iCs/>
          <w:spacing w:val="-4"/>
        </w:rPr>
        <w:t xml:space="preserve">Le CPMS de l’école de l’élève est à la </w:t>
      </w:r>
      <w:r>
        <w:rPr>
          <w:i/>
          <w:iCs/>
          <w:spacing w:val="-4"/>
          <w:szCs w:val="22"/>
        </w:rPr>
        <w:t>disposition de ce dernier et de ses parents (</w:t>
      </w:r>
      <w:r>
        <w:rPr>
          <w:i/>
          <w:szCs w:val="22"/>
        </w:rPr>
        <w:t>ou la personne investie de l’autorité parentale)</w:t>
      </w:r>
      <w:r>
        <w:rPr>
          <w:i/>
          <w:iCs/>
          <w:spacing w:val="-4"/>
          <w:szCs w:val="22"/>
        </w:rPr>
        <w:t xml:space="preserve"> entre autres dans le</w:t>
      </w:r>
      <w:r>
        <w:rPr>
          <w:i/>
          <w:iCs/>
          <w:spacing w:val="-4"/>
        </w:rPr>
        <w:t xml:space="preserve"> cadre d’une aide à la recherche d’une nouvelle école, en ce compris pour une éventuelle réorientation.</w:t>
      </w:r>
    </w:p>
    <w:p>
      <w:pPr>
        <w:jc w:val="both"/>
        <w:rPr>
          <w:sz w:val="18"/>
        </w:rPr>
      </w:pPr>
    </w:p>
    <w:p>
      <w:pPr>
        <w:jc w:val="both"/>
      </w:pPr>
      <w:r>
        <w:rPr>
          <w:b/>
          <w:u w:val="single"/>
        </w:rPr>
        <w:t xml:space="preserve">Dans l’enseignement organisé par </w:t>
      </w:r>
      <w:smartTag w:uri="urn:schemas-microsoft-com:office:smarttags" w:element="PersonName">
        <w:smartTagPr>
          <w:attr w:name="ProductID" w:val="la F￩d￩ration Wallonie-Bruxelles"/>
        </w:smartTagPr>
        <w:r>
          <w:rPr>
            <w:b/>
            <w:u w:val="single"/>
          </w:rPr>
          <w:t>la Fédération Wallonie-Bruxelles</w:t>
        </w:r>
      </w:smartTag>
      <w:r>
        <w:t xml:space="preserve">, le Chef d’établissement qui inscrit un élève exclu en cours d’année scolaire le signale à </w:t>
      </w:r>
      <w:smartTag w:uri="urn:schemas-microsoft-com:office:smarttags" w:element="PersonName">
        <w:smartTagPr>
          <w:attr w:name="ProductID" w:val="la Direction"/>
        </w:smartTagPr>
        <w:r>
          <w:t>la Direction</w:t>
        </w:r>
      </w:smartTag>
      <w:r>
        <w:t xml:space="preserve"> générale de l’Enseignement obligatoire, dès l’inscription, via le formulaire électronique adéquat. Cette formalité doit donc être accomplie pour toute inscription effectuée entre le 1er septembre et le 30 juin.</w:t>
      </w:r>
      <w:r>
        <w:rPr>
          <w:spacing w:val="-4"/>
        </w:rPr>
        <w:t xml:space="preserve"> L’objectif étant de veiller à la rescolarisation de l’élève dans les meilleurs délais. </w:t>
      </w:r>
    </w:p>
    <w:p>
      <w:pPr>
        <w:pStyle w:val="Corpsdetexte2"/>
        <w:rPr>
          <w:b/>
          <w:bCs/>
          <w:i/>
          <w:iCs/>
        </w:rPr>
      </w:pPr>
    </w:p>
    <w:p>
      <w:pPr>
        <w:pStyle w:val="Corpsdetexte2"/>
      </w:pPr>
      <w:r>
        <w:rPr>
          <w:b/>
          <w:bCs/>
          <w:u w:val="single"/>
        </w:rPr>
        <w:t>Dans l’enseignement subventionné</w:t>
      </w:r>
      <w:r>
        <w:rPr>
          <w:bCs/>
        </w:rPr>
        <w:t>, l</w:t>
      </w:r>
      <w:r>
        <w:t>e Pouvoir organisateur ou son délégué peut proposer aux parents de l’élève exclu ou à la personne investie de l’autorité parentale une inscription dans une autre école qu’il organise.</w:t>
      </w:r>
    </w:p>
    <w:p>
      <w:pPr>
        <w:pStyle w:val="Corpsdetexte2"/>
        <w:rPr>
          <w:sz w:val="16"/>
          <w:szCs w:val="16"/>
        </w:rPr>
      </w:pPr>
    </w:p>
    <w:p>
      <w:pPr>
        <w:pStyle w:val="Corpsdetexte2"/>
      </w:pPr>
      <w:r>
        <w:t xml:space="preserve">Le Pouvoir organisateur qui n’a pas proposé d’école transmet, </w:t>
      </w:r>
      <w:r>
        <w:rPr>
          <w:i/>
          <w:u w:val="single"/>
        </w:rPr>
        <w:t>dans les 10 jours d’ouverture d’école qui suivent la date d’exclusion</w:t>
      </w:r>
      <w:r>
        <w:rPr>
          <w:b/>
        </w:rPr>
        <w:t>,</w:t>
      </w:r>
      <w:r>
        <w:t xml:space="preserve"> l’ensemble du dossier disciplinaire de l’élève concerné à l’organe de représentation et de coordination auquel il adhère ou à la commission décentralisée, qui propose alors aux parents ou à la personne investie de l’autorité parentale une inscription dans une autre école organisée par un Pouvoir organisateur qu’il (elle) représente.</w:t>
      </w:r>
    </w:p>
    <w:p>
      <w:pPr>
        <w:pStyle w:val="Corpsdetexte2"/>
        <w:rPr>
          <w:sz w:val="16"/>
          <w:szCs w:val="16"/>
        </w:rPr>
      </w:pPr>
    </w:p>
    <w:p>
      <w:pPr>
        <w:autoSpaceDE w:val="0"/>
        <w:autoSpaceDN w:val="0"/>
        <w:adjustRightInd w:val="0"/>
        <w:jc w:val="both"/>
        <w:rPr>
          <w:rFonts w:cs="Arial"/>
        </w:rPr>
      </w:pPr>
      <w:r>
        <w:rPr>
          <w:rFonts w:cs="Arial"/>
        </w:rPr>
        <w:t xml:space="preserve">Dans le cas où l’organe de représentation et de coordination ou la commission décentralisée estime que les faits dont l’élève s’est rendu coupable sont d’une gravité extrême, il entend à son tour l’élève et ses parents ou la personne investie de l’autorité parentale. Il informe le Conseiller de l’Aide à </w:t>
      </w:r>
      <w:smartTag w:uri="urn:schemas-microsoft-com:office:smarttags" w:element="PersonName">
        <w:smartTagPr>
          <w:attr w:name="ProductID" w:val="la Jeunesse"/>
        </w:smartTagPr>
        <w:r>
          <w:rPr>
            <w:rFonts w:cs="Arial"/>
          </w:rPr>
          <w:t>la Jeunesse</w:t>
        </w:r>
      </w:smartTag>
      <w:r>
        <w:rPr>
          <w:rFonts w:cs="Arial"/>
        </w:rPr>
        <w:t xml:space="preserve"> et sollicite son avis. L’avis rendu par le Conseiller est joint au dossier.</w:t>
      </w:r>
    </w:p>
    <w:p>
      <w:pPr>
        <w:autoSpaceDE w:val="0"/>
        <w:autoSpaceDN w:val="0"/>
        <w:adjustRightInd w:val="0"/>
        <w:rPr>
          <w:rFonts w:cs="Arial"/>
        </w:rPr>
      </w:pPr>
    </w:p>
    <w:p>
      <w:pPr>
        <w:autoSpaceDE w:val="0"/>
        <w:autoSpaceDN w:val="0"/>
        <w:adjustRightInd w:val="0"/>
        <w:jc w:val="both"/>
      </w:pPr>
      <w:r>
        <w:t xml:space="preserve">Si l’organe de représentation et de coordination ou la commission décentralisée estime que l’inscription de l’élève exclu dans une autre école d’un des pouvoirs organisateurs qu’il(elle) représente ne peut être envisagée, il en avise </w:t>
      </w:r>
      <w:smartTag w:uri="urn:schemas-microsoft-com:office:smarttags" w:element="PersonName">
        <w:smartTagPr>
          <w:attr w:name="ProductID" w:val="la Direction"/>
        </w:smartTagPr>
        <w:r>
          <w:t>la Direction</w:t>
        </w:r>
      </w:smartTag>
      <w:r>
        <w:t xml:space="preserve"> générale de l’Enseignement obligatoire dans les 20 jours d’ouverture d’école qui suivent la date de réception du dossier. L’Administration transmet le dossier au Ministre qui statue sur l’inscription de l’élève dans une école de </w:t>
      </w:r>
      <w:smartTag w:uri="urn:schemas-microsoft-com:office:smarttags" w:element="PersonName">
        <w:smartTagPr>
          <w:attr w:name="ProductID" w:val="la F￩d￩ration Wallonie-Bruxelles"/>
        </w:smartTagPr>
        <w:r>
          <w:t>la Fédération Wallonie-Bruxelles</w:t>
        </w:r>
      </w:smartTag>
      <w:r>
        <w:t>.</w:t>
      </w:r>
    </w:p>
    <w:p>
      <w:pPr>
        <w:autoSpaceDE w:val="0"/>
        <w:autoSpaceDN w:val="0"/>
        <w:adjustRightInd w:val="0"/>
      </w:pPr>
    </w:p>
    <w:p>
      <w:pPr>
        <w:pStyle w:val="Corpsdetexte2"/>
        <w:rPr>
          <w:spacing w:val="-6"/>
        </w:rPr>
      </w:pPr>
      <w:r>
        <w:rPr>
          <w:spacing w:val="-6"/>
        </w:rPr>
        <w:t xml:space="preserve">Au cas où un Pouvoir organisateur n’ayant pas adhéré à un organe de représentation et de coordination ne peut proposer à l’élève exclu son inscription dans une autre école qu’il organise, il transmet copie de l’ensemble du dossier de l’élève exclu à </w:t>
      </w:r>
      <w:smartTag w:uri="urn:schemas-microsoft-com:office:smarttags" w:element="PersonName">
        <w:smartTagPr>
          <w:attr w:name="ProductID" w:val="la Direction"/>
        </w:smartTagPr>
        <w:r>
          <w:rPr>
            <w:spacing w:val="-6"/>
          </w:rPr>
          <w:t>la Direction</w:t>
        </w:r>
      </w:smartTag>
      <w:r>
        <w:rPr>
          <w:spacing w:val="-6"/>
        </w:rPr>
        <w:t xml:space="preserve"> générale l’enseignement obligatoire.</w:t>
      </w:r>
    </w:p>
    <w:p>
      <w:pPr>
        <w:pStyle w:val="Corpsdetexte2"/>
        <w:rPr>
          <w:spacing w:val="-6"/>
        </w:rPr>
      </w:pPr>
    </w:p>
    <w:p>
      <w:pPr>
        <w:pStyle w:val="Corpsdetexte2"/>
        <w:rPr>
          <w:spacing w:val="-4"/>
        </w:rPr>
      </w:pPr>
      <w:r>
        <w:rPr>
          <w:b/>
          <w:spacing w:val="-4"/>
        </w:rPr>
        <w:t>Toute école</w:t>
      </w:r>
      <w:r>
        <w:rPr>
          <w:spacing w:val="-4"/>
        </w:rPr>
        <w:t xml:space="preserve"> qui inscrit un élève exclu en cours d’année scolaire le signale à </w:t>
      </w:r>
      <w:smartTag w:uri="urn:schemas-microsoft-com:office:smarttags" w:element="PersonName">
        <w:smartTagPr>
          <w:attr w:name="ProductID" w:val="la Direction"/>
        </w:smartTagPr>
        <w:r>
          <w:rPr>
            <w:spacing w:val="-4"/>
          </w:rPr>
          <w:t>la Direction</w:t>
        </w:r>
      </w:smartTag>
      <w:r>
        <w:rPr>
          <w:spacing w:val="-4"/>
        </w:rPr>
        <w:t xml:space="preserve"> générale de l’Enseignement obligatoire, dès l’inscription, via le formulaire électronique adéquat. Cette formalité doit donc être accomplie pour toute inscription effectuée entre le 1er septembre et le 30 juin. L’objectif étant de veiller à la rescolarisation de l’élève dans les meilleurs délais. </w:t>
      </w:r>
    </w:p>
    <w:p>
      <w:pPr>
        <w:jc w:val="both"/>
        <w:rPr>
          <w:rFonts w:cs="Arial"/>
          <w:bCs/>
          <w:iCs/>
          <w:lang w:val="fr-BE"/>
        </w:rPr>
      </w:pPr>
      <w:r>
        <w:rPr>
          <w:rFonts w:cs="Arial"/>
          <w:bCs/>
          <w:iCs/>
        </w:rPr>
        <w:t>S</w:t>
      </w:r>
      <w:r>
        <w:rPr>
          <w:rFonts w:cs="Arial"/>
          <w:bCs/>
          <w:iCs/>
          <w:lang w:val="fr-BE"/>
        </w:rPr>
        <w:t xml:space="preserve">i, </w:t>
      </w:r>
      <w:r>
        <w:rPr>
          <w:rFonts w:cs="Arial"/>
          <w:bCs/>
          <w:iCs/>
          <w:u w:val="single"/>
          <w:lang w:val="fr-BE"/>
        </w:rPr>
        <w:t>dans le mois suivant la notification de l’exclusion définitive</w:t>
      </w:r>
      <w:r>
        <w:rPr>
          <w:rFonts w:cs="Arial"/>
          <w:bCs/>
          <w:iCs/>
          <w:lang w:val="fr-BE"/>
        </w:rPr>
        <w:t>, le chef d’établissement constate la non réinscription de l’élève qu’il a exclu dans une autre institution permettant de satisfaire à l’obligation scolaire, comme par exemple, outre une école, un service d’accrochage scolaire, le Pouvoir organisateur ou son délégué en informera l’Administration par courrier</w:t>
      </w:r>
      <w:r>
        <w:rPr>
          <w:rFonts w:cs="Arial"/>
          <w:bCs/>
          <w:iCs/>
          <w:vertAlign w:val="superscript"/>
          <w:lang w:val="fr-BE"/>
        </w:rPr>
        <w:footnoteReference w:id="32"/>
      </w:r>
      <w:r>
        <w:rPr>
          <w:rFonts w:cs="Arial"/>
          <w:bCs/>
          <w:iCs/>
          <w:lang w:val="fr-BE"/>
        </w:rPr>
        <w:t>.</w:t>
      </w:r>
    </w:p>
    <w:p>
      <w:pPr>
        <w:pStyle w:val="Corpsdetexte2"/>
        <w:rPr>
          <w:spacing w:val="-6"/>
          <w:szCs w:val="22"/>
          <w:lang w:val="fr-BE"/>
        </w:rPr>
      </w:pPr>
    </w:p>
    <w:p>
      <w:pPr>
        <w:pStyle w:val="Titre4"/>
      </w:pPr>
      <w:bookmarkStart w:id="618" w:name="_2.1.4.2.2.5_Incidence_sur"/>
      <w:bookmarkStart w:id="619" w:name="_Toc295931993"/>
      <w:bookmarkStart w:id="620" w:name="_Toc423420008"/>
      <w:bookmarkStart w:id="621" w:name="_Toc450645215"/>
      <w:bookmarkStart w:id="622" w:name="_Toc453942451"/>
      <w:bookmarkStart w:id="623" w:name="_Toc454888068"/>
      <w:bookmarkStart w:id="624" w:name="_Toc486241730"/>
      <w:bookmarkEnd w:id="618"/>
      <w:r>
        <w:t>2.6.2.5. Incidence sur l'encadrement et les dotations/subventions de fonctionnement</w:t>
      </w:r>
      <w:r>
        <w:rPr>
          <w:rStyle w:val="Appelnotedebasdep"/>
          <w:b w:val="0"/>
          <w:bCs w:val="0"/>
          <w:i w:val="0"/>
        </w:rPr>
        <w:footnoteReference w:id="33"/>
      </w:r>
      <w:bookmarkEnd w:id="619"/>
      <w:bookmarkEnd w:id="620"/>
      <w:bookmarkEnd w:id="621"/>
      <w:bookmarkEnd w:id="622"/>
      <w:bookmarkEnd w:id="623"/>
      <w:bookmarkEnd w:id="624"/>
      <w:r>
        <w:t xml:space="preserve"> </w:t>
      </w:r>
    </w:p>
    <w:p>
      <w:pPr>
        <w:pStyle w:val="Titre6"/>
      </w:pPr>
    </w:p>
    <w:p>
      <w:pPr>
        <w:pStyle w:val="Corpsdetexte"/>
        <w:autoSpaceDE w:val="0"/>
        <w:autoSpaceDN w:val="0"/>
        <w:adjustRightInd w:val="0"/>
        <w:rPr>
          <w:rFonts w:cs="Times New Roman"/>
          <w:bCs/>
          <w:iCs/>
          <w:spacing w:val="-4"/>
          <w:szCs w:val="22"/>
        </w:rPr>
      </w:pPr>
      <w:r>
        <w:rPr>
          <w:rFonts w:cs="Times New Roman"/>
          <w:bCs/>
          <w:iCs/>
          <w:spacing w:val="-4"/>
          <w:szCs w:val="22"/>
          <w:lang w:val="fr-BE"/>
        </w:rPr>
        <w:t>L</w:t>
      </w:r>
      <w:r>
        <w:rPr>
          <w:rFonts w:cs="Times New Roman"/>
          <w:bCs/>
          <w:iCs/>
          <w:spacing w:val="-4"/>
          <w:szCs w:val="22"/>
        </w:rPr>
        <w:t xml:space="preserve">’élève de maternelle ou de primaire qui fait l’objet d’une exclusion définitive après le 15 janvier de la même année n’est plus considéré comme régulièrement inscrit à la date du 15 janvier dans l’école qui l’a exclu, mais bien dans celle qui, le cas échéant, l’accueille après cette exclusion. </w:t>
      </w:r>
    </w:p>
    <w:p>
      <w:pPr>
        <w:pStyle w:val="Corpsdetexte"/>
        <w:autoSpaceDE w:val="0"/>
        <w:autoSpaceDN w:val="0"/>
        <w:adjustRightInd w:val="0"/>
        <w:rPr>
          <w:rFonts w:cs="Times New Roman"/>
          <w:bCs/>
          <w:iCs/>
          <w:spacing w:val="-4"/>
          <w:szCs w:val="22"/>
        </w:rPr>
      </w:pPr>
    </w:p>
    <w:p>
      <w:pPr>
        <w:pStyle w:val="Corpsdetexte"/>
        <w:autoSpaceDE w:val="0"/>
        <w:autoSpaceDN w:val="0"/>
        <w:adjustRightInd w:val="0"/>
        <w:rPr>
          <w:rFonts w:cs="Times New Roman"/>
          <w:bCs/>
          <w:iCs/>
          <w:spacing w:val="-4"/>
          <w:szCs w:val="22"/>
        </w:rPr>
      </w:pPr>
      <w:r>
        <w:rPr>
          <w:rFonts w:cs="Times New Roman"/>
          <w:bCs/>
          <w:iCs/>
          <w:spacing w:val="-4"/>
          <w:szCs w:val="22"/>
        </w:rPr>
        <w:t xml:space="preserve">L’école qui accueille un élève exclu après le 15 janvier doit en informer l’Administration au plus tard le 15 juillet suivant, via le formulaire électronique « Exclusion » (voir le site </w:t>
      </w:r>
      <w:hyperlink r:id="rId76" w:history="1">
        <w:r>
          <w:rPr>
            <w:rStyle w:val="Lienhypertexte"/>
            <w:rFonts w:cs="Times New Roman"/>
            <w:bCs/>
            <w:iCs/>
            <w:color w:val="auto"/>
            <w:spacing w:val="-4"/>
            <w:szCs w:val="22"/>
          </w:rPr>
          <w:t>http://www.am.cfwb.be</w:t>
        </w:r>
      </w:hyperlink>
      <w:r>
        <w:rPr>
          <w:rFonts w:cs="Times New Roman"/>
          <w:bCs/>
          <w:iCs/>
          <w:spacing w:val="-4"/>
          <w:szCs w:val="22"/>
        </w:rPr>
        <w:t xml:space="preserve"> et la </w:t>
      </w:r>
      <w:hyperlink r:id="rId77" w:history="1">
        <w:r>
          <w:rPr>
            <w:rStyle w:val="Lienhypertexte"/>
            <w:rFonts w:cs="Times New Roman"/>
            <w:bCs/>
            <w:iCs/>
            <w:color w:val="auto"/>
            <w:spacing w:val="-4"/>
            <w:szCs w:val="22"/>
          </w:rPr>
          <w:t>circulaire n° 3783</w:t>
        </w:r>
      </w:hyperlink>
      <w:r>
        <w:rPr>
          <w:rFonts w:cs="Times New Roman"/>
          <w:bCs/>
          <w:iCs/>
          <w:spacing w:val="-4"/>
          <w:szCs w:val="22"/>
        </w:rPr>
        <w:t xml:space="preserve"> du 28/10/2011). A défaut, l’élève n’est pas pris en considération pour l’encadrement et le calcul des subventions/dotations de fonctionnement. </w:t>
      </w:r>
    </w:p>
    <w:p>
      <w:pPr>
        <w:pStyle w:val="Corpsdetexte"/>
        <w:autoSpaceDE w:val="0"/>
        <w:autoSpaceDN w:val="0"/>
        <w:adjustRightInd w:val="0"/>
        <w:rPr>
          <w:rFonts w:cs="Times New Roman"/>
          <w:bCs/>
          <w:iCs/>
          <w:spacing w:val="-4"/>
          <w:szCs w:val="22"/>
        </w:rPr>
      </w:pPr>
    </w:p>
    <w:p>
      <w:pPr>
        <w:pStyle w:val="Titre4"/>
      </w:pPr>
      <w:bookmarkStart w:id="625" w:name="_Toc295931994"/>
      <w:bookmarkStart w:id="626" w:name="_Toc423420009"/>
      <w:bookmarkStart w:id="627" w:name="_Toc450645216"/>
      <w:bookmarkStart w:id="628" w:name="_Toc453942452"/>
      <w:bookmarkStart w:id="629" w:name="_Toc454888069"/>
      <w:bookmarkStart w:id="630" w:name="_Toc486241731"/>
      <w:r>
        <w:t>2.6.2.6. Dispositions relatives aux faits graves devant figurer dans le règlement d’ordre intérieur</w:t>
      </w:r>
      <w:r>
        <w:rPr>
          <w:rStyle w:val="Appelnotedebasdep"/>
          <w:b w:val="0"/>
          <w:bCs w:val="0"/>
          <w:i w:val="0"/>
        </w:rPr>
        <w:footnoteReference w:id="34"/>
      </w:r>
      <w:bookmarkEnd w:id="625"/>
      <w:bookmarkEnd w:id="626"/>
      <w:bookmarkEnd w:id="627"/>
      <w:bookmarkEnd w:id="628"/>
      <w:bookmarkEnd w:id="629"/>
      <w:bookmarkEnd w:id="630"/>
    </w:p>
    <w:p>
      <w:pPr>
        <w:rPr>
          <w:sz w:val="16"/>
          <w:szCs w:val="16"/>
        </w:rPr>
      </w:pPr>
    </w:p>
    <w:p>
      <w:pPr>
        <w:pStyle w:val="Corpsdetexte2"/>
        <w:spacing w:after="120"/>
        <w:rPr>
          <w:szCs w:val="22"/>
          <w:lang w:val="fr-BE"/>
        </w:rPr>
      </w:pPr>
      <w:r>
        <w:rPr>
          <w:szCs w:val="22"/>
          <w:lang w:val="fr-BE"/>
        </w:rPr>
        <w:t>Les dispositions suivantes doivent être insérées dans le règlement d’ordre intérieur de tous les établissements scolaires:</w:t>
      </w:r>
    </w:p>
    <w:p>
      <w:pPr>
        <w:pStyle w:val="Corpsdetexte2"/>
        <w:spacing w:after="120"/>
        <w:rPr>
          <w:i/>
          <w:szCs w:val="22"/>
          <w:lang w:val="fr-BE"/>
        </w:rPr>
      </w:pPr>
      <w:r>
        <w:rPr>
          <w:i/>
          <w:szCs w:val="22"/>
          <w:lang w:val="fr-BE"/>
        </w:rPr>
        <w:t xml:space="preserve">« Les faits graves suivants sont considérés comme pouvant justifier l’exclusion définitive prévue aux articles 81 et 89 du </w:t>
      </w:r>
      <w:hyperlink r:id="rId78" w:history="1">
        <w:r>
          <w:rPr>
            <w:rStyle w:val="Lienhypertexte"/>
            <w:i/>
            <w:color w:val="auto"/>
            <w:szCs w:val="22"/>
            <w:lang w:val="fr-BE"/>
          </w:rPr>
          <w:t>Décret-Missions du 24/07/1997</w:t>
        </w:r>
      </w:hyperlink>
      <w:r>
        <w:rPr>
          <w:i/>
          <w:szCs w:val="22"/>
          <w:lang w:val="fr-BE"/>
        </w:rPr>
        <w:t xml:space="preserve"> :</w:t>
      </w:r>
    </w:p>
    <w:p>
      <w:pPr>
        <w:pStyle w:val="Corpsdetexte2"/>
        <w:spacing w:after="40"/>
        <w:ind w:left="356" w:hanging="357"/>
        <w:rPr>
          <w:i/>
          <w:szCs w:val="22"/>
          <w:lang w:val="fr-BE"/>
        </w:rPr>
      </w:pPr>
      <w:r>
        <w:rPr>
          <w:i/>
          <w:szCs w:val="22"/>
          <w:lang w:val="fr-BE"/>
        </w:rPr>
        <w:t>1.</w:t>
      </w:r>
      <w:r>
        <w:rPr>
          <w:i/>
          <w:szCs w:val="22"/>
          <w:lang w:val="fr-BE"/>
        </w:rPr>
        <w:tab/>
        <w:t>dans l’enceinte de l’établissement ou hors de celle-ci:</w:t>
      </w:r>
    </w:p>
    <w:p>
      <w:pPr>
        <w:pStyle w:val="Corpsdetexte2"/>
        <w:numPr>
          <w:ilvl w:val="0"/>
          <w:numId w:val="125"/>
        </w:numPr>
        <w:spacing w:after="20"/>
        <w:ind w:left="713" w:hanging="357"/>
        <w:rPr>
          <w:i/>
          <w:szCs w:val="22"/>
          <w:lang w:val="fr-BE"/>
        </w:rPr>
      </w:pPr>
      <w:r>
        <w:rPr>
          <w:i/>
          <w:szCs w:val="22"/>
          <w:lang w:val="fr-BE"/>
        </w:rPr>
        <w:t>tout coup et blessure porté sciemment par un élève à un autre élève ou à un membre du personnel de l’établissement;</w:t>
      </w:r>
    </w:p>
    <w:p>
      <w:pPr>
        <w:pStyle w:val="Corpsdetexte2"/>
        <w:numPr>
          <w:ilvl w:val="0"/>
          <w:numId w:val="125"/>
        </w:numPr>
        <w:spacing w:after="20"/>
        <w:ind w:left="713" w:hanging="357"/>
        <w:rPr>
          <w:i/>
          <w:szCs w:val="22"/>
          <w:lang w:val="fr-BE"/>
        </w:rPr>
      </w:pPr>
      <w:r>
        <w:rPr>
          <w:i/>
          <w:szCs w:val="22"/>
          <w:lang w:val="fr-BE"/>
        </w:rPr>
        <w:t>le fait d’exercer sciemment et de manière répétée sur un autre élève ou un membre du personnel de l’établissement une pression psychologique insupportable, par menaces, insultes, injures, calomnies ou diffamation;</w:t>
      </w:r>
    </w:p>
    <w:p>
      <w:pPr>
        <w:pStyle w:val="Corpsdetexte2"/>
        <w:numPr>
          <w:ilvl w:val="0"/>
          <w:numId w:val="125"/>
        </w:numPr>
        <w:spacing w:after="20"/>
        <w:ind w:left="713" w:hanging="357"/>
        <w:rPr>
          <w:i/>
          <w:szCs w:val="22"/>
          <w:lang w:val="fr-BE"/>
        </w:rPr>
      </w:pPr>
      <w:r>
        <w:rPr>
          <w:i/>
          <w:szCs w:val="22"/>
          <w:lang w:val="fr-BE"/>
        </w:rPr>
        <w:t>le racket à l’encontre d’un autre élève de l’établissement;</w:t>
      </w:r>
    </w:p>
    <w:p>
      <w:pPr>
        <w:pStyle w:val="Corpsdetexte2"/>
        <w:numPr>
          <w:ilvl w:val="0"/>
          <w:numId w:val="125"/>
        </w:numPr>
        <w:ind w:left="713" w:hanging="357"/>
        <w:rPr>
          <w:i/>
          <w:szCs w:val="22"/>
          <w:lang w:val="fr-BE"/>
        </w:rPr>
      </w:pPr>
      <w:r>
        <w:rPr>
          <w:i/>
          <w:szCs w:val="22"/>
          <w:lang w:val="fr-BE"/>
        </w:rPr>
        <w:t>tout acte de violence sexuelle à l’encontre d’un élève ou d’un membre du personnel de l’établissement;</w:t>
      </w:r>
    </w:p>
    <w:p>
      <w:pPr>
        <w:pStyle w:val="Corpsdetexte2"/>
        <w:rPr>
          <w:i/>
          <w:szCs w:val="22"/>
          <w:lang w:val="fr-BE"/>
        </w:rPr>
      </w:pPr>
    </w:p>
    <w:p>
      <w:pPr>
        <w:pStyle w:val="Corpsdetexte2"/>
        <w:spacing w:after="120"/>
        <w:rPr>
          <w:i/>
          <w:szCs w:val="22"/>
          <w:lang w:val="fr-BE"/>
        </w:rPr>
      </w:pPr>
      <w:r>
        <w:rPr>
          <w:i/>
          <w:szCs w:val="22"/>
          <w:lang w:val="fr-BE"/>
        </w:rPr>
        <w:t>2.</w:t>
      </w:r>
      <w:r>
        <w:rPr>
          <w:i/>
          <w:szCs w:val="22"/>
          <w:lang w:val="fr-BE"/>
        </w:rPr>
        <w:tab/>
        <w:t>dans l’enceinte de l’établissement, sur le chemin de celui-ci ou dans le cadre d’activités scolaires organisées en dehors de l’enceinte de l’école :</w:t>
      </w:r>
    </w:p>
    <w:p>
      <w:pPr>
        <w:pStyle w:val="Corpsdetexte2"/>
        <w:numPr>
          <w:ilvl w:val="0"/>
          <w:numId w:val="126"/>
        </w:numPr>
        <w:spacing w:after="120"/>
        <w:ind w:left="719"/>
        <w:rPr>
          <w:i/>
          <w:szCs w:val="22"/>
          <w:lang w:val="fr-BE"/>
        </w:rPr>
      </w:pPr>
      <w:r>
        <w:rPr>
          <w:i/>
          <w:szCs w:val="22"/>
          <w:lang w:val="fr-BE"/>
        </w:rPr>
        <w:t>la détention ou l’usage d’une arme.</w:t>
      </w:r>
    </w:p>
    <w:p>
      <w:pPr>
        <w:pStyle w:val="Corpsdetexte2"/>
        <w:spacing w:after="120"/>
        <w:rPr>
          <w:i/>
          <w:szCs w:val="22"/>
          <w:lang w:val="fr-BE"/>
        </w:rPr>
      </w:pPr>
      <w:r>
        <w:rPr>
          <w:i/>
          <w:szCs w:val="22"/>
          <w:lang w:val="fr-BE"/>
        </w:rPr>
        <w:t>Chacun de ces actes sera signalé au centre psycho-médico-social de l’établissement dans les délais appropriés, comme prescrit par l’article 29 du décret du 30 juin 1998 visant à assurer à tous les élèves des chances égales d’émancipation sociale, notamment par la mise en œuvre de discriminations positives. »</w:t>
      </w:r>
    </w:p>
    <w:p>
      <w:pPr>
        <w:pStyle w:val="Corpsdetexte2"/>
        <w:rPr>
          <w:i/>
          <w:spacing w:val="-4"/>
          <w:szCs w:val="22"/>
          <w:lang w:val="fr-BE"/>
        </w:rPr>
      </w:pPr>
      <w:r>
        <w:rPr>
          <w:i/>
          <w:spacing w:val="-4"/>
          <w:szCs w:val="22"/>
          <w:lang w:val="fr-BE"/>
        </w:rPr>
        <w:t>Sans préjudice de l’article 30 du Code d’Instruction criminelle, le chef d’établissement signale les faits visés à l’alinéa 1</w:t>
      </w:r>
      <w:r>
        <w:rPr>
          <w:i/>
          <w:spacing w:val="-4"/>
          <w:szCs w:val="22"/>
          <w:vertAlign w:val="superscript"/>
          <w:lang w:val="fr-BE"/>
        </w:rPr>
        <w:t>er</w:t>
      </w:r>
      <w:r>
        <w:rPr>
          <w:i/>
          <w:spacing w:val="-4"/>
          <w:szCs w:val="22"/>
          <w:lang w:val="fr-BE"/>
        </w:rPr>
        <w:t>, en fonction de la gravité de ceux-ci, aux services de police et conseille la victime ou ses responsables légaux, s’il s’agit d’un élève mineur, sur les modalités de dépôt d’une plainte. »</w:t>
      </w:r>
    </w:p>
    <w:p>
      <w:pPr>
        <w:pStyle w:val="Titre2"/>
      </w:pPr>
      <w:bookmarkStart w:id="631" w:name="_Chapitre_2.3._Changements_"/>
      <w:bookmarkStart w:id="632" w:name="_Chapitre_2.7._Gestion"/>
      <w:bookmarkStart w:id="633" w:name="_Toc295931995"/>
      <w:bookmarkStart w:id="634" w:name="_Toc295913737"/>
      <w:bookmarkStart w:id="635" w:name="_Toc272404484"/>
      <w:bookmarkEnd w:id="384"/>
      <w:bookmarkEnd w:id="631"/>
      <w:bookmarkEnd w:id="632"/>
      <w:r>
        <w:br w:type="page"/>
      </w:r>
      <w:bookmarkStart w:id="636" w:name="_Toc423420010"/>
      <w:bookmarkStart w:id="637" w:name="_Toc450645217"/>
      <w:bookmarkStart w:id="638" w:name="_Toc453942453"/>
      <w:bookmarkStart w:id="639" w:name="_Toc454888070"/>
      <w:bookmarkStart w:id="640" w:name="_Toc486241732"/>
      <w:r>
        <w:t>Chapitre 2.7. Gestion des conflits et actes de violence</w:t>
      </w:r>
      <w:bookmarkEnd w:id="633"/>
      <w:bookmarkEnd w:id="634"/>
      <w:bookmarkEnd w:id="636"/>
      <w:bookmarkEnd w:id="637"/>
      <w:bookmarkEnd w:id="638"/>
      <w:bookmarkEnd w:id="639"/>
      <w:bookmarkEnd w:id="640"/>
    </w:p>
    <w:p>
      <w:pPr>
        <w:pStyle w:val="Corpsdetexte"/>
        <w:rPr>
          <w:b/>
          <w:u w:val="single"/>
        </w:rPr>
      </w:pPr>
    </w:p>
    <w:p>
      <w:pPr>
        <w:pStyle w:val="Titre3"/>
      </w:pPr>
      <w:bookmarkStart w:id="641" w:name="_Toc272404487"/>
      <w:bookmarkStart w:id="642" w:name="_Toc295931996"/>
      <w:bookmarkStart w:id="643" w:name="_Toc295913738"/>
      <w:bookmarkStart w:id="644" w:name="_Toc423420011"/>
      <w:bookmarkStart w:id="645" w:name="_Toc450645218"/>
      <w:bookmarkStart w:id="646" w:name="_Toc453942454"/>
      <w:bookmarkStart w:id="647" w:name="_Toc454888071"/>
      <w:bookmarkStart w:id="648" w:name="_Toc486241733"/>
      <w:bookmarkEnd w:id="635"/>
      <w:r>
        <w:t>2.7.1. Assistance en justice et/ou assistance psychologique en faveur des personnes liées à un établissement scolaire ou à un centre psycho-médico-social</w:t>
      </w:r>
      <w:r>
        <w:rPr>
          <w:rStyle w:val="Appelnotedebasdep"/>
        </w:rPr>
        <w:footnoteReference w:id="35"/>
      </w:r>
      <w:bookmarkEnd w:id="641"/>
      <w:bookmarkEnd w:id="642"/>
      <w:bookmarkEnd w:id="643"/>
      <w:bookmarkEnd w:id="644"/>
      <w:bookmarkEnd w:id="645"/>
      <w:bookmarkEnd w:id="646"/>
      <w:bookmarkEnd w:id="647"/>
      <w:bookmarkEnd w:id="648"/>
    </w:p>
    <w:p/>
    <w:p>
      <w:pPr>
        <w:pStyle w:val="Corpsdetexte2"/>
        <w:ind w:left="2834" w:hanging="2835"/>
        <w:rPr>
          <w:b/>
          <w:i/>
          <w:szCs w:val="22"/>
          <w:u w:val="single"/>
        </w:rPr>
      </w:pPr>
    </w:p>
    <w:p>
      <w:pPr>
        <w:autoSpaceDE w:val="0"/>
        <w:autoSpaceDN w:val="0"/>
        <w:adjustRightInd w:val="0"/>
        <w:ind w:left="2124" w:hanging="2124"/>
        <w:jc w:val="both"/>
        <w:rPr>
          <w:rFonts w:cs="Arial"/>
          <w:i/>
          <w:sz w:val="20"/>
          <w:szCs w:val="20"/>
        </w:rPr>
      </w:pPr>
      <w:r>
        <w:rPr>
          <w:b/>
          <w:i/>
          <w:szCs w:val="22"/>
          <w:u w:val="single"/>
        </w:rPr>
        <w:t>Bases légales :</w:t>
      </w:r>
      <w:r>
        <w:rPr>
          <w:b/>
          <w:i/>
          <w:szCs w:val="22"/>
        </w:rPr>
        <w:t xml:space="preserve"> </w:t>
      </w:r>
      <w:r>
        <w:rPr>
          <w:b/>
          <w:i/>
          <w:szCs w:val="22"/>
        </w:rPr>
        <w:tab/>
      </w:r>
      <w:hyperlink r:id="rId79" w:history="1">
        <w:r>
          <w:rPr>
            <w:rStyle w:val="Lienhypertexte"/>
            <w:i/>
            <w:color w:val="auto"/>
            <w:sz w:val="20"/>
            <w:szCs w:val="20"/>
          </w:rPr>
          <w:t>Décret du 21 novembre 2013 organisant divers dispositifs scolaires favorisant le bien-être des jeunes à l’école, l’accrochage scolaire, la prévention de la violence à l’école et l’accompagnement des démarches d’orientation scolaire, articles 56 à 77.</w:t>
        </w:r>
      </w:hyperlink>
    </w:p>
    <w:p>
      <w:pPr>
        <w:pStyle w:val="Titre4"/>
      </w:pPr>
      <w:bookmarkStart w:id="649" w:name="_Toc295931997"/>
      <w:bookmarkStart w:id="650" w:name="_Toc423420012"/>
      <w:bookmarkStart w:id="651" w:name="_Toc450645219"/>
      <w:bookmarkStart w:id="652" w:name="_Toc453942455"/>
      <w:bookmarkStart w:id="653" w:name="_Toc454888072"/>
      <w:bookmarkStart w:id="654" w:name="_Toc486241734"/>
      <w:r>
        <w:t>2.7.1.1. Préambule</w:t>
      </w:r>
      <w:bookmarkEnd w:id="649"/>
      <w:bookmarkEnd w:id="650"/>
      <w:bookmarkEnd w:id="651"/>
      <w:bookmarkEnd w:id="652"/>
      <w:bookmarkEnd w:id="653"/>
      <w:bookmarkEnd w:id="654"/>
    </w:p>
    <w:p>
      <w:pPr>
        <w:pStyle w:val="Corpsdetexte2"/>
        <w:rPr>
          <w:b/>
          <w:szCs w:val="22"/>
          <w:lang w:val="fr-BE"/>
        </w:rPr>
      </w:pPr>
    </w:p>
    <w:p>
      <w:pPr>
        <w:pStyle w:val="Corpsdetexte2"/>
        <w:rPr>
          <w:szCs w:val="22"/>
          <w:lang w:val="fr-BE"/>
        </w:rPr>
      </w:pPr>
      <w:r>
        <w:rPr>
          <w:szCs w:val="22"/>
          <w:lang w:val="fr-BE"/>
        </w:rPr>
        <w:t>Conscient des conséquences pouvant résulter d’une agression, le législateur a instauré des mesures d’assistance en justice et/ou d’assistance psychologique en faveur des personnes liées à un établissement scolaire ou à un centre psycho-médico-social.</w:t>
      </w:r>
    </w:p>
    <w:p>
      <w:pPr>
        <w:pStyle w:val="Corpsdetexte2"/>
        <w:rPr>
          <w:szCs w:val="22"/>
          <w:lang w:val="fr-BE"/>
        </w:rPr>
      </w:pPr>
    </w:p>
    <w:p>
      <w:pPr>
        <w:pStyle w:val="Corpsdetexte2"/>
        <w:rPr>
          <w:szCs w:val="22"/>
          <w:lang w:val="fr-BE"/>
        </w:rPr>
      </w:pPr>
      <w:r>
        <w:rPr>
          <w:szCs w:val="22"/>
          <w:lang w:val="fr-BE"/>
        </w:rPr>
        <w:t>L’introduction de la demande d’assistance doit se faire en respectant un certain nombre de conditions décrites ci-dessous.</w:t>
      </w:r>
    </w:p>
    <w:p>
      <w:pPr>
        <w:pStyle w:val="Corpsdetexte2"/>
        <w:rPr>
          <w:szCs w:val="22"/>
          <w:lang w:val="fr-BE"/>
        </w:rPr>
      </w:pPr>
    </w:p>
    <w:p>
      <w:pPr>
        <w:pStyle w:val="Corpsdetexte2"/>
        <w:rPr>
          <w:szCs w:val="22"/>
          <w:lang w:val="fr-BE"/>
        </w:rPr>
      </w:pPr>
      <w:r>
        <w:rPr>
          <w:szCs w:val="22"/>
          <w:lang w:val="fr-BE"/>
        </w:rPr>
        <w:t>Les demandes d’assistance sont à adresser par lettre recommandée avec accusé de réception au service suivant:</w:t>
      </w:r>
    </w:p>
    <w:p>
      <w:pPr>
        <w:pStyle w:val="Corpsdetexte2"/>
        <w:jc w:val="center"/>
        <w:rPr>
          <w:b/>
          <w:szCs w:val="22"/>
          <w:lang w:val="fr-BE"/>
        </w:rPr>
      </w:pPr>
      <w:r>
        <w:rPr>
          <w:b/>
          <w:szCs w:val="22"/>
          <w:lang w:val="fr-BE"/>
        </w:rPr>
        <w:t>Direction générale de l’Enseignement obligatoire</w:t>
      </w:r>
    </w:p>
    <w:p>
      <w:pPr>
        <w:pStyle w:val="Corpsdetexte2"/>
        <w:jc w:val="center"/>
        <w:rPr>
          <w:b/>
          <w:szCs w:val="22"/>
          <w:lang w:val="fr-BE"/>
        </w:rPr>
      </w:pPr>
      <w:r>
        <w:rPr>
          <w:b/>
          <w:szCs w:val="22"/>
          <w:lang w:val="fr-BE"/>
        </w:rPr>
        <w:t>Service des Inscriptions et de l’Assistance aux établissements scolaires</w:t>
      </w:r>
    </w:p>
    <w:p>
      <w:pPr>
        <w:pStyle w:val="Corpsdetexte2"/>
        <w:jc w:val="center"/>
        <w:rPr>
          <w:b/>
          <w:szCs w:val="22"/>
          <w:lang w:val="fr-BE"/>
        </w:rPr>
      </w:pPr>
      <w:r>
        <w:rPr>
          <w:b/>
          <w:szCs w:val="22"/>
          <w:lang w:val="fr-BE"/>
        </w:rPr>
        <w:t>Rue Lavallée, 1 à 1080 Molenbeek-Saint-Jean</w:t>
      </w:r>
    </w:p>
    <w:p>
      <w:pPr>
        <w:pStyle w:val="Corpsdetexte2"/>
        <w:rPr>
          <w:szCs w:val="22"/>
          <w:lang w:val="fr-BE"/>
        </w:rPr>
      </w:pPr>
    </w:p>
    <w:p>
      <w:pPr>
        <w:pStyle w:val="Corpsdetexte2"/>
        <w:rPr>
          <w:szCs w:val="22"/>
          <w:lang w:val="fr-BE"/>
        </w:rPr>
      </w:pPr>
      <w:r>
        <w:rPr>
          <w:szCs w:val="22"/>
          <w:lang w:val="fr-BE"/>
        </w:rPr>
        <w:t>La victime veillera cependant à ne pas confondre « demande d’assistance en justice et/ou assistance psychologique » avec la « demande d’affectation prioritaire »</w:t>
      </w:r>
      <w:r>
        <w:rPr>
          <w:rStyle w:val="Appelnotedebasdep"/>
          <w:szCs w:val="22"/>
          <w:lang w:val="fr-BE"/>
        </w:rPr>
        <w:footnoteReference w:id="36"/>
      </w:r>
      <w:r>
        <w:rPr>
          <w:szCs w:val="22"/>
          <w:lang w:val="fr-BE"/>
        </w:rPr>
        <w:t>.</w:t>
      </w:r>
    </w:p>
    <w:p>
      <w:pPr>
        <w:pStyle w:val="Corpsdetexte2"/>
        <w:rPr>
          <w:szCs w:val="22"/>
          <w:lang w:val="fr-BE"/>
        </w:rPr>
      </w:pPr>
    </w:p>
    <w:p>
      <w:pPr>
        <w:pStyle w:val="Titre4"/>
      </w:pPr>
      <w:bookmarkStart w:id="655" w:name="Section2_7_1_2"/>
      <w:bookmarkStart w:id="656" w:name="_Toc295931998"/>
      <w:bookmarkStart w:id="657" w:name="_Toc423420013"/>
      <w:bookmarkStart w:id="658" w:name="_Toc450645220"/>
      <w:bookmarkStart w:id="659" w:name="_Toc453942456"/>
      <w:bookmarkStart w:id="660" w:name="_Toc454888073"/>
      <w:bookmarkStart w:id="661" w:name="_Toc486241735"/>
      <w:r>
        <w:t xml:space="preserve">2.7.1.2. </w:t>
      </w:r>
      <w:bookmarkEnd w:id="655"/>
      <w:r>
        <w:t>Procédure de demande d’assistance en justice et/ou psychologique</w:t>
      </w:r>
      <w:bookmarkEnd w:id="656"/>
      <w:bookmarkEnd w:id="657"/>
      <w:bookmarkEnd w:id="658"/>
      <w:bookmarkEnd w:id="659"/>
      <w:bookmarkEnd w:id="660"/>
      <w:bookmarkEnd w:id="661"/>
    </w:p>
    <w:p>
      <w:pPr>
        <w:jc w:val="both"/>
        <w:rPr>
          <w:rStyle w:val="detailtxt1"/>
          <w:rFonts w:ascii="Verdana" w:hAnsi="Verdana"/>
        </w:rPr>
      </w:pPr>
    </w:p>
    <w:p>
      <w:pPr>
        <w:pStyle w:val="Corpsdetexte2"/>
        <w:rPr>
          <w:szCs w:val="22"/>
          <w:lang w:val="fr-BE"/>
        </w:rPr>
      </w:pPr>
      <w:smartTag w:uri="urn:schemas-microsoft-com:office:smarttags" w:element="PersonName">
        <w:smartTagPr>
          <w:attr w:name="ProductID" w:val="la F￩d￩ration Wallonie-Bruxelles"/>
        </w:smartTagPr>
        <w:r>
          <w:rPr>
            <w:szCs w:val="22"/>
            <w:lang w:val="fr-BE"/>
          </w:rPr>
          <w:t>La Fédération Wallonie-Bruxelles</w:t>
        </w:r>
      </w:smartTag>
      <w:r>
        <w:rPr>
          <w:szCs w:val="22"/>
          <w:lang w:val="fr-BE"/>
        </w:rPr>
        <w:t xml:space="preserve"> met à disposition des membres du personnel de l’enseignement une assistance en justice (prise en charge partielle ou totale des honoraires et des frais d’avocat et de procédure) et/ou psychologique (12 séances maximum chez un psychologue et/ou psychiatre).</w:t>
      </w:r>
    </w:p>
    <w:p>
      <w:pPr>
        <w:pStyle w:val="Corpsdetexte2"/>
        <w:rPr>
          <w:szCs w:val="22"/>
          <w:lang w:val="fr-BE"/>
        </w:rPr>
      </w:pPr>
    </w:p>
    <w:p>
      <w:pPr>
        <w:pStyle w:val="Corpsdetexte2"/>
        <w:rPr>
          <w:b/>
          <w:szCs w:val="22"/>
          <w:lang w:val="fr-BE"/>
        </w:rPr>
      </w:pPr>
      <w:r>
        <w:rPr>
          <w:b/>
          <w:szCs w:val="22"/>
          <w:lang w:val="fr-BE"/>
        </w:rPr>
        <w:t>Qui peut en bénéficier ?</w:t>
      </w:r>
    </w:p>
    <w:p>
      <w:pPr>
        <w:pStyle w:val="Corpsdetexte2"/>
        <w:rPr>
          <w:szCs w:val="22"/>
          <w:lang w:val="fr-BE"/>
        </w:rPr>
      </w:pPr>
    </w:p>
    <w:p>
      <w:pPr>
        <w:pStyle w:val="Corpsdetexte2"/>
        <w:rPr>
          <w:szCs w:val="22"/>
          <w:lang w:val="fr-BE"/>
        </w:rPr>
      </w:pPr>
      <w:r>
        <w:rPr>
          <w:szCs w:val="22"/>
          <w:lang w:val="fr-BE"/>
        </w:rPr>
        <w:t>Tout membre du personnel (chef d’établissement, Directeur, enseignant, éducateur, personnel ouvrier et administratif) exerçant sa fonction en tout ou en partie ou chargé d’une mission dans un établissement d’enseignement fondamental ou secondaire, ordinaire ou spécialisé, organisé ou subventionné par la Fédération Wallonie-Bruxelles, ainsi que dans un centre psycho-médico-social organisé ou subventionné par la Fédération Wallonie-Bruxelles, victime de « toute atteinte physique et/ou psychologique commise avec une intention malveillante, toute agression à caractère racial , religieux ou sexiste contre un membre du personnel ainsi que toute détérioration aux biens de celui-ci commise soit par un élève, soit par un tiers sur investigation ou avec la complicité de celui-ci, soit par un membre de la famille de l’élève ou toute personne habitant sous le même toit, dans le cadre du service du membre du personnel ou en relation directe avec celui-ci, soit par toute autre personne n’appartenant pas au personnel de l’établissement, pour autant qu’il soit démontré par la victime que l’acte de violence est en relation directe avec le service ».</w:t>
      </w:r>
    </w:p>
    <w:p>
      <w:pPr>
        <w:pStyle w:val="Corpsdetexte2"/>
        <w:rPr>
          <w:szCs w:val="22"/>
          <w:lang w:val="fr-BE"/>
        </w:rPr>
      </w:pPr>
    </w:p>
    <w:p>
      <w:pPr>
        <w:pStyle w:val="Corpsdetexte2"/>
        <w:rPr>
          <w:szCs w:val="22"/>
          <w:lang w:val="fr-BE"/>
        </w:rPr>
      </w:pPr>
    </w:p>
    <w:p>
      <w:pPr>
        <w:pStyle w:val="Corpsdetexte2"/>
        <w:rPr>
          <w:szCs w:val="22"/>
          <w:lang w:val="fr-BE"/>
        </w:rPr>
      </w:pPr>
    </w:p>
    <w:p>
      <w:pPr>
        <w:pStyle w:val="Corpsdetexte2"/>
        <w:rPr>
          <w:szCs w:val="22"/>
          <w:lang w:val="fr-BE"/>
        </w:rPr>
      </w:pPr>
    </w:p>
    <w:p>
      <w:pPr>
        <w:pStyle w:val="Corpsdetexte2"/>
        <w:rPr>
          <w:b/>
          <w:szCs w:val="22"/>
          <w:lang w:val="fr-BE"/>
        </w:rPr>
      </w:pPr>
      <w:r>
        <w:rPr>
          <w:b/>
          <w:szCs w:val="22"/>
          <w:lang w:val="fr-BE"/>
        </w:rPr>
        <w:t>Conditions à l’octroi de cette aide ?</w:t>
      </w:r>
    </w:p>
    <w:p>
      <w:pPr>
        <w:pStyle w:val="Corpsdetexte2"/>
        <w:rPr>
          <w:szCs w:val="22"/>
          <w:lang w:val="fr-BE"/>
        </w:rPr>
      </w:pPr>
    </w:p>
    <w:p>
      <w:pPr>
        <w:pStyle w:val="Corpsdetexte2"/>
        <w:rPr>
          <w:szCs w:val="22"/>
          <w:lang w:val="fr-BE"/>
        </w:rPr>
      </w:pPr>
      <w:r>
        <w:rPr>
          <w:szCs w:val="22"/>
          <w:lang w:val="fr-BE"/>
        </w:rPr>
        <w:t>- L’auteur du fait de violence ne peut être un membre du personnel de l’établissement scolaire.</w:t>
      </w:r>
    </w:p>
    <w:p>
      <w:pPr>
        <w:pStyle w:val="Corpsdetexte2"/>
        <w:rPr>
          <w:szCs w:val="22"/>
          <w:lang w:val="fr-BE"/>
        </w:rPr>
      </w:pPr>
      <w:r>
        <w:rPr>
          <w:szCs w:val="22"/>
          <w:lang w:val="fr-BE"/>
        </w:rPr>
        <w:t>- Avoir été reconnu victime d’un accident du travail par suite de l’agression.</w:t>
      </w:r>
    </w:p>
    <w:p>
      <w:pPr>
        <w:pStyle w:val="Corpsdetexte2"/>
        <w:rPr>
          <w:szCs w:val="22"/>
          <w:lang w:val="fr-BE"/>
        </w:rPr>
      </w:pPr>
      <w:r>
        <w:rPr>
          <w:szCs w:val="22"/>
          <w:lang w:val="fr-BE"/>
        </w:rPr>
        <w:t>- Avoir déposé plainte auprès des autorités judiciaires.</w:t>
      </w:r>
    </w:p>
    <w:p>
      <w:pPr>
        <w:pStyle w:val="Corpsdetexte2"/>
        <w:rPr>
          <w:szCs w:val="22"/>
          <w:lang w:val="fr-BE"/>
        </w:rPr>
      </w:pPr>
      <w:r>
        <w:rPr>
          <w:szCs w:val="22"/>
          <w:lang w:val="fr-BE"/>
        </w:rPr>
        <w:t xml:space="preserve">- Introduire la demande d’assistance dans le mois qui suit la survenance des faits. </w:t>
      </w:r>
    </w:p>
    <w:p>
      <w:pPr>
        <w:pStyle w:val="Corpsdetexte2"/>
        <w:rPr>
          <w:szCs w:val="22"/>
          <w:lang w:val="fr-BE"/>
        </w:rPr>
      </w:pPr>
    </w:p>
    <w:p>
      <w:pPr>
        <w:pStyle w:val="Corpsdetexte2"/>
        <w:rPr>
          <w:b/>
          <w:szCs w:val="22"/>
          <w:lang w:val="fr-BE"/>
        </w:rPr>
      </w:pPr>
      <w:r>
        <w:rPr>
          <w:b/>
          <w:szCs w:val="22"/>
          <w:lang w:val="fr-BE"/>
        </w:rPr>
        <w:t>Comment introduire une demande ?</w:t>
      </w:r>
    </w:p>
    <w:p>
      <w:pPr>
        <w:pStyle w:val="Corpsdetexte2"/>
        <w:rPr>
          <w:szCs w:val="22"/>
          <w:lang w:val="fr-BE"/>
        </w:rPr>
      </w:pPr>
    </w:p>
    <w:p>
      <w:pPr>
        <w:pStyle w:val="Corpsdetexte2"/>
        <w:rPr>
          <w:szCs w:val="22"/>
          <w:lang w:val="fr-BE"/>
        </w:rPr>
      </w:pPr>
      <w:r>
        <w:rPr>
          <w:szCs w:val="22"/>
          <w:lang w:val="fr-BE"/>
        </w:rPr>
        <w:t xml:space="preserve">Sauf cas de force majeure dûment motivé, la victime introduit, elle-même, la demande par recommandé avec accusé de réception, dans le mois qui suit la survenance des faits, auprès de </w:t>
      </w:r>
      <w:smartTag w:uri="urn:schemas-microsoft-com:office:smarttags" w:element="PersonName">
        <w:smartTagPr>
          <w:attr w:name="ProductID" w:val="la Direction"/>
        </w:smartTagPr>
        <w:r>
          <w:rPr>
            <w:szCs w:val="22"/>
            <w:lang w:val="fr-BE"/>
          </w:rPr>
          <w:t>la Direction</w:t>
        </w:r>
      </w:smartTag>
      <w:r>
        <w:rPr>
          <w:szCs w:val="22"/>
          <w:lang w:val="fr-BE"/>
        </w:rPr>
        <w:t xml:space="preserve"> générale de l’Enseignement obligatoire. </w:t>
      </w:r>
    </w:p>
    <w:p>
      <w:pPr>
        <w:pStyle w:val="Corpsdetexte2"/>
        <w:rPr>
          <w:szCs w:val="22"/>
          <w:lang w:val="fr-BE"/>
        </w:rPr>
      </w:pPr>
      <w:r>
        <w:rPr>
          <w:szCs w:val="22"/>
          <w:lang w:val="fr-BE"/>
        </w:rPr>
        <w:t xml:space="preserve">Dans les mêmes conditions, copie de la demande est adressée au chef d’établissement pour les établissements organisés par </w:t>
      </w:r>
      <w:smartTag w:uri="urn:schemas-microsoft-com:office:smarttags" w:element="PersonName">
        <w:smartTagPr>
          <w:attr w:name="ProductID" w:val="la F￩d￩ration Wallonie-Bruxelles"/>
        </w:smartTagPr>
        <w:r>
          <w:rPr>
            <w:szCs w:val="22"/>
            <w:lang w:val="fr-BE"/>
          </w:rPr>
          <w:t>la Fédération Wallonie-Bruxelles</w:t>
        </w:r>
      </w:smartTag>
      <w:r>
        <w:rPr>
          <w:szCs w:val="22"/>
          <w:lang w:val="fr-BE"/>
        </w:rPr>
        <w:t xml:space="preserve">, au PO pour les établissements subventionnés par </w:t>
      </w:r>
      <w:smartTag w:uri="urn:schemas-microsoft-com:office:smarttags" w:element="PersonName">
        <w:smartTagPr>
          <w:attr w:name="ProductID" w:val="la F￩d￩ration Wallonie-Bruxelles"/>
        </w:smartTagPr>
        <w:r>
          <w:rPr>
            <w:szCs w:val="22"/>
            <w:lang w:val="fr-BE"/>
          </w:rPr>
          <w:t>la Fédération Wallonie-Bruxelles</w:t>
        </w:r>
      </w:smartTag>
      <w:r>
        <w:rPr>
          <w:szCs w:val="22"/>
          <w:lang w:val="fr-BE"/>
        </w:rPr>
        <w:t xml:space="preserve"> et au directeur de centre pour les agents C.P.M.S. </w:t>
      </w:r>
    </w:p>
    <w:p>
      <w:pPr>
        <w:pStyle w:val="Corpsdetexte2"/>
        <w:rPr>
          <w:szCs w:val="22"/>
          <w:lang w:val="fr-BE"/>
        </w:rPr>
      </w:pPr>
      <w:r>
        <w:rPr>
          <w:szCs w:val="22"/>
          <w:lang w:val="fr-BE"/>
        </w:rPr>
        <w:t xml:space="preserve">Le chef d’établissement, le directeur de centre ou le Pouvoir organisateur, selon le cas, fait parvenir son avis à </w:t>
      </w:r>
      <w:smartTag w:uri="urn:schemas-microsoft-com:office:smarttags" w:element="PersonName">
        <w:smartTagPr>
          <w:attr w:name="ProductID" w:val="la Direction"/>
        </w:smartTagPr>
        <w:r>
          <w:rPr>
            <w:szCs w:val="22"/>
            <w:lang w:val="fr-BE"/>
          </w:rPr>
          <w:t>la Direction</w:t>
        </w:r>
      </w:smartTag>
      <w:r>
        <w:rPr>
          <w:szCs w:val="22"/>
          <w:lang w:val="fr-BE"/>
        </w:rPr>
        <w:t xml:space="preserve"> générale de l’enseignement obligatoire, dans les trois jours ouvrables de la réception de la copie de la demande.</w:t>
      </w:r>
    </w:p>
    <w:p>
      <w:pPr>
        <w:pStyle w:val="Corpsdetexte2"/>
        <w:rPr>
          <w:szCs w:val="22"/>
          <w:lang w:val="fr-BE"/>
        </w:rPr>
      </w:pPr>
    </w:p>
    <w:p>
      <w:pPr>
        <w:pStyle w:val="Corpsdetexte2"/>
        <w:rPr>
          <w:szCs w:val="22"/>
          <w:lang w:val="fr-BE"/>
        </w:rPr>
      </w:pPr>
      <w:r>
        <w:rPr>
          <w:szCs w:val="22"/>
          <w:lang w:val="fr-BE"/>
        </w:rPr>
        <w:t>La demande indique, dans la mesure du possible, les causes, les circonstances et les conséquences probables de l’acte de violence. En outre, il faut joindre les documents suivants :</w:t>
      </w:r>
    </w:p>
    <w:p>
      <w:pPr>
        <w:pStyle w:val="Corpsdetexte2"/>
        <w:numPr>
          <w:ilvl w:val="0"/>
          <w:numId w:val="126"/>
        </w:numPr>
        <w:rPr>
          <w:szCs w:val="22"/>
          <w:lang w:val="fr-BE"/>
        </w:rPr>
      </w:pPr>
      <w:r>
        <w:rPr>
          <w:szCs w:val="22"/>
          <w:lang w:val="fr-BE"/>
        </w:rPr>
        <w:t>une copie de la plainte déposée auprès de l’autorité judiciaire ;</w:t>
      </w:r>
    </w:p>
    <w:p>
      <w:pPr>
        <w:pStyle w:val="Corpsdetexte2"/>
        <w:numPr>
          <w:ilvl w:val="0"/>
          <w:numId w:val="126"/>
        </w:numPr>
        <w:rPr>
          <w:szCs w:val="22"/>
          <w:lang w:val="fr-BE"/>
        </w:rPr>
      </w:pPr>
      <w:r>
        <w:rPr>
          <w:szCs w:val="22"/>
          <w:lang w:val="fr-BE"/>
        </w:rPr>
        <w:t xml:space="preserve">l’attestation de </w:t>
      </w:r>
      <w:smartTag w:uri="urn:schemas-microsoft-com:office:smarttags" w:element="PersonName">
        <w:smartTagPr>
          <w:attr w:name="ProductID" w:val="la Direction"/>
        </w:smartTagPr>
        <w:r>
          <w:rPr>
            <w:szCs w:val="22"/>
            <w:lang w:val="fr-BE"/>
          </w:rPr>
          <w:t>la Direction</w:t>
        </w:r>
      </w:smartTag>
      <w:r>
        <w:rPr>
          <w:szCs w:val="22"/>
          <w:lang w:val="fr-BE"/>
        </w:rPr>
        <w:t xml:space="preserve"> des Accidents du Travail des personnels de l’Enseignement reconnaissant l’intéressé(e) victime d’un accident de travail résultant de l’acte de violence ;</w:t>
      </w:r>
    </w:p>
    <w:p>
      <w:pPr>
        <w:pStyle w:val="Corpsdetexte2"/>
        <w:numPr>
          <w:ilvl w:val="0"/>
          <w:numId w:val="126"/>
        </w:numPr>
        <w:rPr>
          <w:szCs w:val="22"/>
          <w:lang w:val="fr-BE"/>
        </w:rPr>
      </w:pPr>
      <w:r>
        <w:rPr>
          <w:szCs w:val="22"/>
          <w:lang w:val="fr-BE"/>
        </w:rPr>
        <w:t xml:space="preserve">l’avis du Pouvoir organisateur ou du chef d’établissement. </w:t>
      </w:r>
    </w:p>
    <w:p>
      <w:pPr>
        <w:pStyle w:val="Corpsdetexte2"/>
        <w:rPr>
          <w:szCs w:val="22"/>
          <w:lang w:val="fr-BE"/>
        </w:rPr>
      </w:pPr>
    </w:p>
    <w:p>
      <w:pPr>
        <w:pStyle w:val="Corpsdetexte2"/>
        <w:rPr>
          <w:b/>
          <w:szCs w:val="22"/>
          <w:u w:val="single"/>
          <w:lang w:val="fr-BE"/>
        </w:rPr>
      </w:pPr>
      <w:r>
        <w:rPr>
          <w:b/>
          <w:szCs w:val="22"/>
          <w:u w:val="single"/>
          <w:lang w:val="fr-BE"/>
        </w:rPr>
        <w:t xml:space="preserve">Remarque </w:t>
      </w:r>
    </w:p>
    <w:p>
      <w:pPr>
        <w:pStyle w:val="Corpsdetexte2"/>
        <w:rPr>
          <w:szCs w:val="22"/>
          <w:lang w:val="fr-BE"/>
        </w:rPr>
      </w:pPr>
      <w:r>
        <w:rPr>
          <w:szCs w:val="22"/>
          <w:lang w:val="fr-BE"/>
        </w:rPr>
        <w:t xml:space="preserve">Il importe peu que la victime possède ou non tous les documents requis au moment de l’introduction de sa demande, le principal étant que la demande soit envoyée dans le mois qui suit la survenance des faits. Les documents manquants peuvent être transmis ultérieurement à la demande sans date limite. </w:t>
      </w:r>
    </w:p>
    <w:p>
      <w:pPr>
        <w:pStyle w:val="Corpsdetexte2"/>
        <w:rPr>
          <w:szCs w:val="22"/>
          <w:lang w:val="fr-BE"/>
        </w:rPr>
      </w:pPr>
    </w:p>
    <w:p>
      <w:pPr>
        <w:pStyle w:val="Corpsdetexte2"/>
        <w:rPr>
          <w:szCs w:val="22"/>
          <w:lang w:val="fr-BE"/>
        </w:rPr>
      </w:pPr>
      <w:r>
        <w:rPr>
          <w:b/>
          <w:szCs w:val="22"/>
          <w:lang w:val="fr-BE"/>
        </w:rPr>
        <w:t xml:space="preserve">Plus d’information sur la procédure ? </w:t>
      </w:r>
      <w:r>
        <w:rPr>
          <w:szCs w:val="22"/>
          <w:lang w:val="fr-BE"/>
        </w:rPr>
        <w:t xml:space="preserve">Assistance Ecoles au </w:t>
      </w:r>
      <w:r>
        <w:rPr>
          <w:b/>
          <w:szCs w:val="22"/>
          <w:lang w:val="fr-BE"/>
        </w:rPr>
        <w:t>N°</w:t>
      </w:r>
      <w:r>
        <w:rPr>
          <w:szCs w:val="22"/>
          <w:lang w:val="fr-BE"/>
        </w:rPr>
        <w:t xml:space="preserve"> </w:t>
      </w:r>
      <w:r>
        <w:rPr>
          <w:b/>
          <w:szCs w:val="22"/>
          <w:lang w:val="fr-BE"/>
        </w:rPr>
        <w:t>0800/20 410</w:t>
      </w:r>
      <w:r>
        <w:rPr>
          <w:szCs w:val="22"/>
          <w:lang w:val="fr-BE"/>
        </w:rPr>
        <w:t xml:space="preserve"> ou Mme Mélanie VAN CAEYZEELE (02/690.83.21). </w:t>
      </w:r>
    </w:p>
    <w:p>
      <w:pPr>
        <w:rPr>
          <w:b/>
          <w:i/>
          <w:iCs/>
          <w:sz w:val="18"/>
          <w:u w:val="single"/>
        </w:rPr>
      </w:pPr>
    </w:p>
    <w:p>
      <w:pPr>
        <w:rPr>
          <w:b/>
          <w:i/>
          <w:iCs/>
          <w:sz w:val="18"/>
          <w:u w:val="single"/>
        </w:rPr>
      </w:pPr>
    </w:p>
    <w:p>
      <w:pPr>
        <w:pStyle w:val="Titre3"/>
      </w:pPr>
      <w:bookmarkStart w:id="662" w:name="Section2_7_2"/>
      <w:bookmarkStart w:id="663" w:name="_Toc423420014"/>
      <w:bookmarkStart w:id="664" w:name="_Toc450645221"/>
      <w:bookmarkStart w:id="665" w:name="_Toc453942457"/>
      <w:bookmarkStart w:id="666" w:name="_Toc454888074"/>
      <w:bookmarkStart w:id="667" w:name="_Toc486241736"/>
      <w:r>
        <w:t>2.7.2.</w:t>
      </w:r>
      <w:bookmarkEnd w:id="662"/>
      <w:r>
        <w:t xml:space="preserve"> Le Service des équipes mobiles</w:t>
      </w:r>
      <w:bookmarkEnd w:id="663"/>
      <w:bookmarkEnd w:id="664"/>
      <w:bookmarkEnd w:id="665"/>
      <w:bookmarkEnd w:id="666"/>
      <w:bookmarkEnd w:id="667"/>
    </w:p>
    <w:p>
      <w:pPr>
        <w:rPr>
          <w:lang w:val="fr-BE"/>
        </w:rPr>
      </w:pPr>
    </w:p>
    <w:p>
      <w:pPr>
        <w:jc w:val="both"/>
        <w:rPr>
          <w:lang w:val="fr-BE"/>
        </w:rPr>
      </w:pPr>
      <w:r>
        <w:rPr>
          <w:lang w:val="fr-BE"/>
        </w:rPr>
        <w:t xml:space="preserve">Le </w:t>
      </w:r>
      <w:r>
        <w:rPr>
          <w:b/>
          <w:u w:val="single"/>
          <w:lang w:val="fr-BE"/>
        </w:rPr>
        <w:t>Service des équipes mobiles</w:t>
      </w:r>
      <w:r>
        <w:rPr>
          <w:lang w:val="fr-BE"/>
        </w:rPr>
        <w:t xml:space="preserve"> intervient </w:t>
      </w:r>
      <w:r>
        <w:rPr>
          <w:u w:val="single"/>
          <w:lang w:val="fr-BE"/>
        </w:rPr>
        <w:t>à la demande</w:t>
      </w:r>
      <w:r>
        <w:rPr>
          <w:lang w:val="fr-BE"/>
        </w:rPr>
        <w:t xml:space="preserve"> du Gouvernement ou du chef d’établissement dans l’enseignement organisé par </w:t>
      </w:r>
      <w:smartTag w:uri="urn:schemas-microsoft-com:office:smarttags" w:element="PersonName">
        <w:smartTagPr>
          <w:attr w:name="ProductID" w:val="la F￩d￩ration Wallonie-Bruxelles"/>
        </w:smartTagPr>
        <w:r>
          <w:rPr>
            <w:lang w:val="fr-BE"/>
          </w:rPr>
          <w:t>la Fédération Wallonie-Bruxelles</w:t>
        </w:r>
      </w:smartTag>
      <w:r>
        <w:rPr>
          <w:lang w:val="fr-BE"/>
        </w:rPr>
        <w:t xml:space="preserve"> et à la demande du Pouvoir organisateur dans l’enseignement subventionné</w:t>
      </w:r>
      <w:r>
        <w:rPr>
          <w:rStyle w:val="Appelnotedebasdep"/>
          <w:lang w:val="fr-BE"/>
        </w:rPr>
        <w:footnoteReference w:id="37"/>
      </w:r>
      <w:r>
        <w:rPr>
          <w:lang w:val="fr-BE"/>
        </w:rPr>
        <w:t xml:space="preserve">. Pour faire intervenir les équipes mobiles, il est impératif d’envoyer la demande </w:t>
      </w:r>
      <w:r>
        <w:rPr>
          <w:u w:val="single"/>
          <w:lang w:val="fr-BE"/>
        </w:rPr>
        <w:t>motivée</w:t>
      </w:r>
      <w:r>
        <w:rPr>
          <w:lang w:val="fr-BE"/>
        </w:rPr>
        <w:t xml:space="preserve"> par courrier (Rue A. Lavallée, 1 1080 BRUXELLES), courriel (</w:t>
      </w:r>
      <w:hyperlink r:id="rId80" w:history="1">
        <w:r>
          <w:rPr>
            <w:rStyle w:val="Lienhypertexte"/>
            <w:color w:val="auto"/>
            <w:lang w:val="fr-BE"/>
          </w:rPr>
          <w:t>equipemobile@cfwb.be</w:t>
        </w:r>
      </w:hyperlink>
      <w:r>
        <w:rPr>
          <w:lang w:val="fr-BE"/>
        </w:rPr>
        <w:t xml:space="preserve">) ou fax (02/600.09.75) directement à </w:t>
      </w:r>
      <w:smartTag w:uri="urn:schemas-microsoft-com:office:smarttags" w:element="PersonName">
        <w:smartTagPr>
          <w:attr w:name="ProductID" w:val="la Direction"/>
        </w:smartTagPr>
        <w:r>
          <w:rPr>
            <w:lang w:val="fr-BE"/>
          </w:rPr>
          <w:t>la Direction</w:t>
        </w:r>
      </w:smartTag>
      <w:r>
        <w:rPr>
          <w:lang w:val="fr-BE"/>
        </w:rPr>
        <w:t xml:space="preserve"> générale de l’Enseignement obligatoire.</w:t>
      </w:r>
    </w:p>
    <w:p>
      <w:pPr>
        <w:jc w:val="both"/>
        <w:rPr>
          <w:lang w:val="fr-BE"/>
        </w:rPr>
      </w:pPr>
    </w:p>
    <w:p>
      <w:pPr>
        <w:jc w:val="both"/>
        <w:rPr>
          <w:lang w:val="fr-BE"/>
        </w:rPr>
      </w:pPr>
      <w:r>
        <w:rPr>
          <w:lang w:val="fr-BE"/>
        </w:rPr>
        <w:t xml:space="preserve">La seule exception à ce schéma est lorsqu’une école doit faire face à une situation d’urgence (nécessité d’un accompagnement psycho-social). Dans ce cas uniquement, la demande peut se faire par téléphone au 0473/94.84.11 et la demande écrite devra parvenir ultérieurement. </w:t>
      </w:r>
    </w:p>
    <w:p>
      <w:pPr>
        <w:jc w:val="both"/>
        <w:rPr>
          <w:lang w:val="fr-BE"/>
        </w:rPr>
      </w:pPr>
    </w:p>
    <w:p>
      <w:pPr>
        <w:jc w:val="both"/>
        <w:rPr>
          <w:lang w:val="fr-BE"/>
        </w:rPr>
      </w:pPr>
      <w:r>
        <w:rPr>
          <w:lang w:val="fr-BE"/>
        </w:rPr>
        <w:t xml:space="preserve">Le </w:t>
      </w:r>
      <w:r>
        <w:rPr>
          <w:b/>
          <w:lang w:val="fr-BE"/>
        </w:rPr>
        <w:t>Service des équipes mobiles</w:t>
      </w:r>
      <w:r>
        <w:rPr>
          <w:lang w:val="fr-BE"/>
        </w:rPr>
        <w:t xml:space="preserve"> intervient :</w:t>
      </w:r>
    </w:p>
    <w:p>
      <w:pPr>
        <w:pStyle w:val="Paragraphedeliste"/>
        <w:numPr>
          <w:ilvl w:val="0"/>
          <w:numId w:val="191"/>
        </w:numPr>
        <w:jc w:val="both"/>
        <w:rPr>
          <w:lang w:val="fr-BE"/>
        </w:rPr>
      </w:pPr>
      <w:r>
        <w:rPr>
          <w:lang w:val="fr-BE"/>
        </w:rPr>
        <w:t>dans des situations de crise, c’est-à-dire quand l’établissement scolaire est confronté à une situation l’affectant à la suite d’un fait précis ayant pour conséquence une rupture dans le bon fonctionnement de l’établissement ;</w:t>
      </w:r>
    </w:p>
    <w:p>
      <w:pPr>
        <w:pStyle w:val="Paragraphedeliste"/>
        <w:numPr>
          <w:ilvl w:val="0"/>
          <w:numId w:val="191"/>
        </w:numPr>
        <w:jc w:val="both"/>
        <w:rPr>
          <w:lang w:val="fr-BE"/>
        </w:rPr>
      </w:pPr>
      <w:r>
        <w:rPr>
          <w:lang w:val="fr-BE"/>
        </w:rPr>
        <w:t>afin de permettre la reprise du dialogue au sein d’un établissement qui a connu une situation de crise ;</w:t>
      </w:r>
    </w:p>
    <w:p>
      <w:pPr>
        <w:pStyle w:val="Paragraphedeliste"/>
        <w:numPr>
          <w:ilvl w:val="0"/>
          <w:numId w:val="191"/>
        </w:numPr>
        <w:jc w:val="both"/>
        <w:rPr>
          <w:lang w:val="fr-BE"/>
        </w:rPr>
      </w:pPr>
      <w:r>
        <w:rPr>
          <w:lang w:val="fr-BE"/>
        </w:rPr>
        <w:t>de manière anticipative, lorsque l’équipe éducative souhaite se préparer à réagir en situation de crise ;</w:t>
      </w:r>
    </w:p>
    <w:p>
      <w:pPr>
        <w:pStyle w:val="Paragraphedeliste"/>
        <w:numPr>
          <w:ilvl w:val="0"/>
          <w:numId w:val="191"/>
        </w:numPr>
        <w:jc w:val="both"/>
        <w:rPr>
          <w:lang w:val="fr-BE"/>
        </w:rPr>
      </w:pPr>
      <w:r>
        <w:rPr>
          <w:lang w:val="fr-BE"/>
        </w:rPr>
        <w:t>en cas d’absentéisme dans l’enseignement fondamental ;</w:t>
      </w:r>
    </w:p>
    <w:p>
      <w:pPr>
        <w:pStyle w:val="Paragraphedeliste"/>
        <w:numPr>
          <w:ilvl w:val="0"/>
          <w:numId w:val="191"/>
        </w:numPr>
        <w:jc w:val="both"/>
        <w:rPr>
          <w:lang w:val="fr-BE"/>
        </w:rPr>
      </w:pPr>
      <w:r>
        <w:rPr>
          <w:lang w:val="fr-BE"/>
        </w:rPr>
        <w:t>en cas de décrochage scolaire ;</w:t>
      </w:r>
    </w:p>
    <w:p>
      <w:pPr>
        <w:pStyle w:val="Paragraphedeliste"/>
        <w:numPr>
          <w:ilvl w:val="0"/>
          <w:numId w:val="191"/>
        </w:numPr>
        <w:jc w:val="both"/>
        <w:rPr>
          <w:lang w:val="fr-BE"/>
        </w:rPr>
      </w:pPr>
      <w:r>
        <w:rPr>
          <w:lang w:val="fr-BE"/>
        </w:rPr>
        <w:t xml:space="preserve">lors d’inquiétudes liées à une possible radicalisation. </w:t>
      </w:r>
    </w:p>
    <w:p>
      <w:pPr>
        <w:rPr>
          <w:lang w:val="fr-BE"/>
        </w:rPr>
      </w:pPr>
    </w:p>
    <w:p>
      <w:pPr>
        <w:rPr>
          <w:lang w:val="fr-BE"/>
        </w:rPr>
      </w:pPr>
    </w:p>
    <w:p>
      <w:pPr>
        <w:pStyle w:val="Titre3"/>
      </w:pPr>
      <w:bookmarkStart w:id="668" w:name="_2.7.2._Les_équipes"/>
      <w:bookmarkStart w:id="669" w:name="_Toc423420015"/>
      <w:bookmarkStart w:id="670" w:name="_Toc450645222"/>
      <w:bookmarkStart w:id="671" w:name="_Toc453942458"/>
      <w:bookmarkStart w:id="672" w:name="_Toc454888075"/>
      <w:bookmarkStart w:id="673" w:name="_Toc486241737"/>
      <w:bookmarkEnd w:id="668"/>
      <w:r>
        <w:t>2.7.3. Collaboration avec les services de police</w:t>
      </w:r>
      <w:bookmarkEnd w:id="669"/>
      <w:bookmarkEnd w:id="670"/>
      <w:bookmarkEnd w:id="671"/>
      <w:bookmarkEnd w:id="672"/>
      <w:bookmarkEnd w:id="673"/>
    </w:p>
    <w:p>
      <w:pPr>
        <w:rPr>
          <w:lang w:val="fr-BE"/>
        </w:rPr>
      </w:pPr>
    </w:p>
    <w:p>
      <w:pPr>
        <w:jc w:val="both"/>
        <w:rPr>
          <w:rFonts w:cs="Arial"/>
          <w:b/>
          <w:i/>
          <w:iCs/>
          <w:lang w:val="fr-BE"/>
        </w:rPr>
      </w:pPr>
      <w:r>
        <w:rPr>
          <w:rFonts w:cs="Arial"/>
          <w:b/>
          <w:i/>
          <w:iCs/>
        </w:rPr>
        <w:t xml:space="preserve">Conçu pour l'enseignement organisé par </w:t>
      </w:r>
      <w:smartTag w:uri="urn:schemas-microsoft-com:office:smarttags" w:element="PersonName">
        <w:smartTagPr>
          <w:attr w:name="ProductID" w:val="la F￩d￩ration Wallonie-Bruxelles"/>
        </w:smartTagPr>
        <w:r>
          <w:rPr>
            <w:rFonts w:cs="Arial"/>
            <w:b/>
            <w:i/>
            <w:iCs/>
          </w:rPr>
          <w:t>la Fédération Wallonie-Bruxelles</w:t>
        </w:r>
      </w:smartTag>
      <w:r>
        <w:rPr>
          <w:rFonts w:cs="Arial"/>
          <w:b/>
          <w:i/>
          <w:iCs/>
        </w:rPr>
        <w:t>, ce point est inséré à titre informatif pour l’enseignement subventionné.</w:t>
      </w:r>
    </w:p>
    <w:p>
      <w:pPr>
        <w:jc w:val="both"/>
        <w:rPr>
          <w:rFonts w:cs="Arial"/>
          <w:sz w:val="6"/>
          <w:szCs w:val="6"/>
          <w:lang w:val="fr-BE"/>
        </w:rPr>
      </w:pPr>
    </w:p>
    <w:p>
      <w:pPr>
        <w:jc w:val="both"/>
        <w:rPr>
          <w:rFonts w:cs="Arial"/>
          <w:lang w:val="fr-BE"/>
        </w:rPr>
      </w:pPr>
      <w:r>
        <w:rPr>
          <w:rFonts w:cs="Arial"/>
          <w:lang w:val="fr-BE"/>
        </w:rPr>
        <w:t>En juillet 2006, le Ministre de l’Intérieur publiait une circulaire relative à la collaboration de la police avec les établissements scolaires, ci-après dénommée circulaire PLP 41</w:t>
      </w:r>
      <w:r>
        <w:rPr>
          <w:rStyle w:val="Appelnotedebasdep"/>
          <w:rFonts w:cs="Arial"/>
          <w:lang w:val="fr-BE"/>
        </w:rPr>
        <w:footnoteReference w:id="38"/>
      </w:r>
      <w:r>
        <w:rPr>
          <w:rFonts w:cs="Arial"/>
          <w:lang w:val="fr-BE"/>
        </w:rPr>
        <w:t>. Cette circulaire définit un certain nombre d’objectifs et de moyens pour les atteindre, parmi lesquels la conclusion de conventions (protocoles de sécurité) entre différents intervenants dont les chefs d’établissement.</w:t>
      </w:r>
    </w:p>
    <w:p>
      <w:pPr>
        <w:jc w:val="both"/>
        <w:rPr>
          <w:rFonts w:cs="Arial"/>
          <w:sz w:val="6"/>
          <w:szCs w:val="6"/>
          <w:lang w:val="fr-BE"/>
        </w:rPr>
      </w:pPr>
    </w:p>
    <w:p>
      <w:pPr>
        <w:jc w:val="both"/>
        <w:rPr>
          <w:rFonts w:cs="Arial"/>
          <w:sz w:val="6"/>
          <w:szCs w:val="6"/>
          <w:lang w:val="fr-BE"/>
        </w:rPr>
      </w:pPr>
    </w:p>
    <w:p>
      <w:pPr>
        <w:jc w:val="both"/>
        <w:rPr>
          <w:rFonts w:cs="Arial"/>
          <w:lang w:val="fr-BE"/>
        </w:rPr>
      </w:pPr>
      <w:r>
        <w:rPr>
          <w:lang w:val="fr-BE"/>
        </w:rPr>
        <w:t>Un modèle de base de protocole de collaboration avec les services de police est proposé à l'</w:t>
      </w:r>
      <w:hyperlink w:anchor="Annexe_2_7" w:history="1">
        <w:r>
          <w:rPr>
            <w:rStyle w:val="Lienhypertexte"/>
            <w:rFonts w:cs="Arial"/>
            <w:color w:val="auto"/>
            <w:lang w:val="fr-BE"/>
          </w:rPr>
          <w:t>annexe 2.7.</w:t>
        </w:r>
      </w:hyperlink>
      <w:bookmarkStart w:id="674" w:name="_Toc166476038"/>
      <w:bookmarkStart w:id="675" w:name="_Toc166930672"/>
    </w:p>
    <w:p>
      <w:pPr>
        <w:pStyle w:val="Titre8"/>
        <w:numPr>
          <w:ilvl w:val="0"/>
          <w:numId w:val="126"/>
        </w:numPr>
      </w:pPr>
      <w:r>
        <w:t>Principe de base: la liberté de conclure</w:t>
      </w:r>
      <w:bookmarkEnd w:id="674"/>
      <w:bookmarkEnd w:id="675"/>
      <w:r>
        <w:t xml:space="preserve"> ou de ne pas conclure</w:t>
      </w:r>
    </w:p>
    <w:p>
      <w:pPr>
        <w:rPr>
          <w:rFonts w:cs="Arial"/>
          <w:sz w:val="16"/>
          <w:szCs w:val="16"/>
        </w:rPr>
      </w:pPr>
    </w:p>
    <w:p>
      <w:pPr>
        <w:pStyle w:val="Corpsdetexte"/>
        <w:rPr>
          <w:spacing w:val="0"/>
          <w:lang w:val="fr-BE"/>
        </w:rPr>
      </w:pPr>
      <w:r>
        <w:rPr>
          <w:b/>
          <w:bCs/>
          <w:i/>
          <w:iCs/>
          <w:spacing w:val="0"/>
          <w:lang w:val="fr-BE"/>
        </w:rPr>
        <w:t>Avant toute chose, l’opportunité de conclure ces conventions relève de l’appréciation du chef d’établissement.</w:t>
      </w:r>
      <w:r>
        <w:rPr>
          <w:spacing w:val="0"/>
          <w:lang w:val="fr-BE"/>
        </w:rPr>
        <w:t xml:space="preserve"> Il s’agit d’apprécier ce que peut apporter la conclusion de la convention compte tenu du contexte dans lequel travaille l’établissement et des négociations préalables.</w:t>
      </w:r>
    </w:p>
    <w:p>
      <w:pPr>
        <w:jc w:val="both"/>
        <w:rPr>
          <w:rFonts w:cs="Arial"/>
          <w:sz w:val="6"/>
          <w:szCs w:val="6"/>
          <w:lang w:val="fr-BE"/>
        </w:rPr>
      </w:pPr>
    </w:p>
    <w:p>
      <w:pPr>
        <w:pStyle w:val="Corpsdetexte"/>
        <w:rPr>
          <w:spacing w:val="0"/>
          <w:lang w:val="fr-BE"/>
        </w:rPr>
      </w:pPr>
      <w:r>
        <w:rPr>
          <w:spacing w:val="0"/>
          <w:lang w:val="fr-BE"/>
        </w:rPr>
        <w:t>On notera que l’absence de convention n’exclut pas le recours au point de contact de la police, ni des collaborations plus ponctuelles dans le cadre de campagnes de prévention.  Ces deux aspects – désignation d’un point de contact et politique préventive – sont en effet imposés aux zones de police par la circulaire PLP 41.</w:t>
      </w:r>
    </w:p>
    <w:p>
      <w:pPr>
        <w:pStyle w:val="Titre8"/>
        <w:numPr>
          <w:ilvl w:val="0"/>
          <w:numId w:val="126"/>
        </w:numPr>
      </w:pPr>
      <w:bookmarkStart w:id="676" w:name="_Toc166476042"/>
      <w:bookmarkStart w:id="677" w:name="_Toc166930676"/>
      <w:bookmarkStart w:id="678" w:name="_Toc167618968"/>
      <w:bookmarkStart w:id="679" w:name="_Toc170010387"/>
      <w:bookmarkStart w:id="680" w:name="_Toc172713821"/>
      <w:bookmarkStart w:id="681" w:name="_Toc272404486"/>
      <w:r>
        <w:t>Procédure</w:t>
      </w:r>
      <w:bookmarkEnd w:id="676"/>
      <w:bookmarkEnd w:id="677"/>
      <w:bookmarkEnd w:id="678"/>
      <w:bookmarkEnd w:id="679"/>
      <w:bookmarkEnd w:id="680"/>
      <w:bookmarkEnd w:id="681"/>
    </w:p>
    <w:p>
      <w:pPr>
        <w:rPr>
          <w:rFonts w:cs="Arial"/>
          <w:sz w:val="16"/>
          <w:szCs w:val="16"/>
        </w:rPr>
      </w:pPr>
    </w:p>
    <w:p>
      <w:pPr>
        <w:jc w:val="both"/>
        <w:rPr>
          <w:rFonts w:cs="Arial"/>
          <w:lang w:val="fr-BE"/>
        </w:rPr>
      </w:pPr>
      <w:r>
        <w:rPr>
          <w:rFonts w:cs="Arial"/>
          <w:lang w:val="fr-BE"/>
        </w:rPr>
        <w:t xml:space="preserve">La décision de conclure ou non une convention relève de l’appréciation du chef d’établissement, lorsque celui-ci estime une telle convention opportune, il doit motiver par écrit sa décision. Cette motivation permettra à </w:t>
      </w:r>
      <w:smartTag w:uri="urn:schemas-microsoft-com:office:smarttags" w:element="PersonName">
        <w:smartTagPr>
          <w:attr w:name="ProductID" w:val="la Direction"/>
        </w:smartTagPr>
        <w:r>
          <w:rPr>
            <w:rFonts w:cs="Arial"/>
            <w:lang w:val="fr-BE"/>
          </w:rPr>
          <w:t>la Direction</w:t>
        </w:r>
      </w:smartTag>
      <w:r>
        <w:rPr>
          <w:rFonts w:cs="Arial"/>
          <w:lang w:val="fr-BE"/>
        </w:rPr>
        <w:t xml:space="preserve"> générale et, le cas échéant, au Ministre de l’Enseignement obligatoire de mieux cerner le contexte dans lequel s’inscrit la convention. </w:t>
      </w:r>
    </w:p>
    <w:p>
      <w:pPr>
        <w:jc w:val="both"/>
        <w:rPr>
          <w:rFonts w:cs="Arial"/>
          <w:lang w:val="fr-BE"/>
        </w:rPr>
      </w:pPr>
    </w:p>
    <w:p>
      <w:pPr>
        <w:jc w:val="both"/>
        <w:rPr>
          <w:rFonts w:cs="Arial"/>
          <w:lang w:val="fr-BE"/>
        </w:rPr>
      </w:pPr>
      <w:r>
        <w:rPr>
          <w:rFonts w:cs="Arial"/>
          <w:lang w:val="fr-BE"/>
        </w:rPr>
        <w:t>Lorsqu’il a mené à bien les négociations préalables, il communique, préalablement à la signature, le projet</w:t>
      </w:r>
      <w:r>
        <w:rPr>
          <w:rStyle w:val="Appelnotedebasdep"/>
          <w:rFonts w:cs="Arial"/>
          <w:lang w:val="fr-BE"/>
        </w:rPr>
        <w:footnoteReference w:id="39"/>
      </w:r>
      <w:r>
        <w:rPr>
          <w:rFonts w:cs="Arial"/>
          <w:lang w:val="fr-BE"/>
        </w:rPr>
        <w:t xml:space="preserve">, accompagné de sa motivation, à </w:t>
      </w:r>
      <w:smartTag w:uri="urn:schemas-microsoft-com:office:smarttags" w:element="PersonName">
        <w:smartTagPr>
          <w:attr w:name="ProductID" w:val="la Direction"/>
        </w:smartTagPr>
        <w:r>
          <w:rPr>
            <w:rFonts w:cs="Arial"/>
            <w:lang w:val="fr-BE"/>
          </w:rPr>
          <w:t>la Direction</w:t>
        </w:r>
      </w:smartTag>
      <w:r>
        <w:rPr>
          <w:rFonts w:cs="Arial"/>
          <w:lang w:val="fr-BE"/>
        </w:rPr>
        <w:t xml:space="preserve"> générale pour accord</w:t>
      </w:r>
      <w:r>
        <w:rPr>
          <w:rStyle w:val="Appelnotedebasdep"/>
          <w:rFonts w:cs="Arial"/>
          <w:lang w:val="fr-BE"/>
        </w:rPr>
        <w:footnoteReference w:id="40"/>
      </w:r>
      <w:r>
        <w:rPr>
          <w:rFonts w:cs="Arial"/>
          <w:lang w:val="fr-BE"/>
        </w:rPr>
        <w:t>.</w:t>
      </w:r>
    </w:p>
    <w:p>
      <w:pPr>
        <w:jc w:val="both"/>
        <w:rPr>
          <w:rFonts w:cs="Arial"/>
          <w:sz w:val="16"/>
          <w:lang w:val="fr-BE"/>
        </w:rPr>
      </w:pPr>
    </w:p>
    <w:p>
      <w:pPr>
        <w:jc w:val="both"/>
      </w:pPr>
      <w:r>
        <w:t>En cas de désaccord portant sur un point essentiel de la convention, celle-ci sera transmise au Ministre de l’Enseignement obligatoire qui tranchera.</w:t>
      </w:r>
    </w:p>
    <w:p>
      <w:pPr>
        <w:jc w:val="both"/>
      </w:pPr>
    </w:p>
    <w:p>
      <w:pPr>
        <w:jc w:val="both"/>
      </w:pPr>
    </w:p>
    <w:p>
      <w:pPr>
        <w:pStyle w:val="Titre3"/>
      </w:pPr>
      <w:bookmarkStart w:id="682" w:name="_Toc423420016"/>
      <w:bookmarkStart w:id="683" w:name="_Toc450645223"/>
      <w:bookmarkStart w:id="684" w:name="_Toc453942459"/>
      <w:bookmarkStart w:id="685" w:name="_Toc454888076"/>
      <w:bookmarkStart w:id="686" w:name="_Toc486241738"/>
      <w:r>
        <w:t>2.7.4. Le numéro vert  « Assistance Ecoles »: Pour qui ? Pour quoi ?</w:t>
      </w:r>
      <w:bookmarkEnd w:id="682"/>
      <w:bookmarkEnd w:id="683"/>
      <w:bookmarkEnd w:id="684"/>
      <w:bookmarkEnd w:id="685"/>
      <w:bookmarkEnd w:id="686"/>
      <w:r>
        <w:t xml:space="preserve"> </w:t>
      </w:r>
    </w:p>
    <w:p>
      <w:pPr>
        <w:rPr>
          <w:rFonts w:cs="Arial"/>
          <w:lang w:val="fr-BE"/>
        </w:rPr>
      </w:pPr>
    </w:p>
    <w:p>
      <w:pPr>
        <w:spacing w:after="120"/>
        <w:jc w:val="both"/>
        <w:rPr>
          <w:rFonts w:cs="Arial"/>
          <w:lang w:val="fr-BE"/>
        </w:rPr>
      </w:pPr>
      <w:r>
        <w:rPr>
          <w:rFonts w:cs="Arial"/>
          <w:lang w:val="fr-BE"/>
        </w:rPr>
        <w:t xml:space="preserve">Le numéro vert « Assistance Ecoles » est destiné aux professionnels de l’enseignement organisé et subventionné par </w:t>
      </w:r>
      <w:smartTag w:uri="urn:schemas-microsoft-com:office:smarttags" w:element="PersonName">
        <w:smartTagPr>
          <w:attr w:name="ProductID" w:val="la F￩d￩ration Wallonie-Bruxelles"/>
        </w:smartTagPr>
        <w:r>
          <w:rPr>
            <w:rFonts w:cs="Arial"/>
            <w:lang w:val="fr-BE"/>
          </w:rPr>
          <w:t>la Fédération Wallonie-Bruxelles</w:t>
        </w:r>
      </w:smartTag>
      <w:r>
        <w:rPr>
          <w:rFonts w:cs="Arial"/>
          <w:lang w:val="fr-BE"/>
        </w:rPr>
        <w:t>, tous niveaux confondus:</w:t>
      </w:r>
    </w:p>
    <w:p>
      <w:pPr>
        <w:numPr>
          <w:ilvl w:val="0"/>
          <w:numId w:val="153"/>
        </w:numPr>
        <w:spacing w:after="120"/>
        <w:jc w:val="both"/>
        <w:rPr>
          <w:rFonts w:cs="Arial"/>
          <w:lang w:val="fr-BE"/>
        </w:rPr>
      </w:pPr>
      <w:r>
        <w:rPr>
          <w:rFonts w:cs="Arial"/>
          <w:lang w:val="fr-BE"/>
        </w:rPr>
        <w:t>chefs d’établissement;</w:t>
      </w:r>
    </w:p>
    <w:p>
      <w:pPr>
        <w:numPr>
          <w:ilvl w:val="0"/>
          <w:numId w:val="153"/>
        </w:numPr>
        <w:spacing w:after="120"/>
        <w:jc w:val="both"/>
        <w:rPr>
          <w:rFonts w:cs="Arial"/>
          <w:lang w:val="fr-BE"/>
        </w:rPr>
      </w:pPr>
      <w:r>
        <w:rPr>
          <w:rFonts w:cs="Arial"/>
          <w:lang w:val="fr-BE"/>
        </w:rPr>
        <w:t>préfets d’éducation, proviseurs et sous-directeurs;</w:t>
      </w:r>
    </w:p>
    <w:p>
      <w:pPr>
        <w:numPr>
          <w:ilvl w:val="0"/>
          <w:numId w:val="153"/>
        </w:numPr>
        <w:spacing w:after="120"/>
        <w:jc w:val="both"/>
        <w:rPr>
          <w:rFonts w:cs="Arial"/>
          <w:lang w:val="fr-BE"/>
        </w:rPr>
      </w:pPr>
      <w:r>
        <w:rPr>
          <w:rFonts w:cs="Arial"/>
          <w:lang w:val="fr-BE"/>
        </w:rPr>
        <w:t>enseignants;</w:t>
      </w:r>
    </w:p>
    <w:p>
      <w:pPr>
        <w:numPr>
          <w:ilvl w:val="0"/>
          <w:numId w:val="153"/>
        </w:numPr>
        <w:spacing w:after="120"/>
        <w:jc w:val="both"/>
        <w:rPr>
          <w:rFonts w:cs="Arial"/>
          <w:lang w:val="fr-BE"/>
        </w:rPr>
      </w:pPr>
      <w:r>
        <w:rPr>
          <w:rFonts w:cs="Arial"/>
          <w:lang w:val="fr-BE"/>
        </w:rPr>
        <w:t>puériculteurs;</w:t>
      </w:r>
    </w:p>
    <w:p>
      <w:pPr>
        <w:numPr>
          <w:ilvl w:val="0"/>
          <w:numId w:val="153"/>
        </w:numPr>
        <w:spacing w:after="120"/>
        <w:jc w:val="both"/>
        <w:rPr>
          <w:rFonts w:cs="Arial"/>
          <w:lang w:val="fr-BE"/>
        </w:rPr>
      </w:pPr>
      <w:r>
        <w:rPr>
          <w:rFonts w:cs="Arial"/>
          <w:lang w:val="fr-BE"/>
        </w:rPr>
        <w:t>éducateurs;</w:t>
      </w:r>
    </w:p>
    <w:p>
      <w:pPr>
        <w:numPr>
          <w:ilvl w:val="0"/>
          <w:numId w:val="153"/>
        </w:numPr>
        <w:spacing w:after="120"/>
        <w:jc w:val="both"/>
        <w:rPr>
          <w:rFonts w:cs="Arial"/>
          <w:lang w:val="fr-BE"/>
        </w:rPr>
      </w:pPr>
      <w:r>
        <w:rPr>
          <w:rFonts w:cs="Arial"/>
          <w:lang w:val="fr-BE"/>
        </w:rPr>
        <w:t>personnel ouvrier;</w:t>
      </w:r>
    </w:p>
    <w:p>
      <w:pPr>
        <w:numPr>
          <w:ilvl w:val="0"/>
          <w:numId w:val="153"/>
        </w:numPr>
        <w:spacing w:after="120"/>
        <w:jc w:val="both"/>
        <w:rPr>
          <w:rFonts w:cs="Arial"/>
          <w:lang w:val="fr-BE"/>
        </w:rPr>
      </w:pPr>
      <w:r>
        <w:rPr>
          <w:rFonts w:cs="Arial"/>
          <w:lang w:val="fr-BE"/>
        </w:rPr>
        <w:t>personnel administratif;</w:t>
      </w:r>
    </w:p>
    <w:p>
      <w:pPr>
        <w:numPr>
          <w:ilvl w:val="0"/>
          <w:numId w:val="153"/>
        </w:numPr>
        <w:spacing w:after="120"/>
        <w:jc w:val="both"/>
        <w:rPr>
          <w:rFonts w:cs="Arial"/>
          <w:lang w:val="fr-BE"/>
        </w:rPr>
      </w:pPr>
      <w:r>
        <w:rPr>
          <w:rFonts w:cs="Arial"/>
          <w:lang w:val="fr-BE"/>
        </w:rPr>
        <w:t>agents CPMS.</w:t>
      </w:r>
    </w:p>
    <w:p>
      <w:pPr>
        <w:spacing w:after="120"/>
        <w:jc w:val="both"/>
        <w:rPr>
          <w:rFonts w:cs="Arial"/>
          <w:lang w:val="fr-BE"/>
        </w:rPr>
      </w:pPr>
      <w:r>
        <w:rPr>
          <w:rFonts w:cs="Arial"/>
          <w:lang w:val="fr-BE"/>
        </w:rPr>
        <w:t>Il a pour objectif d’écouter et d’informer le personnel éducatif lorsqu’il est confronté à des situations de violence ou à des événements exceptionnels (suicide, incendie, maladie infectieuse grave…) sur:  </w:t>
      </w:r>
    </w:p>
    <w:p>
      <w:pPr>
        <w:numPr>
          <w:ilvl w:val="0"/>
          <w:numId w:val="153"/>
        </w:numPr>
        <w:spacing w:after="120"/>
        <w:jc w:val="both"/>
        <w:rPr>
          <w:rFonts w:cs="Arial"/>
          <w:lang w:val="fr-BE"/>
        </w:rPr>
      </w:pPr>
      <w:r>
        <w:rPr>
          <w:rFonts w:cs="Arial"/>
          <w:lang w:val="fr-BE"/>
        </w:rPr>
        <w:t xml:space="preserve">les services de </w:t>
      </w:r>
      <w:smartTag w:uri="urn:schemas-microsoft-com:office:smarttags" w:element="PersonName">
        <w:smartTagPr>
          <w:attr w:name="ProductID" w:val="la F￩d￩ration Wallonie-Bruxelles"/>
        </w:smartTagPr>
        <w:r>
          <w:rPr>
            <w:rFonts w:cs="Arial"/>
            <w:lang w:val="fr-BE"/>
          </w:rPr>
          <w:t>la Fédération Wallonie-Bruxelles</w:t>
        </w:r>
      </w:smartTag>
      <w:r>
        <w:rPr>
          <w:rFonts w:cs="Arial"/>
          <w:lang w:val="fr-BE"/>
        </w:rPr>
        <w:t xml:space="preserve"> qui peuvent être activés (CPMS, Equipes mobiles, Services de Médiation scolaire, SAJ…) et la façon d’y faire appel;</w:t>
      </w:r>
    </w:p>
    <w:p>
      <w:pPr>
        <w:numPr>
          <w:ilvl w:val="0"/>
          <w:numId w:val="153"/>
        </w:numPr>
        <w:spacing w:after="120"/>
        <w:jc w:val="both"/>
        <w:rPr>
          <w:rFonts w:cs="Arial"/>
          <w:lang w:val="fr-BE"/>
        </w:rPr>
      </w:pPr>
      <w:r>
        <w:rPr>
          <w:rFonts w:cs="Arial"/>
          <w:lang w:val="fr-BE"/>
        </w:rPr>
        <w:t>les autres services qui pourront procurer une aide ou un accompagnement (services d’urgence, associations…);</w:t>
      </w:r>
    </w:p>
    <w:p>
      <w:pPr>
        <w:numPr>
          <w:ilvl w:val="0"/>
          <w:numId w:val="153"/>
        </w:numPr>
        <w:spacing w:after="120"/>
        <w:jc w:val="both"/>
        <w:rPr>
          <w:rFonts w:cs="Arial"/>
          <w:lang w:val="fr-BE"/>
        </w:rPr>
      </w:pPr>
      <w:r>
        <w:rPr>
          <w:rFonts w:cs="Arial"/>
          <w:lang w:val="fr-BE"/>
        </w:rPr>
        <w:t xml:space="preserve">les procédures dans les domaines psychologique, social, juridique ou administratif (demande d’assistance psychologique et juridique, demande de mutation prioritaire, demande de reconnaissance d’un accident de travail); </w:t>
      </w:r>
    </w:p>
    <w:p>
      <w:pPr>
        <w:numPr>
          <w:ilvl w:val="0"/>
          <w:numId w:val="153"/>
        </w:numPr>
        <w:spacing w:after="120"/>
        <w:jc w:val="both"/>
        <w:rPr>
          <w:rFonts w:cs="Arial"/>
          <w:lang w:val="fr-BE"/>
        </w:rPr>
      </w:pPr>
      <w:r>
        <w:rPr>
          <w:rFonts w:cs="Arial"/>
          <w:lang w:val="fr-BE"/>
        </w:rPr>
        <w:t>la gestion de la violence au sein de l’école (outils de prévention…).</w:t>
      </w:r>
    </w:p>
    <w:p>
      <w:pPr>
        <w:spacing w:after="120"/>
        <w:jc w:val="both"/>
        <w:rPr>
          <w:rFonts w:cs="Arial"/>
          <w:lang w:val="fr-BE"/>
        </w:rPr>
      </w:pPr>
      <w:r>
        <w:rPr>
          <w:rFonts w:cs="Arial"/>
          <w:lang w:val="fr-BE"/>
        </w:rPr>
        <w:t>Le numéro vert « Assistance Ecoles » est accessible du lundi au vendredi de 08h30 à 17h au N° 0800/20 410.</w:t>
      </w:r>
    </w:p>
    <w:p>
      <w:pPr>
        <w:spacing w:after="120"/>
        <w:jc w:val="both"/>
        <w:rPr>
          <w:rFonts w:cs="Arial"/>
          <w:lang w:val="fr-BE"/>
        </w:rPr>
      </w:pPr>
      <w:r>
        <w:rPr>
          <w:rFonts w:cs="Arial"/>
          <w:lang w:val="fr-BE"/>
        </w:rPr>
        <w:t xml:space="preserve">« Assistance Ecoles » est un service mis en place par le Service des Inscriptions et de l’Assistance aux Etablissements scolaires. Il prend place dans un plan d’actions de lutte contre la violence et le décrochage scolaire, visant à garantir les conditions d’un apprentissage serein (P.A.G.A.S), approuvé par le Gouvernement de </w:t>
      </w:r>
      <w:smartTag w:uri="urn:schemas-microsoft-com:office:smarttags" w:element="PersonName">
        <w:smartTagPr>
          <w:attr w:name="ProductID" w:val="la F￩d￩ration Wallonie-Bruxelles"/>
        </w:smartTagPr>
        <w:r>
          <w:rPr>
            <w:rFonts w:cs="Arial"/>
            <w:lang w:val="fr-BE"/>
          </w:rPr>
          <w:t>la Fédération Wallonie-Bruxelles</w:t>
        </w:r>
      </w:smartTag>
      <w:r>
        <w:rPr>
          <w:rFonts w:cs="Arial"/>
          <w:lang w:val="fr-BE"/>
        </w:rPr>
        <w:t xml:space="preserve"> le 26 mars 2009. </w:t>
      </w:r>
    </w:p>
    <w:p>
      <w:pPr>
        <w:pStyle w:val="Titre2"/>
      </w:pPr>
      <w:r>
        <w:br w:type="page"/>
      </w:r>
      <w:bookmarkStart w:id="687" w:name="chapitre2_8"/>
      <w:bookmarkStart w:id="688" w:name="_Toc295931999"/>
      <w:bookmarkStart w:id="689" w:name="_Toc295913739"/>
      <w:bookmarkStart w:id="690" w:name="_Toc423420017"/>
      <w:bookmarkStart w:id="691" w:name="_Toc450645224"/>
      <w:bookmarkStart w:id="692" w:name="_Toc453942460"/>
      <w:bookmarkStart w:id="693" w:name="_Toc454888077"/>
      <w:bookmarkStart w:id="694" w:name="_Toc486241739"/>
      <w:r>
        <w:t>Chapitre 2.8</w:t>
      </w:r>
      <w:bookmarkEnd w:id="687"/>
      <w:r>
        <w:t>. Intégration d'élèves issus de l'enseignement spécialisé</w:t>
      </w:r>
      <w:bookmarkEnd w:id="688"/>
      <w:bookmarkEnd w:id="689"/>
      <w:bookmarkEnd w:id="690"/>
      <w:bookmarkEnd w:id="691"/>
      <w:bookmarkEnd w:id="692"/>
      <w:bookmarkEnd w:id="693"/>
      <w:bookmarkEnd w:id="694"/>
    </w:p>
    <w:p>
      <w:pPr>
        <w:rPr>
          <w:szCs w:val="22"/>
        </w:rPr>
      </w:pPr>
    </w:p>
    <w:p>
      <w:pPr>
        <w:rPr>
          <w:rStyle w:val="Lienhypertexte"/>
          <w:color w:val="auto"/>
          <w:szCs w:val="22"/>
          <w:u w:val="none"/>
        </w:rPr>
      </w:pPr>
      <w:r>
        <w:rPr>
          <w:b/>
          <w:i/>
          <w:u w:val="single"/>
        </w:rPr>
        <w:t>Base légale</w:t>
      </w:r>
      <w:r>
        <w:rPr>
          <w:b/>
        </w:rPr>
        <w:t xml:space="preserve">: </w:t>
      </w:r>
      <w:r>
        <w:tab/>
        <w:t xml:space="preserve"> </w:t>
      </w:r>
      <w:hyperlink r:id="rId81" w:history="1">
        <w:r>
          <w:rPr>
            <w:rStyle w:val="Lienhypertexte"/>
            <w:color w:val="auto"/>
          </w:rPr>
          <w:t>Décret organisant l'enseignement spécialisé du 03/03/2004, articles 130 à 158</w:t>
        </w:r>
      </w:hyperlink>
      <w:r>
        <w:rPr>
          <w:rStyle w:val="Lienhypertexte"/>
          <w:color w:val="auto"/>
        </w:rPr>
        <w:t>bis</w:t>
      </w:r>
    </w:p>
    <w:p>
      <w:pPr>
        <w:pStyle w:val="Corpsdetexte"/>
        <w:rPr>
          <w:b/>
        </w:rPr>
      </w:pPr>
    </w:p>
    <w:p>
      <w:pPr>
        <w:pStyle w:val="Corpsdetexte"/>
        <w:rPr>
          <w:b/>
        </w:rPr>
      </w:pPr>
      <w:r>
        <w:rPr>
          <w:b/>
          <w:i/>
          <w:u w:val="single"/>
        </w:rPr>
        <w:t>Remarque préalable :</w:t>
      </w:r>
      <w:r>
        <w:rPr>
          <w:b/>
          <w:i/>
        </w:rPr>
        <w:t xml:space="preserve"> </w:t>
      </w:r>
      <w:r>
        <w:rPr>
          <w:b/>
        </w:rPr>
        <w:t xml:space="preserve">le présent chapitre entend répondre aux besoins administratifs des directeurs d’écoles d’enseignement fondamental ordinaire. </w:t>
      </w:r>
    </w:p>
    <w:p>
      <w:pPr>
        <w:pStyle w:val="Corpsdetexte"/>
        <w:rPr>
          <w:b/>
        </w:rPr>
      </w:pPr>
      <w:r>
        <w:rPr>
          <w:b/>
        </w:rPr>
        <w:t xml:space="preserve">Les informations complètes relatives à l’intégration sont reprises au chapitre 13 de la </w:t>
      </w:r>
      <w:hyperlink r:id="rId82" w:history="1">
        <w:r>
          <w:rPr>
            <w:rStyle w:val="Lienhypertexte"/>
            <w:b/>
          </w:rPr>
          <w:t>circulaire 6194 du 22/05/2017</w:t>
        </w:r>
      </w:hyperlink>
      <w:r>
        <w:rPr>
          <w:b/>
        </w:rPr>
        <w:t>, téléchargeable</w:t>
      </w:r>
      <w:r>
        <w:t xml:space="preserve"> sur</w:t>
      </w:r>
      <w:r>
        <w:rPr>
          <w:b/>
        </w:rPr>
        <w:t xml:space="preserve"> </w:t>
      </w:r>
      <w:hyperlink r:id="rId83" w:history="1">
        <w:r>
          <w:rPr>
            <w:rStyle w:val="Lienhypertexte"/>
            <w:color w:val="auto"/>
            <w:szCs w:val="22"/>
          </w:rPr>
          <w:t>www.adm.cfwb.be</w:t>
        </w:r>
      </w:hyperlink>
    </w:p>
    <w:p>
      <w:pPr>
        <w:pStyle w:val="Corpsdetexte"/>
        <w:rPr>
          <w:b/>
        </w:rPr>
      </w:pPr>
    </w:p>
    <w:p>
      <w:pPr>
        <w:pStyle w:val="Titre3"/>
      </w:pPr>
      <w:bookmarkStart w:id="695" w:name="_Toc423420018"/>
      <w:bookmarkStart w:id="696" w:name="_Toc450645225"/>
      <w:bookmarkStart w:id="697" w:name="_Toc453942461"/>
      <w:bookmarkStart w:id="698" w:name="_Toc454888078"/>
      <w:bookmarkStart w:id="699" w:name="_Toc486241740"/>
      <w:r>
        <w:t>2. 8. 1. Définitions</w:t>
      </w:r>
      <w:bookmarkEnd w:id="695"/>
      <w:bookmarkEnd w:id="696"/>
      <w:bookmarkEnd w:id="697"/>
      <w:bookmarkEnd w:id="698"/>
      <w:bookmarkEnd w:id="699"/>
      <w:r>
        <w:t xml:space="preserve"> </w:t>
      </w:r>
    </w:p>
    <w:p>
      <w:pPr>
        <w:pStyle w:val="Corpsdetexte"/>
      </w:pPr>
    </w:p>
    <w:p>
      <w:pPr>
        <w:pStyle w:val="Corpsdetexte"/>
      </w:pPr>
      <w:r>
        <w:t>Afin de promouvoir l’ajustement social et la formation des enfants à besoins spécifiques</w:t>
      </w:r>
      <w:r>
        <w:rPr>
          <w:rStyle w:val="Appelnotedebasdep"/>
        </w:rPr>
        <w:footnoteReference w:id="41"/>
      </w:r>
      <w:r>
        <w:t xml:space="preserve">, l’intégration dans l’enseignement ordinaire d’un élève régulièrement inscrit dans l’enseignement spécialisé peut être organisée. </w:t>
      </w:r>
    </w:p>
    <w:p>
      <w:pPr>
        <w:pStyle w:val="Corpsdetext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3240"/>
        <w:gridCol w:w="3344"/>
      </w:tblGrid>
      <w:tr>
        <w:trPr>
          <w:trHeight w:val="794"/>
        </w:trPr>
        <w:tc>
          <w:tcPr>
            <w:tcW w:w="2628" w:type="dxa"/>
            <w:tcBorders>
              <w:tl2br w:val="single" w:sz="4" w:space="0" w:color="auto"/>
            </w:tcBorders>
            <w:vAlign w:val="center"/>
          </w:tcPr>
          <w:p>
            <w:pPr>
              <w:jc w:val="right"/>
              <w:rPr>
                <w:b/>
                <w:szCs w:val="22"/>
              </w:rPr>
            </w:pPr>
            <w:r>
              <w:rPr>
                <w:b/>
                <w:szCs w:val="22"/>
              </w:rPr>
              <w:t>Cours</w:t>
            </w:r>
          </w:p>
          <w:p>
            <w:pPr>
              <w:jc w:val="right"/>
              <w:rPr>
                <w:b/>
                <w:szCs w:val="22"/>
              </w:rPr>
            </w:pPr>
          </w:p>
          <w:p>
            <w:pPr>
              <w:rPr>
                <w:b/>
                <w:szCs w:val="22"/>
              </w:rPr>
            </w:pPr>
            <w:r>
              <w:rPr>
                <w:b/>
                <w:szCs w:val="22"/>
              </w:rPr>
              <w:t>Durée</w:t>
            </w:r>
          </w:p>
        </w:tc>
        <w:tc>
          <w:tcPr>
            <w:tcW w:w="3240" w:type="dxa"/>
            <w:vAlign w:val="center"/>
          </w:tcPr>
          <w:p>
            <w:pPr>
              <w:jc w:val="center"/>
              <w:rPr>
                <w:b/>
                <w:szCs w:val="22"/>
              </w:rPr>
            </w:pPr>
            <w:r>
              <w:rPr>
                <w:b/>
                <w:szCs w:val="22"/>
              </w:rPr>
              <w:t>Totale</w:t>
            </w:r>
          </w:p>
        </w:tc>
        <w:tc>
          <w:tcPr>
            <w:tcW w:w="3344" w:type="dxa"/>
            <w:vAlign w:val="center"/>
          </w:tcPr>
          <w:p>
            <w:pPr>
              <w:jc w:val="center"/>
              <w:rPr>
                <w:b/>
                <w:szCs w:val="22"/>
              </w:rPr>
            </w:pPr>
            <w:r>
              <w:rPr>
                <w:b/>
                <w:szCs w:val="22"/>
              </w:rPr>
              <w:t>Partielle</w:t>
            </w:r>
          </w:p>
        </w:tc>
      </w:tr>
      <w:tr>
        <w:trPr>
          <w:trHeight w:val="680"/>
        </w:trPr>
        <w:tc>
          <w:tcPr>
            <w:tcW w:w="2628" w:type="dxa"/>
            <w:vAlign w:val="center"/>
          </w:tcPr>
          <w:p>
            <w:pPr>
              <w:jc w:val="center"/>
              <w:rPr>
                <w:b/>
                <w:szCs w:val="22"/>
              </w:rPr>
            </w:pPr>
            <w:r>
              <w:rPr>
                <w:b/>
                <w:szCs w:val="22"/>
              </w:rPr>
              <w:t>Permanente</w:t>
            </w:r>
          </w:p>
        </w:tc>
        <w:tc>
          <w:tcPr>
            <w:tcW w:w="3240" w:type="dxa"/>
          </w:tcPr>
          <w:p>
            <w:pPr>
              <w:pStyle w:val="NormalWeb"/>
              <w:kinsoku w:val="0"/>
              <w:overflowPunct w:val="0"/>
              <w:spacing w:before="58"/>
              <w:textAlignment w:val="baseline"/>
              <w:rPr>
                <w:rFonts w:ascii="Arial" w:hAnsi="Arial" w:cs="Arial"/>
                <w:color w:val="auto"/>
                <w:kern w:val="24"/>
                <w:sz w:val="22"/>
                <w:szCs w:val="22"/>
              </w:rPr>
            </w:pPr>
            <w:r>
              <w:rPr>
                <w:rFonts w:ascii="Arial" w:hAnsi="Arial" w:cs="Arial"/>
                <w:color w:val="auto"/>
                <w:kern w:val="24"/>
                <w:sz w:val="22"/>
                <w:szCs w:val="22"/>
              </w:rPr>
              <w:t>Tous les cours</w:t>
            </w:r>
          </w:p>
          <w:p>
            <w:pPr>
              <w:pStyle w:val="NormalWeb"/>
              <w:kinsoku w:val="0"/>
              <w:overflowPunct w:val="0"/>
              <w:spacing w:before="58"/>
              <w:textAlignment w:val="baseline"/>
              <w:rPr>
                <w:rFonts w:ascii="Arial" w:hAnsi="Arial" w:cs="Arial"/>
                <w:color w:val="auto"/>
                <w:sz w:val="22"/>
                <w:szCs w:val="22"/>
              </w:rPr>
            </w:pPr>
            <w:r>
              <w:rPr>
                <w:rFonts w:ascii="Arial" w:hAnsi="Arial" w:cs="Arial"/>
                <w:color w:val="auto"/>
                <w:kern w:val="24"/>
                <w:sz w:val="22"/>
                <w:szCs w:val="22"/>
              </w:rPr>
              <w:t>Toute l’année scolaire</w:t>
            </w:r>
          </w:p>
        </w:tc>
        <w:tc>
          <w:tcPr>
            <w:tcW w:w="3344" w:type="dxa"/>
          </w:tcPr>
          <w:p>
            <w:pPr>
              <w:pStyle w:val="NormalWeb"/>
              <w:kinsoku w:val="0"/>
              <w:overflowPunct w:val="0"/>
              <w:spacing w:before="58"/>
              <w:textAlignment w:val="baseline"/>
              <w:rPr>
                <w:rFonts w:ascii="Arial" w:hAnsi="Arial" w:cs="Arial"/>
                <w:color w:val="auto"/>
                <w:kern w:val="24"/>
                <w:sz w:val="22"/>
                <w:szCs w:val="22"/>
              </w:rPr>
            </w:pPr>
            <w:r>
              <w:rPr>
                <w:rFonts w:ascii="Arial" w:hAnsi="Arial" w:cs="Arial"/>
                <w:color w:val="auto"/>
                <w:kern w:val="24"/>
                <w:sz w:val="22"/>
                <w:szCs w:val="22"/>
              </w:rPr>
              <w:t>Une partie des cours</w:t>
            </w:r>
          </w:p>
          <w:p>
            <w:pPr>
              <w:pStyle w:val="NormalWeb"/>
              <w:kinsoku w:val="0"/>
              <w:overflowPunct w:val="0"/>
              <w:spacing w:before="58"/>
              <w:textAlignment w:val="baseline"/>
              <w:rPr>
                <w:rFonts w:ascii="Arial" w:hAnsi="Arial" w:cs="Arial"/>
                <w:color w:val="auto"/>
                <w:sz w:val="22"/>
                <w:szCs w:val="22"/>
              </w:rPr>
            </w:pPr>
            <w:r>
              <w:rPr>
                <w:rFonts w:ascii="Arial" w:hAnsi="Arial" w:cs="Arial"/>
                <w:color w:val="auto"/>
                <w:kern w:val="24"/>
                <w:sz w:val="22"/>
                <w:szCs w:val="22"/>
              </w:rPr>
              <w:t>Toute l’année scolaire</w:t>
            </w:r>
          </w:p>
        </w:tc>
      </w:tr>
      <w:tr>
        <w:trPr>
          <w:trHeight w:val="680"/>
        </w:trPr>
        <w:tc>
          <w:tcPr>
            <w:tcW w:w="2628" w:type="dxa"/>
            <w:vAlign w:val="center"/>
          </w:tcPr>
          <w:p>
            <w:pPr>
              <w:jc w:val="center"/>
              <w:rPr>
                <w:b/>
                <w:szCs w:val="22"/>
              </w:rPr>
            </w:pPr>
            <w:r>
              <w:rPr>
                <w:b/>
                <w:szCs w:val="22"/>
              </w:rPr>
              <w:t>Temporaire</w:t>
            </w:r>
          </w:p>
        </w:tc>
        <w:tc>
          <w:tcPr>
            <w:tcW w:w="3240" w:type="dxa"/>
          </w:tcPr>
          <w:p>
            <w:pPr>
              <w:pStyle w:val="NormalWeb"/>
              <w:kinsoku w:val="0"/>
              <w:overflowPunct w:val="0"/>
              <w:spacing w:before="58"/>
              <w:textAlignment w:val="baseline"/>
              <w:rPr>
                <w:rFonts w:ascii="Arial" w:hAnsi="Arial" w:cs="Arial"/>
                <w:color w:val="auto"/>
                <w:kern w:val="24"/>
                <w:sz w:val="22"/>
                <w:szCs w:val="22"/>
              </w:rPr>
            </w:pPr>
            <w:r>
              <w:rPr>
                <w:rFonts w:ascii="Arial" w:hAnsi="Arial" w:cs="Arial"/>
                <w:color w:val="auto"/>
                <w:kern w:val="24"/>
                <w:sz w:val="22"/>
                <w:szCs w:val="22"/>
              </w:rPr>
              <w:t>Tous les cours</w:t>
            </w:r>
          </w:p>
          <w:p>
            <w:pPr>
              <w:pStyle w:val="NormalWeb"/>
              <w:kinsoku w:val="0"/>
              <w:overflowPunct w:val="0"/>
              <w:spacing w:before="58"/>
              <w:textAlignment w:val="baseline"/>
              <w:rPr>
                <w:rFonts w:ascii="Arial" w:hAnsi="Arial" w:cs="Arial"/>
                <w:color w:val="auto"/>
                <w:sz w:val="22"/>
                <w:szCs w:val="22"/>
              </w:rPr>
            </w:pPr>
            <w:r>
              <w:rPr>
                <w:rFonts w:ascii="Arial" w:hAnsi="Arial" w:cs="Arial"/>
                <w:color w:val="auto"/>
                <w:kern w:val="24"/>
                <w:sz w:val="22"/>
                <w:szCs w:val="22"/>
              </w:rPr>
              <w:t>Une ou des partie(s) de l’année scolaire</w:t>
            </w:r>
          </w:p>
        </w:tc>
        <w:tc>
          <w:tcPr>
            <w:tcW w:w="3344" w:type="dxa"/>
          </w:tcPr>
          <w:p>
            <w:pPr>
              <w:pStyle w:val="NormalWeb"/>
              <w:kinsoku w:val="0"/>
              <w:overflowPunct w:val="0"/>
              <w:spacing w:before="58"/>
              <w:textAlignment w:val="baseline"/>
              <w:rPr>
                <w:rFonts w:ascii="Arial" w:hAnsi="Arial" w:cs="Arial"/>
                <w:color w:val="auto"/>
                <w:kern w:val="24"/>
                <w:sz w:val="22"/>
                <w:szCs w:val="22"/>
              </w:rPr>
            </w:pPr>
            <w:r>
              <w:rPr>
                <w:rFonts w:ascii="Arial" w:hAnsi="Arial" w:cs="Arial"/>
                <w:color w:val="auto"/>
                <w:kern w:val="24"/>
                <w:sz w:val="22"/>
                <w:szCs w:val="22"/>
              </w:rPr>
              <w:t>Une partie des cours</w:t>
            </w:r>
          </w:p>
          <w:p>
            <w:pPr>
              <w:pStyle w:val="NormalWeb"/>
              <w:kinsoku w:val="0"/>
              <w:overflowPunct w:val="0"/>
              <w:spacing w:before="58"/>
              <w:textAlignment w:val="baseline"/>
              <w:rPr>
                <w:rFonts w:ascii="Arial" w:hAnsi="Arial" w:cs="Arial"/>
                <w:color w:val="auto"/>
                <w:kern w:val="24"/>
                <w:sz w:val="22"/>
                <w:szCs w:val="22"/>
              </w:rPr>
            </w:pPr>
            <w:r>
              <w:rPr>
                <w:rFonts w:ascii="Arial" w:hAnsi="Arial" w:cs="Arial"/>
                <w:color w:val="auto"/>
                <w:kern w:val="24"/>
                <w:sz w:val="22"/>
                <w:szCs w:val="22"/>
              </w:rPr>
              <w:t>Une ou des partie(s) de l’année scolaire</w:t>
            </w:r>
          </w:p>
        </w:tc>
      </w:tr>
    </w:tbl>
    <w:p>
      <w:pPr>
        <w:pStyle w:val="Corpsdetexte"/>
      </w:pPr>
    </w:p>
    <w:p>
      <w:pPr>
        <w:pStyle w:val="Corpsdetexte"/>
      </w:pPr>
      <w:r>
        <w:t>II existe 4 types d’intégrations :</w:t>
      </w:r>
    </w:p>
    <w:p>
      <w:pPr>
        <w:pStyle w:val="Corpsdetexte"/>
      </w:pPr>
    </w:p>
    <w:p>
      <w:pPr>
        <w:pStyle w:val="Corpsdetexte"/>
        <w:numPr>
          <w:ilvl w:val="0"/>
          <w:numId w:val="153"/>
        </w:numPr>
      </w:pPr>
      <w:r>
        <w:rPr>
          <w:i/>
        </w:rPr>
        <w:t>INTEGRATION PERMANENTE TOTALE</w:t>
      </w:r>
      <w:r>
        <w:t xml:space="preserve"> (l’élève, </w:t>
      </w:r>
      <w:r>
        <w:rPr>
          <w:b/>
          <w:u w:val="single"/>
        </w:rPr>
        <w:t>pour autant qu’il ait été inscrit à la date du 15 janvier précédent dans une école de l’enseignement spécialisé</w:t>
      </w:r>
      <w:r>
        <w:t xml:space="preserve">, suit </w:t>
      </w:r>
      <w:r>
        <w:rPr>
          <w:b/>
        </w:rPr>
        <w:t>tous les cours</w:t>
      </w:r>
      <w:r>
        <w:t xml:space="preserve"> dans l’école d’enseignement ordinaire pendant </w:t>
      </w:r>
      <w:r>
        <w:rPr>
          <w:b/>
        </w:rPr>
        <w:t>toute l’année scolaire</w:t>
      </w:r>
      <w:r>
        <w:t xml:space="preserve"> et génère 4 périodes d’accompagnement dans l’école d’enseignement spécialisé. Tout élève bénéficiant de ce type d’intégration est inscrit comme élève régulier dans l’enseignement ordinaire et est dès lors soumis aux règles d’inscription et de comptabilisation de l’enseignement fondamental ordinaire) ;</w:t>
      </w:r>
    </w:p>
    <w:p>
      <w:pPr>
        <w:pStyle w:val="Corpsdetexte"/>
        <w:ind w:left="360"/>
      </w:pPr>
    </w:p>
    <w:p>
      <w:pPr>
        <w:pStyle w:val="Corpsdetexte"/>
        <w:numPr>
          <w:ilvl w:val="0"/>
          <w:numId w:val="153"/>
        </w:numPr>
      </w:pPr>
      <w:r>
        <w:rPr>
          <w:i/>
        </w:rPr>
        <w:t>INTEGRATION PERMANENTE PARTIELLE</w:t>
      </w:r>
      <w:r>
        <w:t xml:space="preserve"> (l’élève suit </w:t>
      </w:r>
      <w:r>
        <w:rPr>
          <w:b/>
        </w:rPr>
        <w:t>certains cours</w:t>
      </w:r>
      <w:r>
        <w:t xml:space="preserve"> dans l’école d’enseignement ordinaire et les autres dans l’école d’enseignement spécialisé pendant </w:t>
      </w:r>
      <w:r>
        <w:rPr>
          <w:b/>
        </w:rPr>
        <w:t>toute l’année scolaire</w:t>
      </w:r>
      <w:r>
        <w:t>) ;</w:t>
      </w:r>
    </w:p>
    <w:p>
      <w:pPr>
        <w:pStyle w:val="Corpsdetexte"/>
      </w:pPr>
    </w:p>
    <w:p>
      <w:pPr>
        <w:pStyle w:val="Corpsdetexte"/>
        <w:numPr>
          <w:ilvl w:val="0"/>
          <w:numId w:val="153"/>
        </w:numPr>
      </w:pPr>
      <w:r>
        <w:rPr>
          <w:i/>
        </w:rPr>
        <w:t>INTEGRATION TEMPORAIRE TOTALE</w:t>
      </w:r>
      <w:r>
        <w:t xml:space="preserve"> (l’élève suit </w:t>
      </w:r>
      <w:r>
        <w:rPr>
          <w:b/>
        </w:rPr>
        <w:t>tous les cours</w:t>
      </w:r>
      <w:r>
        <w:t xml:space="preserve"> dans l’école d’enseignement ordinaire </w:t>
      </w:r>
      <w:r>
        <w:rPr>
          <w:b/>
        </w:rPr>
        <w:t>pendant une ou des période(s) déterminée(s)</w:t>
      </w:r>
      <w:r>
        <w:t xml:space="preserve"> d’une année scolaire) ;</w:t>
      </w:r>
    </w:p>
    <w:p>
      <w:pPr>
        <w:pStyle w:val="Corpsdetexte"/>
      </w:pPr>
    </w:p>
    <w:p>
      <w:pPr>
        <w:pStyle w:val="Corpsdetexte"/>
        <w:numPr>
          <w:ilvl w:val="0"/>
          <w:numId w:val="153"/>
        </w:numPr>
        <w:rPr>
          <w:i/>
        </w:rPr>
      </w:pPr>
      <w:r>
        <w:rPr>
          <w:i/>
        </w:rPr>
        <w:t xml:space="preserve">INTEGRATION TEMPORAIRE PARTIELLE </w:t>
      </w:r>
      <w:r>
        <w:t xml:space="preserve">(l’élève suit </w:t>
      </w:r>
      <w:r>
        <w:rPr>
          <w:b/>
        </w:rPr>
        <w:t>une partie des cours</w:t>
      </w:r>
      <w:r>
        <w:t xml:space="preserve"> dans l’école d’enseignement ordinaire </w:t>
      </w:r>
      <w:r>
        <w:rPr>
          <w:b/>
        </w:rPr>
        <w:t>pendant une ou des période(s) déterminée(s)</w:t>
      </w:r>
      <w:r>
        <w:t xml:space="preserve"> d’une année scolaire).</w:t>
      </w:r>
    </w:p>
    <w:p>
      <w:pPr>
        <w:pStyle w:val="Corpsdetexte"/>
      </w:pPr>
    </w:p>
    <w:p>
      <w:pPr>
        <w:pStyle w:val="Corpsdetexte"/>
      </w:pPr>
      <w:r>
        <w:t>Les intégrations permanentes (totales et partielles) débutent le 1</w:t>
      </w:r>
      <w:r>
        <w:rPr>
          <w:vertAlign w:val="superscript"/>
        </w:rPr>
        <w:t>er</w:t>
      </w:r>
      <w:r>
        <w:t xml:space="preserve"> septembre. </w:t>
      </w:r>
    </w:p>
    <w:p>
      <w:pPr>
        <w:pStyle w:val="Corpsdetexte"/>
      </w:pPr>
    </w:p>
    <w:p>
      <w:pPr>
        <w:pStyle w:val="Corpsdetexte"/>
      </w:pPr>
      <w:r>
        <w:t>Les intégrations temporaires (totales et partielles) débutent à tout moment de l’année scolaire, selon la date prévue dans le protocole d’intégration.</w:t>
      </w:r>
    </w:p>
    <w:p>
      <w:pPr>
        <w:pStyle w:val="Corpsdetexte"/>
      </w:pPr>
    </w:p>
    <w:p>
      <w:pPr>
        <w:pStyle w:val="Corpsdetexte"/>
      </w:pPr>
    </w:p>
    <w:p>
      <w:pPr>
        <w:pStyle w:val="Corpsdetexte"/>
      </w:pPr>
    </w:p>
    <w:p>
      <w:pPr>
        <w:pStyle w:val="Corpsdetexte"/>
      </w:pPr>
    </w:p>
    <w:p>
      <w:pPr>
        <w:pStyle w:val="Titre3"/>
      </w:pPr>
      <w:bookmarkStart w:id="700" w:name="_Toc423420019"/>
      <w:bookmarkStart w:id="701" w:name="_Toc450645226"/>
      <w:bookmarkStart w:id="702" w:name="_Toc453942462"/>
      <w:bookmarkStart w:id="703" w:name="_Toc454888079"/>
      <w:bookmarkStart w:id="704" w:name="_Toc486241741"/>
      <w:r>
        <w:t>2. 8. 2. Gestion administrative du dossier de l’élève</w:t>
      </w:r>
      <w:bookmarkEnd w:id="700"/>
      <w:bookmarkEnd w:id="701"/>
      <w:bookmarkEnd w:id="702"/>
      <w:bookmarkEnd w:id="703"/>
      <w:bookmarkEnd w:id="704"/>
    </w:p>
    <w:p>
      <w:pPr>
        <w:pStyle w:val="Corpsdetexte"/>
      </w:pPr>
    </w:p>
    <w:p>
      <w:pPr>
        <w:pStyle w:val="Titre4"/>
      </w:pPr>
      <w:bookmarkStart w:id="705" w:name="_Toc423420020"/>
      <w:bookmarkStart w:id="706" w:name="_Toc450645227"/>
      <w:bookmarkStart w:id="707" w:name="_Toc453942463"/>
      <w:bookmarkStart w:id="708" w:name="_Toc454888080"/>
      <w:bookmarkStart w:id="709" w:name="_Toc486241742"/>
      <w:r>
        <w:t>2. 8. 2. 1. Protocole d’intégration et vérification de la population scolaire</w:t>
      </w:r>
      <w:bookmarkEnd w:id="705"/>
      <w:bookmarkEnd w:id="706"/>
      <w:bookmarkEnd w:id="707"/>
      <w:bookmarkEnd w:id="708"/>
      <w:bookmarkEnd w:id="709"/>
    </w:p>
    <w:p>
      <w:pPr>
        <w:pStyle w:val="Corpsdetexte"/>
      </w:pPr>
    </w:p>
    <w:p>
      <w:pPr>
        <w:jc w:val="both"/>
        <w:rPr>
          <w:rFonts w:cs="Arial"/>
          <w:szCs w:val="22"/>
        </w:rPr>
      </w:pPr>
      <w:r>
        <w:rPr>
          <w:rFonts w:cs="Arial"/>
          <w:szCs w:val="22"/>
        </w:rPr>
        <w:t>Après concertation de tous les intervenants (les parents ou les personnes investies de l’autorité parentale, la direction de l’école d’enseignement spécialisé, la direction de l’école d’enseignement ordinaire, leur centre PMS respectif, et le PO pour l’enseignement subventionné), un protocole d’intégration doit être établi</w:t>
      </w:r>
      <w:r>
        <w:rPr>
          <w:rFonts w:cs="Arial"/>
          <w:bCs/>
          <w:iCs/>
          <w:szCs w:val="22"/>
        </w:rPr>
        <w:t xml:space="preserve"> </w:t>
      </w:r>
      <w:r>
        <w:t xml:space="preserve">moyennant les </w:t>
      </w:r>
      <w:r>
        <w:rPr>
          <w:szCs w:val="22"/>
        </w:rPr>
        <w:t xml:space="preserve">annexes 2, 3 et 4 reprises au </w:t>
      </w:r>
      <w:r>
        <w:t xml:space="preserve">chapitre 13 de la </w:t>
      </w:r>
      <w:hyperlink r:id="rId84" w:history="1">
        <w:r>
          <w:rPr>
            <w:rStyle w:val="Lienhypertexte"/>
          </w:rPr>
          <w:t>circulaire 6194 du 22/05/2017</w:t>
        </w:r>
      </w:hyperlink>
      <w:r>
        <w:rPr>
          <w:rFonts w:cs="Arial"/>
          <w:szCs w:val="22"/>
        </w:rPr>
        <w:t xml:space="preserve">. </w:t>
      </w:r>
    </w:p>
    <w:p>
      <w:pPr>
        <w:jc w:val="both"/>
        <w:rPr>
          <w:rFonts w:cs="Arial"/>
          <w:szCs w:val="22"/>
        </w:rPr>
      </w:pPr>
    </w:p>
    <w:p>
      <w:pPr>
        <w:jc w:val="both"/>
        <w:rPr>
          <w:rFonts w:cs="Arial"/>
          <w:szCs w:val="22"/>
        </w:rPr>
      </w:pPr>
      <w:r>
        <w:rPr>
          <w:szCs w:val="22"/>
        </w:rPr>
        <w:t>Les consultations aboutissant à la signature du protocole par tous les intervenants sont initiées par le directeur de l’enseignement spécialisé.</w:t>
      </w:r>
    </w:p>
    <w:p>
      <w:pPr>
        <w:pStyle w:val="Corpsdetexte"/>
        <w:rPr>
          <w:szCs w:val="22"/>
        </w:rPr>
      </w:pPr>
    </w:p>
    <w:p>
      <w:pPr>
        <w:pStyle w:val="Corpsdetexte"/>
        <w:rPr>
          <w:szCs w:val="22"/>
        </w:rPr>
      </w:pPr>
      <w:r>
        <w:rPr>
          <w:b/>
          <w:szCs w:val="22"/>
        </w:rPr>
        <w:t>L’élève ne peut être intégré que si son protocole est signé (</w:t>
      </w:r>
      <w:r>
        <w:rPr>
          <w:b/>
          <w:szCs w:val="22"/>
          <w:u w:val="single"/>
        </w:rPr>
        <w:t>avant le début de l’intégration </w:t>
      </w:r>
      <w:r>
        <w:rPr>
          <w:b/>
          <w:szCs w:val="22"/>
        </w:rPr>
        <w:t>!) par tous les intervenants et s’il est complet</w:t>
      </w:r>
      <w:r>
        <w:rPr>
          <w:szCs w:val="22"/>
        </w:rPr>
        <w:t xml:space="preserve">, c’est-à- dire que toutes les informations ont été complétées et que tous les partenaires ont marqué leur accord en signant le protocole d’intégration. </w:t>
      </w:r>
    </w:p>
    <w:p>
      <w:pPr>
        <w:pStyle w:val="Corpsdetexte"/>
        <w:rPr>
          <w:szCs w:val="22"/>
        </w:rPr>
      </w:pPr>
    </w:p>
    <w:p>
      <w:pPr>
        <w:pStyle w:val="Corpsdetexte"/>
        <w:rPr>
          <w:szCs w:val="22"/>
        </w:rPr>
      </w:pPr>
      <w:r>
        <w:rPr>
          <w:szCs w:val="22"/>
        </w:rPr>
        <w:t>L’original de ce protocole reste dans l’école d’enseignement spécialisé, une copie étant conservée dans l’école fondamentale ordinaire. Des copies des annexes 3 et 4 actualisées (complétées par l’établissement d’enseignement spécialisé) en fonction de l’évolution de l’élève, doivent être intégrées au protocole d’intégration. La copie du dossier complet fera l’objet d’un contrôle du vérificateur de la population scolaire de l’enseignement fondamental ordinaire.</w:t>
      </w:r>
    </w:p>
    <w:p>
      <w:pPr>
        <w:pStyle w:val="Corpsdetexte"/>
        <w:rPr>
          <w:szCs w:val="22"/>
        </w:rPr>
      </w:pPr>
    </w:p>
    <w:p>
      <w:pPr>
        <w:pStyle w:val="Corpsdetexte"/>
        <w:rPr>
          <w:szCs w:val="22"/>
        </w:rPr>
      </w:pPr>
      <w:r>
        <w:rPr>
          <w:szCs w:val="22"/>
        </w:rPr>
        <w:t xml:space="preserve">En cas de prolongation ou d’évolution du projet, une nouvelle annexe 4 est ajoutée au protocole d’intégration lors de chaque bilan. </w:t>
      </w:r>
    </w:p>
    <w:p>
      <w:pPr>
        <w:pStyle w:val="Corpsdetexte"/>
        <w:rPr>
          <w:szCs w:val="22"/>
        </w:rPr>
      </w:pPr>
    </w:p>
    <w:p>
      <w:pPr>
        <w:pStyle w:val="Corpsdetexte"/>
        <w:rPr>
          <w:szCs w:val="22"/>
        </w:rPr>
      </w:pPr>
      <w:r>
        <w:rPr>
          <w:szCs w:val="22"/>
        </w:rPr>
        <w:t>Un nouveau protocole sera établi lors de tout changement de partenaire.</w:t>
      </w:r>
    </w:p>
    <w:p>
      <w:pPr>
        <w:pStyle w:val="Corpsdetexte"/>
        <w:rPr>
          <w:szCs w:val="22"/>
        </w:rPr>
      </w:pPr>
    </w:p>
    <w:p>
      <w:pPr>
        <w:pStyle w:val="Corpsdetexte"/>
        <w:rPr>
          <w:szCs w:val="22"/>
        </w:rPr>
      </w:pPr>
      <w:r>
        <w:rPr>
          <w:u w:val="single"/>
        </w:rPr>
        <w:t>Une intégration temporaire totale ou une intégration partielle</w:t>
      </w:r>
      <w:r>
        <w:t xml:space="preserve"> prend fin au terme de chaque période d’intégration.</w:t>
      </w:r>
    </w:p>
    <w:p>
      <w:pPr>
        <w:pStyle w:val="Corpsdetexte"/>
        <w:rPr>
          <w:szCs w:val="22"/>
        </w:rPr>
      </w:pPr>
    </w:p>
    <w:p>
      <w:pPr>
        <w:jc w:val="both"/>
        <w:rPr>
          <w:rFonts w:ascii="CenturySchoolbook" w:hAnsi="CenturySchoolbook"/>
          <w:sz w:val="24"/>
        </w:rPr>
      </w:pPr>
      <w:r>
        <w:t>Au terme de chaque période d'intégration, chacune des parties ayant marqué son accord au protocole peut demander de mettre fin à l'intégration et le retour à temps plein dans l'enseignement spécialisé.</w:t>
      </w:r>
      <w:r>
        <w:rPr>
          <w:szCs w:val="22"/>
        </w:rPr>
        <w:t xml:space="preserve"> Tout refus de prolongation doit être motivé par l’école d’enseignement spécialisé et communiqué à l’Administration (Service général de l’Enseignement spécialisé – Rue Adolphe Lavallée, 1 à 1080 BRUXELLES).</w:t>
      </w:r>
    </w:p>
    <w:p>
      <w:pPr>
        <w:pStyle w:val="Corpsdetexte"/>
        <w:rPr>
          <w:szCs w:val="22"/>
        </w:rPr>
      </w:pPr>
    </w:p>
    <w:p>
      <w:pPr>
        <w:pStyle w:val="Corpsdetexte"/>
        <w:rPr>
          <w:szCs w:val="22"/>
        </w:rPr>
      </w:pPr>
      <w:r>
        <w:rPr>
          <w:szCs w:val="22"/>
          <w:u w:val="single"/>
        </w:rPr>
        <w:t>Dans le cas d’une intégration permanente totale</w:t>
      </w:r>
      <w:r>
        <w:rPr>
          <w:szCs w:val="22"/>
        </w:rPr>
        <w:t xml:space="preserve">, chacune des parties ayant marqué son accord au protocole peut, au terme de chaque année scolaire (30 juin), demander de mettre fin à l’intégration et le retour à temps plein de l’élève dans l’enseignement spécialisé. Une telle décision ne peut être prise par la direction de l’école d’enseignement ordinaire qu’après concertation de toutes les parties. Ce refus de prolongation doit être motivé par l’école d’enseignement spécialisé et adressé au Gouvernement via l’Administration (Service général de l’Enseignement spécialisé – Rue Adolphe Lavallée, 1 à 1080 BRUXELLES). </w:t>
      </w:r>
    </w:p>
    <w:p>
      <w:pPr>
        <w:pStyle w:val="Corpsdetexte"/>
        <w:rPr>
          <w:szCs w:val="22"/>
        </w:rPr>
      </w:pPr>
    </w:p>
    <w:p>
      <w:pPr>
        <w:pStyle w:val="Corpsdetexte"/>
        <w:rPr>
          <w:szCs w:val="22"/>
        </w:rPr>
      </w:pPr>
      <w:r>
        <w:rPr>
          <w:b/>
          <w:szCs w:val="22"/>
        </w:rPr>
        <w:t>En cas d’</w:t>
      </w:r>
      <w:r>
        <w:rPr>
          <w:b/>
          <w:szCs w:val="22"/>
          <w:u w:val="single"/>
        </w:rPr>
        <w:t>arrêt</w:t>
      </w:r>
      <w:r>
        <w:rPr>
          <w:b/>
          <w:szCs w:val="22"/>
        </w:rPr>
        <w:t xml:space="preserve"> de l’intégration en cours d’année scolaire</w:t>
      </w:r>
      <w:r>
        <w:rPr>
          <w:szCs w:val="22"/>
        </w:rPr>
        <w:t>, seul le Ministre qui a l’enseignement spécialisé dans ses attributions peut mettre fin à l’intégration, uniquement dans des circonstances exceptionnelles et moyennant l’avis motivé du Conseil d’avis chargé des problématiques liées à l’intégration (voir la procédure à suivre dans</w:t>
      </w:r>
      <w:r>
        <w:t xml:space="preserve"> la </w:t>
      </w:r>
      <w:hyperlink r:id="rId85" w:history="1">
        <w:r>
          <w:rPr>
            <w:rStyle w:val="Lienhypertexte"/>
          </w:rPr>
          <w:t>circulaire 6194 du 22/05/2017</w:t>
        </w:r>
      </w:hyperlink>
      <w:r>
        <w:rPr>
          <w:szCs w:val="22"/>
        </w:rPr>
        <w:t xml:space="preserve">). </w:t>
      </w:r>
      <w:r>
        <w:rPr>
          <w:szCs w:val="22"/>
          <w:u w:val="single"/>
        </w:rPr>
        <w:t>L’élève concerné est tenu de rester dans l’école d’enseignement ordinaire tant que le Ministre n’a pas notifié sa décision</w:t>
      </w:r>
      <w:r>
        <w:rPr>
          <w:szCs w:val="22"/>
        </w:rPr>
        <w:t xml:space="preserve">. </w:t>
      </w:r>
    </w:p>
    <w:p>
      <w:pPr>
        <w:pStyle w:val="Corpsdetexte"/>
        <w:rPr>
          <w:szCs w:val="22"/>
        </w:rPr>
      </w:pPr>
    </w:p>
    <w:p>
      <w:pPr>
        <w:pStyle w:val="Titre4"/>
      </w:pPr>
      <w:bookmarkStart w:id="710" w:name="Section2_8_2_2"/>
      <w:bookmarkStart w:id="711" w:name="_Toc423420021"/>
      <w:bookmarkStart w:id="712" w:name="_Toc450645228"/>
      <w:bookmarkStart w:id="713" w:name="_Toc453942464"/>
      <w:bookmarkStart w:id="714" w:name="_Toc454888081"/>
      <w:bookmarkStart w:id="715" w:name="_Toc486241743"/>
      <w:r>
        <w:t>2. 8. 2. 2</w:t>
      </w:r>
      <w:bookmarkEnd w:id="710"/>
      <w:r>
        <w:t>. Règles de comptabilisation, d’inscription et de tenue des registres</w:t>
      </w:r>
      <w:bookmarkEnd w:id="711"/>
      <w:bookmarkEnd w:id="712"/>
      <w:bookmarkEnd w:id="713"/>
      <w:bookmarkEnd w:id="714"/>
      <w:bookmarkEnd w:id="715"/>
    </w:p>
    <w:p>
      <w:pPr>
        <w:pStyle w:val="Corpsdetexte"/>
      </w:pPr>
    </w:p>
    <w:p>
      <w:pPr>
        <w:tabs>
          <w:tab w:val="left" w:pos="-1908"/>
          <w:tab w:val="left" w:pos="1872"/>
        </w:tabs>
        <w:jc w:val="both"/>
        <w:rPr>
          <w:rFonts w:cs="Arial"/>
          <w:szCs w:val="22"/>
        </w:rPr>
      </w:pPr>
      <w:r>
        <w:rPr>
          <w:rFonts w:cs="Arial"/>
          <w:szCs w:val="22"/>
        </w:rPr>
        <w:t>La réglementation applicable en matière de comptabilisation et d’inscription est celle de l’école où l’élève est régulièrement inscrit. Conformément à l’article 133, § 1</w:t>
      </w:r>
      <w:r>
        <w:rPr>
          <w:rFonts w:cs="Arial"/>
          <w:szCs w:val="22"/>
          <w:vertAlign w:val="superscript"/>
        </w:rPr>
        <w:t>er</w:t>
      </w:r>
      <w:r>
        <w:rPr>
          <w:rFonts w:cs="Arial"/>
          <w:szCs w:val="22"/>
        </w:rPr>
        <w:t xml:space="preserve">, alinéa 2, du Décret du 3 mars 2004 organisant l’enseignement spécialisé, seuls les élèves bénéficiant de l’intégration permanente totale sont inscrits comme élèves réguliers dans l’enseignement ordinaire et perdent leur qualité d’élèves réguliers dans l’enseignement spécialisé. Les règles d’inscription et de comptabilisation de l’enseignement fondamental ordinaire sont dès lors d’application. </w:t>
      </w:r>
    </w:p>
    <w:p>
      <w:pPr>
        <w:jc w:val="both"/>
        <w:rPr>
          <w:rFonts w:cs="Arial"/>
          <w:szCs w:val="22"/>
        </w:rPr>
      </w:pPr>
      <w:r>
        <w:rPr>
          <w:rFonts w:cs="Arial"/>
          <w:szCs w:val="22"/>
        </w:rPr>
        <w:t xml:space="preserve">Il est toutefois évident que les présences sont prises dans l’école où se trouve l’élève (en même temps que celles des autres élèves de la classe) avec un transfert d’information vers l’école d’enseignement spécialisé (voir </w:t>
      </w:r>
      <w:hyperlink w:anchor="Section6_2_2_2_3" w:history="1">
        <w:r>
          <w:rPr>
            <w:rStyle w:val="Lienhypertexte"/>
            <w:rFonts w:cs="Arial"/>
            <w:color w:val="auto"/>
            <w:szCs w:val="22"/>
          </w:rPr>
          <w:t>section 6.2.2.2.3</w:t>
        </w:r>
      </w:hyperlink>
      <w:r>
        <w:rPr>
          <w:rFonts w:cs="Arial"/>
          <w:szCs w:val="22"/>
        </w:rPr>
        <w:t xml:space="preserve">.). Ces modalités seront prévues dans le protocole d’intégration, à la rubrique: « Règles de présence et registre ». </w:t>
      </w:r>
    </w:p>
    <w:p>
      <w:pPr>
        <w:pStyle w:val="Titre4"/>
      </w:pPr>
      <w:bookmarkStart w:id="716" w:name="_Toc423420022"/>
      <w:bookmarkStart w:id="717" w:name="_Toc450645229"/>
      <w:bookmarkStart w:id="718" w:name="_Toc453942465"/>
      <w:bookmarkStart w:id="719" w:name="_Toc454888082"/>
      <w:bookmarkStart w:id="720" w:name="_Toc486241744"/>
      <w:r>
        <w:t>2. 8. 2. 3. Certification de l’élève</w:t>
      </w:r>
      <w:bookmarkEnd w:id="716"/>
      <w:bookmarkEnd w:id="717"/>
      <w:bookmarkEnd w:id="718"/>
      <w:bookmarkEnd w:id="719"/>
      <w:bookmarkEnd w:id="720"/>
    </w:p>
    <w:p>
      <w:pPr>
        <w:pStyle w:val="Corpsdetexte"/>
        <w:rPr>
          <w:sz w:val="16"/>
          <w:szCs w:val="16"/>
        </w:rPr>
      </w:pPr>
    </w:p>
    <w:p>
      <w:pPr>
        <w:pStyle w:val="Corpsdetexte"/>
      </w:pPr>
      <w:r>
        <w:rPr>
          <w:b/>
          <w:i/>
        </w:rPr>
        <w:t>L’école d’enseignement ordinaire</w:t>
      </w:r>
      <w:r>
        <w:t xml:space="preserve"> est responsable de la certification de l’élève bénéficiant de l’</w:t>
      </w:r>
      <w:r>
        <w:rPr>
          <w:u w:val="single"/>
        </w:rPr>
        <w:t>intégration permanente totale</w:t>
      </w:r>
      <w:r>
        <w:t xml:space="preserve">. Les certificats et attestations sont délivrés selon la réglementation en vigueur afférente à l’enseignement ordinaire. </w:t>
      </w:r>
    </w:p>
    <w:p>
      <w:pPr>
        <w:pStyle w:val="Corpsdetexte"/>
        <w:rPr>
          <w:sz w:val="16"/>
          <w:szCs w:val="16"/>
        </w:rPr>
      </w:pPr>
    </w:p>
    <w:p>
      <w:pPr>
        <w:pStyle w:val="Corpsdetexte"/>
      </w:pPr>
      <w:r>
        <w:rPr>
          <w:b/>
          <w:i/>
        </w:rPr>
        <w:t>L’école d’enseignement spécialisé</w:t>
      </w:r>
      <w:r>
        <w:t xml:space="preserve"> est responsable de la certification de l’élève bénéficiant de l’</w:t>
      </w:r>
      <w:r>
        <w:rPr>
          <w:u w:val="single"/>
        </w:rPr>
        <w:t>intégration temporaire totale</w:t>
      </w:r>
      <w:r>
        <w:t xml:space="preserve"> ou d’une </w:t>
      </w:r>
      <w:r>
        <w:rPr>
          <w:u w:val="single"/>
        </w:rPr>
        <w:t>intégration partielle</w:t>
      </w:r>
      <w:r>
        <w:t>. Les certificats et attestations sont délivrés selon la réglementation en vigueur afférente à l’enseignement spécialisé.</w:t>
      </w:r>
    </w:p>
    <w:p>
      <w:pPr>
        <w:pStyle w:val="Titre4"/>
      </w:pPr>
      <w:bookmarkStart w:id="721" w:name="_Toc423420023"/>
      <w:bookmarkStart w:id="722" w:name="_Toc450645230"/>
      <w:bookmarkStart w:id="723" w:name="_Toc453942466"/>
      <w:bookmarkStart w:id="724" w:name="_Toc454888083"/>
      <w:bookmarkStart w:id="725" w:name="_Toc486241745"/>
      <w:r>
        <w:t>2. 8. 2. 4. Dispositions particulières</w:t>
      </w:r>
      <w:bookmarkEnd w:id="721"/>
      <w:bookmarkEnd w:id="722"/>
      <w:bookmarkEnd w:id="723"/>
      <w:bookmarkEnd w:id="724"/>
      <w:bookmarkEnd w:id="725"/>
    </w:p>
    <w:p>
      <w:pPr>
        <w:pStyle w:val="Corpsdetexte"/>
        <w:rPr>
          <w:sz w:val="16"/>
          <w:szCs w:val="16"/>
        </w:rPr>
      </w:pPr>
    </w:p>
    <w:p>
      <w:pPr>
        <w:pStyle w:val="Corpsdetexte"/>
        <w:rPr>
          <w:szCs w:val="22"/>
        </w:rPr>
      </w:pPr>
      <w:r>
        <w:rPr>
          <w:b/>
          <w:szCs w:val="22"/>
        </w:rPr>
        <w:t>Seuls les élèves bénéficiant de l’intégration permanente totale sont comptabilisables dans l’école d’enseignement ordinaire</w:t>
      </w:r>
      <w:r>
        <w:rPr>
          <w:szCs w:val="22"/>
        </w:rPr>
        <w:t xml:space="preserve">. </w:t>
      </w:r>
    </w:p>
    <w:p>
      <w:pPr>
        <w:pStyle w:val="Corpsdetexte"/>
        <w:rPr>
          <w:sz w:val="16"/>
          <w:szCs w:val="16"/>
        </w:rPr>
      </w:pPr>
    </w:p>
    <w:p>
      <w:pPr>
        <w:pStyle w:val="Corpsdetexte"/>
        <w:rPr>
          <w:szCs w:val="22"/>
        </w:rPr>
      </w:pPr>
      <w:r>
        <w:rPr>
          <w:szCs w:val="22"/>
        </w:rPr>
        <w:t xml:space="preserve">Si un élève bénéficiant d’une </w:t>
      </w:r>
      <w:r>
        <w:rPr>
          <w:szCs w:val="22"/>
          <w:u w:val="single"/>
        </w:rPr>
        <w:t>intégration autre que l’intégration permanente totale</w:t>
      </w:r>
      <w:r>
        <w:rPr>
          <w:szCs w:val="22"/>
        </w:rPr>
        <w:t xml:space="preserve"> choisit un cours philosophique non organisé dans l’école d’enseignement ordinaire, l’organisation dudit cours est à charge de l’école d’enseignement spécialisé. </w:t>
      </w:r>
    </w:p>
    <w:p>
      <w:pPr>
        <w:pStyle w:val="Corpsdetexte"/>
        <w:rPr>
          <w:sz w:val="16"/>
          <w:szCs w:val="16"/>
        </w:rPr>
      </w:pPr>
    </w:p>
    <w:p>
      <w:pPr>
        <w:pStyle w:val="Corpsdetexte"/>
        <w:rPr>
          <w:szCs w:val="22"/>
        </w:rPr>
      </w:pPr>
      <w:r>
        <w:rPr>
          <w:szCs w:val="22"/>
          <w:u w:val="single"/>
        </w:rPr>
        <w:t>Gratuité des transports</w:t>
      </w:r>
      <w:r>
        <w:rPr>
          <w:szCs w:val="22"/>
        </w:rPr>
        <w:t> :</w:t>
      </w:r>
    </w:p>
    <w:p>
      <w:pPr>
        <w:pStyle w:val="Corpsdetexte"/>
        <w:numPr>
          <w:ilvl w:val="0"/>
          <w:numId w:val="153"/>
        </w:numPr>
        <w:rPr>
          <w:szCs w:val="22"/>
        </w:rPr>
      </w:pPr>
      <w:r>
        <w:rPr>
          <w:szCs w:val="22"/>
        </w:rPr>
        <w:t xml:space="preserve">l’élève en </w:t>
      </w:r>
      <w:r>
        <w:rPr>
          <w:szCs w:val="22"/>
          <w:u w:val="single"/>
        </w:rPr>
        <w:t>intégration permanente totale</w:t>
      </w:r>
      <w:r>
        <w:rPr>
          <w:szCs w:val="22"/>
        </w:rPr>
        <w:t xml:space="preserve"> bénéficie, en fonction de ses besoins, de la gratuité des transports entre son domicile et l’établissement </w:t>
      </w:r>
      <w:r>
        <w:rPr>
          <w:szCs w:val="22"/>
          <w:u w:val="single"/>
        </w:rPr>
        <w:t>ordinaire</w:t>
      </w:r>
      <w:r>
        <w:rPr>
          <w:szCs w:val="22"/>
        </w:rPr>
        <w:t xml:space="preserve"> qu’il fréquente.</w:t>
      </w:r>
    </w:p>
    <w:p>
      <w:pPr>
        <w:pStyle w:val="Corpsdetexte"/>
        <w:numPr>
          <w:ilvl w:val="0"/>
          <w:numId w:val="163"/>
        </w:numPr>
        <w:rPr>
          <w:szCs w:val="22"/>
        </w:rPr>
      </w:pPr>
      <w:r>
        <w:t>l’élève bénéficiant d’</w:t>
      </w:r>
      <w:r>
        <w:rPr>
          <w:u w:val="single"/>
        </w:rPr>
        <w:t>un des trois autres types d’intégration</w:t>
      </w:r>
      <w:r>
        <w:t xml:space="preserve"> continue à jouir de la gratuité des transports scolaires de son domicile à l’école d’enseignement </w:t>
      </w:r>
      <w:r>
        <w:rPr>
          <w:u w:val="single"/>
        </w:rPr>
        <w:t>spécialisé</w:t>
      </w:r>
      <w:r>
        <w:t xml:space="preserve"> dans laquelle il est inscrit (le transport scolaire n’est pas prévu entre le domicile de l’élève et l’école d’enseignement ordinaire, ni entre l’école d’enseignement spécialisé et l’école d’enseignement ordinaire).</w:t>
      </w:r>
    </w:p>
    <w:p>
      <w:pPr>
        <w:rPr>
          <w:rFonts w:cs="Arial"/>
          <w:b/>
          <w:sz w:val="16"/>
          <w:szCs w:val="16"/>
        </w:rPr>
      </w:pPr>
      <w:bookmarkStart w:id="726" w:name="_2.4.1._Remarques_préalables"/>
      <w:bookmarkEnd w:id="726"/>
    </w:p>
    <w:p>
      <w:pPr>
        <w:pStyle w:val="Titre3"/>
      </w:pPr>
      <w:bookmarkStart w:id="727" w:name="_Toc423420024"/>
      <w:bookmarkStart w:id="728" w:name="_Toc450645231"/>
      <w:bookmarkStart w:id="729" w:name="_Toc453942467"/>
      <w:bookmarkStart w:id="730" w:name="_Toc454888084"/>
      <w:bookmarkStart w:id="731" w:name="_Toc486241746"/>
      <w:r>
        <w:t>2. 8. 3. Dispositions pédagogiques et d’accompagnement</w:t>
      </w:r>
      <w:bookmarkEnd w:id="727"/>
      <w:bookmarkEnd w:id="728"/>
      <w:bookmarkEnd w:id="729"/>
      <w:bookmarkEnd w:id="730"/>
      <w:bookmarkEnd w:id="731"/>
      <w:r>
        <w:t xml:space="preserve"> </w:t>
      </w:r>
    </w:p>
    <w:p>
      <w:pPr>
        <w:jc w:val="both"/>
        <w:rPr>
          <w:rFonts w:cs="Arial"/>
          <w:sz w:val="16"/>
          <w:szCs w:val="16"/>
        </w:rPr>
      </w:pPr>
    </w:p>
    <w:p>
      <w:pPr>
        <w:jc w:val="both"/>
        <w:rPr>
          <w:rFonts w:cs="Arial"/>
          <w:szCs w:val="22"/>
        </w:rPr>
      </w:pPr>
      <w:r>
        <w:rPr>
          <w:rFonts w:cs="Arial"/>
          <w:szCs w:val="22"/>
        </w:rPr>
        <w:t xml:space="preserve">Les accords de coopération conclus par </w:t>
      </w:r>
      <w:smartTag w:uri="urn:schemas-microsoft-com:office:smarttags" w:element="PersonName">
        <w:smartTagPr>
          <w:attr w:name="ProductID" w:val="la F￩d￩ration Wallonie-Bruxelles"/>
        </w:smartTagPr>
        <w:r>
          <w:rPr>
            <w:rFonts w:cs="Arial"/>
            <w:szCs w:val="22"/>
          </w:rPr>
          <w:t>la Fédération Wallonie-Bruxelles</w:t>
        </w:r>
      </w:smartTag>
      <w:r>
        <w:rPr>
          <w:rFonts w:cs="Arial"/>
          <w:szCs w:val="22"/>
        </w:rPr>
        <w:t xml:space="preserve"> avec </w:t>
      </w:r>
      <w:smartTag w:uri="urn:schemas-microsoft-com:office:smarttags" w:element="PersonName">
        <w:smartTagPr>
          <w:attr w:name="ProductID" w:val="la R￩gion"/>
        </w:smartTagPr>
        <w:r>
          <w:rPr>
            <w:rFonts w:cs="Arial"/>
            <w:szCs w:val="22"/>
          </w:rPr>
          <w:t>la Région</w:t>
        </w:r>
      </w:smartTag>
      <w:r>
        <w:rPr>
          <w:rFonts w:cs="Arial"/>
          <w:szCs w:val="22"/>
        </w:rPr>
        <w:t xml:space="preserve"> wallonne (Décret du 30/0/2009 – MB 09/07/2009) et </w:t>
      </w:r>
      <w:smartTag w:uri="urn:schemas-microsoft-com:office:smarttags" w:element="PersonName">
        <w:smartTagPr>
          <w:attr w:name="ProductID" w:val="la COCOF"/>
        </w:smartTagPr>
        <w:r>
          <w:rPr>
            <w:rFonts w:cs="Arial"/>
            <w:szCs w:val="22"/>
          </w:rPr>
          <w:t>la CoCOF</w:t>
        </w:r>
      </w:smartTag>
      <w:r>
        <w:rPr>
          <w:rFonts w:cs="Arial"/>
          <w:szCs w:val="22"/>
        </w:rPr>
        <w:t xml:space="preserve"> (Décret du 30/0/2009 – MB 25/08/2009) prévoient une articulation entre l’accompagnement de l’élève en intégration et les services d’accompagnement (pour </w:t>
      </w:r>
      <w:smartTag w:uri="urn:schemas-microsoft-com:office:smarttags" w:element="PersonName">
        <w:smartTagPr>
          <w:attr w:name="ProductID" w:val="la R￩gion"/>
        </w:smartTagPr>
        <w:r>
          <w:rPr>
            <w:rFonts w:cs="Arial"/>
            <w:szCs w:val="22"/>
          </w:rPr>
          <w:t>la Région</w:t>
        </w:r>
      </w:smartTag>
      <w:r>
        <w:rPr>
          <w:rFonts w:cs="Arial"/>
          <w:szCs w:val="22"/>
        </w:rPr>
        <w:t xml:space="preserve"> de Bruxelles-Capitale) ou les Services d’Aide à l’Intégration – SAI (pour </w:t>
      </w:r>
      <w:smartTag w:uri="urn:schemas-microsoft-com:office:smarttags" w:element="PersonName">
        <w:smartTagPr>
          <w:attr w:name="ProductID" w:val="la R￩gion"/>
        </w:smartTagPr>
        <w:r>
          <w:rPr>
            <w:rFonts w:cs="Arial"/>
            <w:szCs w:val="22"/>
          </w:rPr>
          <w:t>la Région</w:t>
        </w:r>
      </w:smartTag>
      <w:r>
        <w:rPr>
          <w:rFonts w:cs="Arial"/>
          <w:szCs w:val="22"/>
        </w:rPr>
        <w:t xml:space="preserve"> wallonne). </w:t>
      </w:r>
    </w:p>
    <w:p>
      <w:pPr>
        <w:jc w:val="both"/>
        <w:rPr>
          <w:rFonts w:cs="Arial"/>
          <w:sz w:val="16"/>
          <w:szCs w:val="16"/>
        </w:rPr>
      </w:pPr>
    </w:p>
    <w:p>
      <w:pPr>
        <w:jc w:val="both"/>
        <w:rPr>
          <w:rFonts w:cs="Arial"/>
          <w:szCs w:val="22"/>
        </w:rPr>
      </w:pPr>
      <w:r>
        <w:rPr>
          <w:rFonts w:cs="Arial"/>
          <w:szCs w:val="22"/>
        </w:rPr>
        <w:t xml:space="preserve">Les informations complètes à ce sujet sont disponibles </w:t>
      </w:r>
      <w:r>
        <w:t xml:space="preserve">dans la </w:t>
      </w:r>
      <w:hyperlink r:id="rId86" w:history="1">
        <w:r>
          <w:rPr>
            <w:rStyle w:val="Lienhypertexte"/>
          </w:rPr>
          <w:t>circulaire 6194 du 22/05/2017</w:t>
        </w:r>
      </w:hyperlink>
      <w:r>
        <w:t>.</w:t>
      </w:r>
      <w:r>
        <w:rPr>
          <w:b/>
        </w:rPr>
        <w:t xml:space="preserve"> </w:t>
      </w:r>
    </w:p>
    <w:p>
      <w:pPr>
        <w:jc w:val="both"/>
        <w:rPr>
          <w:rFonts w:cs="Arial"/>
          <w:sz w:val="16"/>
          <w:szCs w:val="16"/>
        </w:rPr>
      </w:pPr>
    </w:p>
    <w:p>
      <w:pPr>
        <w:pStyle w:val="Corpsdetexte"/>
        <w:rPr>
          <w:szCs w:val="22"/>
        </w:rPr>
      </w:pPr>
      <w:r>
        <w:rPr>
          <w:szCs w:val="22"/>
        </w:rPr>
        <w:t>Tout renseignement complémentaire concernant les intégrations peut être obtenu auprès de :</w:t>
      </w:r>
    </w:p>
    <w:p>
      <w:pPr>
        <w:pStyle w:val="Corpsdetexte"/>
        <w:pBdr>
          <w:top w:val="single" w:sz="4" w:space="1" w:color="auto"/>
          <w:left w:val="single" w:sz="4" w:space="4" w:color="auto"/>
          <w:bottom w:val="single" w:sz="4" w:space="1" w:color="auto"/>
          <w:right w:val="single" w:sz="4" w:space="4" w:color="auto"/>
        </w:pBdr>
        <w:jc w:val="center"/>
        <w:rPr>
          <w:bCs/>
          <w:szCs w:val="22"/>
        </w:rPr>
      </w:pPr>
      <w:r>
        <w:rPr>
          <w:bCs/>
          <w:szCs w:val="22"/>
        </w:rPr>
        <w:t>Direction générale de l’enseignement obligatoire</w:t>
      </w:r>
    </w:p>
    <w:p>
      <w:pPr>
        <w:pStyle w:val="Corpsdetexte"/>
        <w:pBdr>
          <w:top w:val="single" w:sz="4" w:space="1" w:color="auto"/>
          <w:left w:val="single" w:sz="4" w:space="4" w:color="auto"/>
          <w:bottom w:val="single" w:sz="4" w:space="1" w:color="auto"/>
          <w:right w:val="single" w:sz="4" w:space="4" w:color="auto"/>
        </w:pBdr>
        <w:jc w:val="center"/>
        <w:rPr>
          <w:bCs/>
          <w:szCs w:val="22"/>
        </w:rPr>
      </w:pPr>
      <w:r>
        <w:rPr>
          <w:bCs/>
          <w:szCs w:val="22"/>
        </w:rPr>
        <w:t>Service de l’enseignement spécialisé</w:t>
      </w:r>
    </w:p>
    <w:p>
      <w:pPr>
        <w:pStyle w:val="Corpsdetexte"/>
        <w:pBdr>
          <w:top w:val="single" w:sz="4" w:space="1" w:color="auto"/>
          <w:left w:val="single" w:sz="4" w:space="4" w:color="auto"/>
          <w:bottom w:val="single" w:sz="4" w:space="1" w:color="auto"/>
          <w:right w:val="single" w:sz="4" w:space="4" w:color="auto"/>
        </w:pBdr>
        <w:jc w:val="center"/>
        <w:rPr>
          <w:bCs/>
          <w:szCs w:val="22"/>
        </w:rPr>
      </w:pPr>
    </w:p>
    <w:p>
      <w:pPr>
        <w:pStyle w:val="Corpsdetexte"/>
        <w:pBdr>
          <w:top w:val="single" w:sz="4" w:space="1" w:color="auto"/>
          <w:left w:val="single" w:sz="4" w:space="4" w:color="auto"/>
          <w:bottom w:val="single" w:sz="4" w:space="1" w:color="auto"/>
          <w:right w:val="single" w:sz="4" w:space="4" w:color="auto"/>
        </w:pBdr>
        <w:jc w:val="center"/>
        <w:rPr>
          <w:bCs/>
          <w:szCs w:val="22"/>
        </w:rPr>
      </w:pPr>
      <w:r>
        <w:rPr>
          <w:bCs/>
          <w:szCs w:val="22"/>
        </w:rPr>
        <w:t>Mme Stéphanie PIRSOUL</w:t>
      </w:r>
    </w:p>
    <w:p>
      <w:pPr>
        <w:pStyle w:val="Corpsdetexte"/>
        <w:pBdr>
          <w:top w:val="single" w:sz="4" w:space="1" w:color="auto"/>
          <w:left w:val="single" w:sz="4" w:space="4" w:color="auto"/>
          <w:bottom w:val="single" w:sz="4" w:space="1" w:color="auto"/>
          <w:right w:val="single" w:sz="4" w:space="4" w:color="auto"/>
        </w:pBdr>
        <w:jc w:val="center"/>
        <w:rPr>
          <w:bCs/>
          <w:strike/>
          <w:szCs w:val="22"/>
        </w:rPr>
      </w:pPr>
      <w:r>
        <w:rPr>
          <w:bCs/>
          <w:szCs w:val="22"/>
        </w:rPr>
        <w:t>Bureau 2F244 – Tél. : 02/690.84.07</w:t>
      </w:r>
    </w:p>
    <w:p>
      <w:pPr>
        <w:pStyle w:val="Corpsdetexte"/>
        <w:pBdr>
          <w:top w:val="single" w:sz="4" w:space="1" w:color="auto"/>
          <w:left w:val="single" w:sz="4" w:space="4" w:color="auto"/>
          <w:bottom w:val="single" w:sz="4" w:space="1" w:color="auto"/>
          <w:right w:val="single" w:sz="4" w:space="4" w:color="auto"/>
        </w:pBdr>
        <w:jc w:val="center"/>
        <w:rPr>
          <w:bCs/>
          <w:szCs w:val="22"/>
        </w:rPr>
      </w:pPr>
    </w:p>
    <w:p>
      <w:pPr>
        <w:pStyle w:val="Corpsdetexte"/>
        <w:pBdr>
          <w:top w:val="single" w:sz="4" w:space="1" w:color="auto"/>
          <w:left w:val="single" w:sz="4" w:space="4" w:color="auto"/>
          <w:bottom w:val="single" w:sz="4" w:space="1" w:color="auto"/>
          <w:right w:val="single" w:sz="4" w:space="4" w:color="auto"/>
        </w:pBdr>
        <w:jc w:val="center"/>
        <w:rPr>
          <w:bCs/>
          <w:szCs w:val="22"/>
        </w:rPr>
      </w:pPr>
      <w:r>
        <w:rPr>
          <w:bCs/>
          <w:szCs w:val="22"/>
        </w:rPr>
        <w:t>Mme Christine WILLEMS</w:t>
      </w:r>
    </w:p>
    <w:p>
      <w:pPr>
        <w:pStyle w:val="Corpsdetexte"/>
        <w:pBdr>
          <w:top w:val="single" w:sz="4" w:space="1" w:color="auto"/>
          <w:left w:val="single" w:sz="4" w:space="4" w:color="auto"/>
          <w:bottom w:val="single" w:sz="4" w:space="1" w:color="auto"/>
          <w:right w:val="single" w:sz="4" w:space="4" w:color="auto"/>
        </w:pBdr>
        <w:jc w:val="center"/>
        <w:rPr>
          <w:bCs/>
          <w:szCs w:val="22"/>
        </w:rPr>
      </w:pPr>
      <w:r>
        <w:rPr>
          <w:bCs/>
          <w:szCs w:val="22"/>
        </w:rPr>
        <w:t>Bureau 2F241 – Tél. : 02/690.84.11</w:t>
      </w:r>
    </w:p>
    <w:p>
      <w:pPr>
        <w:pStyle w:val="Corpsdetexte"/>
        <w:pBdr>
          <w:top w:val="single" w:sz="4" w:space="1" w:color="auto"/>
          <w:left w:val="single" w:sz="4" w:space="4" w:color="auto"/>
          <w:bottom w:val="single" w:sz="4" w:space="1" w:color="auto"/>
          <w:right w:val="single" w:sz="4" w:space="4" w:color="auto"/>
        </w:pBdr>
        <w:jc w:val="center"/>
        <w:rPr>
          <w:bCs/>
          <w:szCs w:val="22"/>
        </w:rPr>
      </w:pPr>
    </w:p>
    <w:p>
      <w:pPr>
        <w:pStyle w:val="Corpsdetexte"/>
        <w:pBdr>
          <w:top w:val="single" w:sz="4" w:space="1" w:color="auto"/>
          <w:left w:val="single" w:sz="4" w:space="4" w:color="auto"/>
          <w:bottom w:val="single" w:sz="4" w:space="1" w:color="auto"/>
          <w:right w:val="single" w:sz="4" w:space="4" w:color="auto"/>
        </w:pBdr>
        <w:jc w:val="center"/>
        <w:rPr>
          <w:bCs/>
          <w:szCs w:val="22"/>
        </w:rPr>
      </w:pPr>
      <w:r>
        <w:rPr>
          <w:bCs/>
          <w:szCs w:val="22"/>
        </w:rPr>
        <w:t>Mme Marie BORMANN</w:t>
      </w:r>
    </w:p>
    <w:p>
      <w:pPr>
        <w:pStyle w:val="Corpsdetexte"/>
        <w:pBdr>
          <w:top w:val="single" w:sz="4" w:space="1" w:color="auto"/>
          <w:left w:val="single" w:sz="4" w:space="4" w:color="auto"/>
          <w:bottom w:val="single" w:sz="4" w:space="1" w:color="auto"/>
          <w:right w:val="single" w:sz="4" w:space="4" w:color="auto"/>
        </w:pBdr>
        <w:jc w:val="center"/>
        <w:rPr>
          <w:bCs/>
          <w:szCs w:val="22"/>
        </w:rPr>
      </w:pPr>
      <w:r>
        <w:rPr>
          <w:bCs/>
          <w:szCs w:val="22"/>
        </w:rPr>
        <w:t>Bureau 2 F 243 – Tél. : 02/413.26.36</w:t>
      </w:r>
    </w:p>
    <w:p>
      <w:pPr>
        <w:pStyle w:val="Corpsdetexte"/>
        <w:pBdr>
          <w:top w:val="single" w:sz="4" w:space="1" w:color="auto"/>
          <w:left w:val="single" w:sz="4" w:space="4" w:color="auto"/>
          <w:bottom w:val="single" w:sz="4" w:space="1" w:color="auto"/>
          <w:right w:val="single" w:sz="4" w:space="4" w:color="auto"/>
        </w:pBdr>
        <w:jc w:val="center"/>
        <w:rPr>
          <w:bCs/>
          <w:szCs w:val="22"/>
        </w:rPr>
      </w:pPr>
    </w:p>
    <w:p>
      <w:pPr>
        <w:pStyle w:val="Corpsdetexte"/>
        <w:pBdr>
          <w:top w:val="single" w:sz="4" w:space="1" w:color="auto"/>
          <w:left w:val="single" w:sz="4" w:space="4" w:color="auto"/>
          <w:bottom w:val="single" w:sz="4" w:space="1" w:color="auto"/>
          <w:right w:val="single" w:sz="4" w:space="4" w:color="auto"/>
        </w:pBdr>
        <w:jc w:val="center"/>
        <w:rPr>
          <w:bCs/>
          <w:szCs w:val="22"/>
        </w:rPr>
      </w:pPr>
      <w:r>
        <w:rPr>
          <w:bCs/>
          <w:szCs w:val="22"/>
        </w:rPr>
        <w:t>M. Alae-Eddine ASBAGUI</w:t>
      </w:r>
    </w:p>
    <w:p>
      <w:pPr>
        <w:pStyle w:val="Corpsdetexte"/>
        <w:pBdr>
          <w:top w:val="single" w:sz="4" w:space="1" w:color="auto"/>
          <w:left w:val="single" w:sz="4" w:space="4" w:color="auto"/>
          <w:bottom w:val="single" w:sz="4" w:space="1" w:color="auto"/>
          <w:right w:val="single" w:sz="4" w:space="4" w:color="auto"/>
        </w:pBdr>
        <w:jc w:val="center"/>
        <w:rPr>
          <w:bCs/>
          <w:szCs w:val="22"/>
        </w:rPr>
      </w:pPr>
      <w:r>
        <w:rPr>
          <w:bCs/>
          <w:szCs w:val="22"/>
        </w:rPr>
        <w:t>Bureau 2 F 248 – Tél. : 02/690.86.20</w:t>
      </w:r>
    </w:p>
    <w:p>
      <w:pPr>
        <w:pStyle w:val="Titre2"/>
      </w:pPr>
      <w:r>
        <w:br w:type="page"/>
      </w:r>
      <w:bookmarkStart w:id="732" w:name="_Chapitre_2.9._Les"/>
      <w:bookmarkStart w:id="733" w:name="_Toc295932006"/>
      <w:bookmarkStart w:id="734" w:name="_Toc295913746"/>
      <w:bookmarkStart w:id="735" w:name="_Toc423420025"/>
      <w:bookmarkStart w:id="736" w:name="_Toc450645232"/>
      <w:bookmarkStart w:id="737" w:name="_Toc453942468"/>
      <w:bookmarkStart w:id="738" w:name="_Toc454888085"/>
      <w:bookmarkStart w:id="739" w:name="_Toc486241747"/>
      <w:bookmarkEnd w:id="732"/>
      <w:r>
        <w:t>Chapitre 2.9. Les commissions consultatives de l’enseignement spécialisé</w:t>
      </w:r>
      <w:bookmarkEnd w:id="733"/>
      <w:bookmarkEnd w:id="734"/>
      <w:bookmarkEnd w:id="735"/>
      <w:bookmarkEnd w:id="736"/>
      <w:bookmarkEnd w:id="737"/>
      <w:bookmarkEnd w:id="738"/>
      <w:bookmarkEnd w:id="739"/>
      <w:r>
        <w:t xml:space="preserve"> </w:t>
      </w:r>
    </w:p>
    <w:p>
      <w:pPr>
        <w:jc w:val="both"/>
        <w:rPr>
          <w:rFonts w:cs="Arial"/>
          <w:szCs w:val="22"/>
        </w:rPr>
      </w:pPr>
    </w:p>
    <w:p>
      <w:pPr>
        <w:jc w:val="both"/>
        <w:rPr>
          <w:rFonts w:cs="Arial"/>
          <w:szCs w:val="22"/>
        </w:rPr>
      </w:pPr>
    </w:p>
    <w:p>
      <w:pPr>
        <w:tabs>
          <w:tab w:val="left" w:pos="1980"/>
        </w:tabs>
        <w:jc w:val="both"/>
        <w:rPr>
          <w:b/>
          <w:i/>
        </w:rPr>
      </w:pPr>
      <w:r>
        <w:rPr>
          <w:b/>
          <w:i/>
          <w:u w:val="single"/>
        </w:rPr>
        <w:t>Bases légales:</w:t>
      </w:r>
      <w:r>
        <w:rPr>
          <w:b/>
          <w:i/>
        </w:rPr>
        <w:t xml:space="preserve"> </w:t>
      </w:r>
      <w:r>
        <w:rPr>
          <w:b/>
          <w:i/>
        </w:rPr>
        <w:tab/>
      </w:r>
      <w:hyperlink r:id="rId87" w:history="1">
        <w:r>
          <w:rPr>
            <w:rStyle w:val="Lienhypertexte"/>
            <w:rFonts w:cs="Arial"/>
            <w:i/>
            <w:color w:val="auto"/>
          </w:rPr>
          <w:t>Décret du 03/03/2004 organisant l’enseignement spécialisé</w:t>
        </w:r>
      </w:hyperlink>
    </w:p>
    <w:p>
      <w:pPr>
        <w:ind w:left="1980"/>
        <w:jc w:val="both"/>
        <w:rPr>
          <w:rFonts w:cs="Arial"/>
          <w:i/>
          <w:szCs w:val="22"/>
          <w:lang w:val="fr-BE"/>
        </w:rPr>
      </w:pPr>
      <w:hyperlink r:id="rId88" w:history="1">
        <w:r>
          <w:rPr>
            <w:rStyle w:val="Lienhypertexte"/>
            <w:rFonts w:cs="Arial"/>
            <w:i/>
            <w:color w:val="auto"/>
            <w:szCs w:val="22"/>
          </w:rPr>
          <w:t>Arrêté du gouvernement du 02/06/2004 définissant les modalités de fonctionnement des commissions consultatives de l’enseignement spécialisé </w:t>
        </w:r>
      </w:hyperlink>
      <w:r>
        <w:rPr>
          <w:rFonts w:cs="Arial"/>
          <w:i/>
          <w:szCs w:val="22"/>
        </w:rPr>
        <w:t>;</w:t>
      </w:r>
    </w:p>
    <w:p>
      <w:pPr>
        <w:ind w:left="1980"/>
        <w:jc w:val="both"/>
        <w:rPr>
          <w:rFonts w:cs="Arial"/>
          <w:i/>
          <w:szCs w:val="22"/>
          <w:lang w:val="fr-BE"/>
        </w:rPr>
      </w:pPr>
      <w:hyperlink r:id="rId89" w:history="1">
        <w:r>
          <w:rPr>
            <w:rStyle w:val="Lienhypertexte"/>
            <w:rFonts w:cs="Arial"/>
            <w:i/>
            <w:color w:val="auto"/>
            <w:szCs w:val="22"/>
          </w:rPr>
          <w:t>Arrêtés du gouvernement du 08/10/2009 et du 23/12/2010 définissant la composition des commissions consultatives de l’enseignement spécialisé </w:t>
        </w:r>
      </w:hyperlink>
      <w:r>
        <w:rPr>
          <w:rFonts w:cs="Arial"/>
          <w:i/>
          <w:szCs w:val="22"/>
        </w:rPr>
        <w:t>;</w:t>
      </w:r>
    </w:p>
    <w:p>
      <w:pPr>
        <w:ind w:left="1980"/>
        <w:jc w:val="both"/>
        <w:rPr>
          <w:rFonts w:cs="Arial"/>
          <w:szCs w:val="22"/>
          <w:lang w:val="fr-BE"/>
        </w:rPr>
      </w:pPr>
      <w:hyperlink r:id="rId90" w:history="1">
        <w:r>
          <w:rPr>
            <w:rStyle w:val="Lienhypertexte"/>
            <w:rFonts w:cs="Arial"/>
            <w:i/>
            <w:color w:val="auto"/>
            <w:szCs w:val="22"/>
          </w:rPr>
          <w:t>Décret du 26 mars 2009 portant diverses dispositions en matière d’enseignement en alternance, d’enseignement spécialisé et d’enseignement de promotion sociale</w:t>
        </w:r>
      </w:hyperlink>
      <w:r>
        <w:rPr>
          <w:rFonts w:cs="Arial"/>
          <w:szCs w:val="22"/>
        </w:rPr>
        <w:t>.</w:t>
      </w:r>
    </w:p>
    <w:p>
      <w:pPr>
        <w:jc w:val="both"/>
        <w:rPr>
          <w:rFonts w:cs="Arial"/>
          <w:i/>
        </w:rPr>
      </w:pPr>
    </w:p>
    <w:p>
      <w:pPr>
        <w:pStyle w:val="Titre3"/>
      </w:pPr>
      <w:bookmarkStart w:id="740" w:name="_Toc264538512"/>
      <w:bookmarkStart w:id="741" w:name="_Toc295932007"/>
      <w:bookmarkStart w:id="742" w:name="_Toc295913747"/>
      <w:bookmarkStart w:id="743" w:name="_Toc423420026"/>
      <w:bookmarkStart w:id="744" w:name="_Toc450645233"/>
      <w:bookmarkStart w:id="745" w:name="_Toc453942469"/>
      <w:bookmarkStart w:id="746" w:name="_Toc454888086"/>
      <w:bookmarkStart w:id="747" w:name="_Toc486241748"/>
      <w:r>
        <w:t>2.9.1. Missions des commissions consultatives</w:t>
      </w:r>
      <w:bookmarkEnd w:id="740"/>
      <w:bookmarkEnd w:id="741"/>
      <w:bookmarkEnd w:id="742"/>
      <w:bookmarkEnd w:id="743"/>
      <w:bookmarkEnd w:id="744"/>
      <w:bookmarkEnd w:id="745"/>
      <w:bookmarkEnd w:id="746"/>
      <w:bookmarkEnd w:id="747"/>
    </w:p>
    <w:p>
      <w:pPr>
        <w:pStyle w:val="Retraitcorpsdetexte"/>
        <w:ind w:left="539"/>
        <w:rPr>
          <w:b/>
          <w:szCs w:val="22"/>
        </w:rPr>
      </w:pPr>
    </w:p>
    <w:p>
      <w:pPr>
        <w:pStyle w:val="Retraitcorpsdetexte"/>
        <w:ind w:left="0"/>
        <w:rPr>
          <w:szCs w:val="22"/>
        </w:rPr>
      </w:pPr>
      <w:r>
        <w:rPr>
          <w:szCs w:val="22"/>
        </w:rPr>
        <w:t xml:space="preserve">Ces missions sont fixées par le Décret organisant l'Enseignement spécialisé du 3 mars 2004 (chapitre IX, art. 125), complété par l’article 22 du Décret du 26 mars 2009. </w:t>
      </w:r>
    </w:p>
    <w:p>
      <w:pPr>
        <w:jc w:val="both"/>
        <w:rPr>
          <w:rFonts w:cs="Arial"/>
          <w:szCs w:val="22"/>
        </w:rPr>
      </w:pPr>
    </w:p>
    <w:p>
      <w:pPr>
        <w:numPr>
          <w:ilvl w:val="1"/>
          <w:numId w:val="0"/>
        </w:numPr>
        <w:tabs>
          <w:tab w:val="num" w:pos="540"/>
          <w:tab w:val="left" w:pos="1383"/>
        </w:tabs>
        <w:jc w:val="both"/>
        <w:rPr>
          <w:rFonts w:cs="Arial"/>
          <w:szCs w:val="22"/>
        </w:rPr>
      </w:pPr>
      <w:r>
        <w:rPr>
          <w:rFonts w:cs="Arial"/>
          <w:szCs w:val="22"/>
        </w:rPr>
        <w:t xml:space="preserve">Les commissions consultatives ont, notamment, pour mission de </w:t>
      </w:r>
      <w:r>
        <w:rPr>
          <w:rFonts w:cs="Arial"/>
          <w:szCs w:val="22"/>
          <w:u w:val="single"/>
        </w:rPr>
        <w:t>donner un avis motivé</w:t>
      </w:r>
      <w:r>
        <w:rPr>
          <w:rFonts w:cs="Arial"/>
          <w:szCs w:val="22"/>
        </w:rPr>
        <w:t xml:space="preserve"> sur une demande concernant l’opportunité de transférer dans un établissement d’enseignement spécialisé un élève inscrit dans un établissement d’enseignement ordinaire. </w:t>
      </w:r>
    </w:p>
    <w:p>
      <w:pPr>
        <w:numPr>
          <w:ilvl w:val="1"/>
          <w:numId w:val="0"/>
        </w:numPr>
        <w:tabs>
          <w:tab w:val="num" w:pos="540"/>
          <w:tab w:val="left" w:pos="1383"/>
        </w:tabs>
        <w:jc w:val="both"/>
        <w:rPr>
          <w:rFonts w:cs="Arial"/>
          <w:szCs w:val="22"/>
        </w:rPr>
      </w:pPr>
    </w:p>
    <w:p>
      <w:pPr>
        <w:pStyle w:val="Titre3"/>
      </w:pPr>
      <w:bookmarkStart w:id="748" w:name="_Toc264538513"/>
      <w:bookmarkStart w:id="749" w:name="_Toc295932008"/>
      <w:bookmarkStart w:id="750" w:name="_Toc295913748"/>
      <w:bookmarkStart w:id="751" w:name="_Toc423420027"/>
      <w:bookmarkStart w:id="752" w:name="_Toc450645234"/>
      <w:bookmarkStart w:id="753" w:name="_Toc453942470"/>
      <w:bookmarkStart w:id="754" w:name="_Toc454888087"/>
      <w:bookmarkStart w:id="755" w:name="_Toc486241749"/>
      <w:r>
        <w:t>2.9.2. Introduction des demandes</w:t>
      </w:r>
      <w:bookmarkEnd w:id="748"/>
      <w:bookmarkEnd w:id="749"/>
      <w:bookmarkEnd w:id="750"/>
      <w:bookmarkEnd w:id="751"/>
      <w:bookmarkEnd w:id="752"/>
      <w:bookmarkEnd w:id="753"/>
      <w:bookmarkEnd w:id="754"/>
      <w:bookmarkEnd w:id="755"/>
    </w:p>
    <w:p>
      <w:pPr>
        <w:jc w:val="both"/>
        <w:rPr>
          <w:rFonts w:cs="Arial"/>
          <w:szCs w:val="22"/>
        </w:rPr>
      </w:pPr>
    </w:p>
    <w:p>
      <w:pPr>
        <w:numPr>
          <w:ilvl w:val="1"/>
          <w:numId w:val="0"/>
        </w:numPr>
        <w:tabs>
          <w:tab w:val="num" w:pos="540"/>
          <w:tab w:val="left" w:pos="1383"/>
        </w:tabs>
        <w:jc w:val="both"/>
        <w:rPr>
          <w:rFonts w:cs="Arial"/>
          <w:szCs w:val="22"/>
        </w:rPr>
      </w:pPr>
      <w:r>
        <w:rPr>
          <w:rFonts w:cs="Arial"/>
          <w:szCs w:val="22"/>
        </w:rPr>
        <w:t>La demande d’avis peut être introduite:</w:t>
      </w:r>
    </w:p>
    <w:p>
      <w:pPr>
        <w:numPr>
          <w:ilvl w:val="0"/>
          <w:numId w:val="134"/>
        </w:numPr>
        <w:tabs>
          <w:tab w:val="left" w:pos="1383"/>
        </w:tabs>
        <w:ind w:left="359"/>
        <w:jc w:val="both"/>
        <w:rPr>
          <w:rFonts w:cs="Arial"/>
          <w:szCs w:val="22"/>
        </w:rPr>
      </w:pPr>
      <w:r>
        <w:rPr>
          <w:rFonts w:cs="Arial"/>
          <w:szCs w:val="22"/>
        </w:rPr>
        <w:t>soit par le chef de famille;</w:t>
      </w:r>
    </w:p>
    <w:p>
      <w:pPr>
        <w:numPr>
          <w:ilvl w:val="0"/>
          <w:numId w:val="134"/>
        </w:numPr>
        <w:tabs>
          <w:tab w:val="left" w:pos="1383"/>
        </w:tabs>
        <w:ind w:left="359"/>
        <w:jc w:val="both"/>
        <w:rPr>
          <w:rFonts w:cs="Arial"/>
          <w:szCs w:val="22"/>
        </w:rPr>
      </w:pPr>
      <w:r>
        <w:rPr>
          <w:rFonts w:cs="Arial"/>
          <w:szCs w:val="22"/>
        </w:rPr>
        <w:t>soit par un membre de l’inspection scolaire de la fédération Wallonie-Bruxelles;</w:t>
      </w:r>
    </w:p>
    <w:p>
      <w:pPr>
        <w:numPr>
          <w:ilvl w:val="0"/>
          <w:numId w:val="134"/>
        </w:numPr>
        <w:tabs>
          <w:tab w:val="left" w:pos="1383"/>
        </w:tabs>
        <w:ind w:left="359"/>
        <w:jc w:val="both"/>
        <w:rPr>
          <w:rFonts w:cs="Arial"/>
          <w:szCs w:val="22"/>
        </w:rPr>
      </w:pPr>
      <w:r>
        <w:rPr>
          <w:rFonts w:cs="Arial"/>
          <w:szCs w:val="22"/>
        </w:rPr>
        <w:t>soit par un chef d’établissement de l’enseignement ordinaire;</w:t>
      </w:r>
    </w:p>
    <w:p>
      <w:pPr>
        <w:numPr>
          <w:ilvl w:val="0"/>
          <w:numId w:val="134"/>
        </w:numPr>
        <w:tabs>
          <w:tab w:val="left" w:pos="1383"/>
        </w:tabs>
        <w:ind w:left="359"/>
        <w:jc w:val="both"/>
        <w:rPr>
          <w:rFonts w:cs="Arial"/>
          <w:szCs w:val="22"/>
        </w:rPr>
      </w:pPr>
      <w:r>
        <w:rPr>
          <w:rFonts w:cs="Arial"/>
          <w:szCs w:val="22"/>
        </w:rPr>
        <w:t>soit par un médecin responsable d’une équipe chargée de l’inspection médicale scolaire.</w:t>
      </w:r>
    </w:p>
    <w:p>
      <w:pPr>
        <w:jc w:val="both"/>
        <w:rPr>
          <w:rFonts w:cs="Arial"/>
          <w:szCs w:val="22"/>
        </w:rPr>
      </w:pPr>
    </w:p>
    <w:p>
      <w:pPr>
        <w:jc w:val="both"/>
        <w:rPr>
          <w:rFonts w:cs="Arial"/>
          <w:szCs w:val="22"/>
        </w:rPr>
      </w:pPr>
      <w:r>
        <w:rPr>
          <w:rFonts w:cs="Arial"/>
          <w:szCs w:val="22"/>
        </w:rPr>
        <w:t xml:space="preserve">Les dossiers complets dûment motivés doivent être introduits par l’intermédiaire du formulaire de demande adéquat repris en </w:t>
      </w:r>
      <w:hyperlink w:anchor="Annexe_29" w:history="1">
        <w:r>
          <w:rPr>
            <w:rStyle w:val="Lienhypertexte"/>
            <w:rFonts w:cs="Arial"/>
            <w:color w:val="auto"/>
            <w:szCs w:val="22"/>
          </w:rPr>
          <w:t>annexe 2.9.</w:t>
        </w:r>
      </w:hyperlink>
      <w:r>
        <w:rPr>
          <w:rFonts w:cs="Arial"/>
          <w:szCs w:val="22"/>
        </w:rPr>
        <w:t xml:space="preserve"> auprès de :</w:t>
      </w:r>
    </w:p>
    <w:p>
      <w:pPr>
        <w:jc w:val="both"/>
        <w:rPr>
          <w:rFonts w:cs="Arial"/>
          <w:szCs w:val="22"/>
        </w:rPr>
      </w:pP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Cs w:val="22"/>
        </w:rPr>
      </w:pPr>
      <w:r>
        <w:rPr>
          <w:rFonts w:cs="Arial"/>
          <w:szCs w:val="22"/>
        </w:rPr>
        <w:t>Direction générale de l’Enseignement obligatoire</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Cs w:val="22"/>
        </w:rPr>
      </w:pPr>
      <w:r>
        <w:rPr>
          <w:rFonts w:cs="Arial"/>
          <w:szCs w:val="22"/>
        </w:rPr>
        <w:t>Service de l’enseignement spécialisé</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Cs w:val="22"/>
        </w:rPr>
      </w:pPr>
      <w:r>
        <w:rPr>
          <w:rFonts w:cs="Arial"/>
          <w:szCs w:val="22"/>
        </w:rPr>
        <w:t>Madame Nathalie DUJARDIN</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Cs w:val="22"/>
        </w:rPr>
      </w:pPr>
      <w:r>
        <w:rPr>
          <w:rFonts w:cs="Arial"/>
          <w:szCs w:val="22"/>
        </w:rPr>
        <w:t xml:space="preserve">Bureau </w:t>
      </w:r>
      <w:smartTag w:uri="urn:schemas-microsoft-com:office:smarttags" w:element="metricconverter">
        <w:smartTagPr>
          <w:attr w:name="ProductID" w:val="2 F"/>
        </w:smartTagPr>
        <w:r>
          <w:rPr>
            <w:rFonts w:cs="Arial"/>
            <w:szCs w:val="22"/>
          </w:rPr>
          <w:t>2 F</w:t>
        </w:r>
      </w:smartTag>
      <w:r>
        <w:rPr>
          <w:rFonts w:cs="Arial"/>
          <w:szCs w:val="22"/>
        </w:rPr>
        <w:t xml:space="preserve"> 246</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Cs w:val="22"/>
        </w:rPr>
      </w:pPr>
      <w:r>
        <w:rPr>
          <w:rFonts w:cs="Arial"/>
          <w:szCs w:val="22"/>
        </w:rPr>
        <w:t>Rue Adolphe Lavallée, 1</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Cs w:val="22"/>
        </w:rPr>
      </w:pPr>
      <w:r>
        <w:rPr>
          <w:rFonts w:cs="Arial"/>
          <w:szCs w:val="22"/>
        </w:rPr>
        <w:t>1080  Bruxelles</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Cs w:val="22"/>
        </w:rPr>
      </w:pPr>
      <w:r>
        <w:rPr>
          <w:rFonts w:cs="Arial"/>
          <w:szCs w:val="22"/>
        </w:rPr>
        <w:t xml:space="preserve">Tél. : 02/690.88.59 – GSM : 0472/94.31.95 </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Cs w:val="22"/>
        </w:rPr>
      </w:pPr>
      <w:r>
        <w:rPr>
          <w:rFonts w:cs="Arial"/>
          <w:szCs w:val="22"/>
        </w:rPr>
        <w:t xml:space="preserve">Email : </w:t>
      </w:r>
      <w:hyperlink r:id="rId91" w:history="1">
        <w:r>
          <w:rPr>
            <w:rStyle w:val="Lienhypertexte"/>
            <w:rFonts w:cs="Arial"/>
            <w:color w:val="auto"/>
            <w:szCs w:val="22"/>
          </w:rPr>
          <w:t>nathalie.dujardin@cfwb.be</w:t>
        </w:r>
      </w:hyperlink>
      <w:r>
        <w:rPr>
          <w:rFonts w:cs="Arial"/>
          <w:szCs w:val="22"/>
        </w:rPr>
        <w:t xml:space="preserve"> </w:t>
      </w:r>
    </w:p>
    <w:p>
      <w:pPr>
        <w:pBdr>
          <w:top w:val="single" w:sz="4" w:space="4" w:color="auto"/>
          <w:left w:val="single" w:sz="4" w:space="4" w:color="auto"/>
          <w:bottom w:val="single" w:sz="4" w:space="4" w:color="auto"/>
          <w:right w:val="single" w:sz="4" w:space="4" w:color="auto"/>
        </w:pBd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center"/>
        <w:rPr>
          <w:rFonts w:cs="Arial"/>
          <w:szCs w:val="22"/>
        </w:rPr>
      </w:pPr>
      <w:r>
        <w:rPr>
          <w:rFonts w:cs="Arial"/>
          <w:szCs w:val="22"/>
        </w:rPr>
        <w:t>Fax : 02/690.85.90</w:t>
      </w: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both"/>
        <w:rPr>
          <w:rFonts w:cs="Arial"/>
          <w:szCs w:val="22"/>
        </w:rPr>
      </w:pPr>
    </w:p>
    <w:p>
      <w:pPr>
        <w:tabs>
          <w:tab w:val="left" w:pos="-420"/>
        </w:tabs>
        <w:jc w:val="both"/>
        <w:rPr>
          <w:rFonts w:cs="Arial"/>
          <w:b/>
          <w:szCs w:val="22"/>
        </w:rPr>
      </w:pPr>
      <w:r>
        <w:rPr>
          <w:rFonts w:cs="Arial"/>
          <w:szCs w:val="22"/>
        </w:rPr>
        <w:t>Dès la réception d’un dossier, le secrétaire des commissions consultatives, en collaboration avec l’inspecteur coordonnateur de l’enseignement spécialisé, s’assure que celui-ci comprend toutes les informations permettant à la Commission consultative concernée de rendre un avis en parfaite connaissance de cause.</w:t>
      </w:r>
      <w:r>
        <w:rPr>
          <w:rFonts w:cs="Arial"/>
          <w:b/>
          <w:szCs w:val="22"/>
        </w:rPr>
        <w:t xml:space="preserve"> </w:t>
      </w:r>
      <w:r>
        <w:rPr>
          <w:rFonts w:cs="Arial"/>
          <w:szCs w:val="22"/>
        </w:rPr>
        <w:t xml:space="preserve">Les informations à caractère confidentiel sont jointes </w:t>
      </w:r>
      <w:r>
        <w:rPr>
          <w:rFonts w:cs="Arial"/>
          <w:b/>
          <w:szCs w:val="22"/>
          <w:u w:val="single"/>
        </w:rPr>
        <w:t>sous enveloppe fermée marquée de la mention «confidentiel »</w:t>
      </w:r>
      <w:r>
        <w:rPr>
          <w:rFonts w:cs="Arial"/>
          <w:b/>
          <w:szCs w:val="22"/>
        </w:rPr>
        <w:t>.</w:t>
      </w:r>
    </w:p>
    <w:p>
      <w:pPr>
        <w:tabs>
          <w:tab w:val="left" w:pos="-420"/>
        </w:tabs>
        <w:jc w:val="both"/>
        <w:rPr>
          <w:rFonts w:cs="Arial"/>
          <w:b/>
          <w:szCs w:val="22"/>
        </w:rPr>
      </w:pPr>
    </w:p>
    <w:p>
      <w:pPr>
        <w:tabs>
          <w:tab w:val="left" w:pos="-420"/>
        </w:tabs>
        <w:jc w:val="both"/>
        <w:rPr>
          <w:rFonts w:cs="Arial"/>
          <w:szCs w:val="22"/>
        </w:rPr>
      </w:pPr>
      <w:r>
        <w:rPr>
          <w:rFonts w:cs="Arial"/>
          <w:szCs w:val="22"/>
        </w:rPr>
        <w:t xml:space="preserve">L’Inspecteur coordonnateur de l’enseignement spécialisé donne mission et transmet le dossier au président de </w:t>
      </w:r>
      <w:smartTag w:uri="urn:schemas-microsoft-com:office:smarttags" w:element="PersonName">
        <w:smartTagPr>
          <w:attr w:name="ProductID" w:val="la Commission"/>
        </w:smartTagPr>
        <w:r>
          <w:rPr>
            <w:rFonts w:cs="Arial"/>
            <w:szCs w:val="22"/>
          </w:rPr>
          <w:t>la Commission</w:t>
        </w:r>
      </w:smartTag>
      <w:r>
        <w:rPr>
          <w:rFonts w:cs="Arial"/>
          <w:szCs w:val="22"/>
        </w:rPr>
        <w:t xml:space="preserve"> consultative dont dépend la demande d’avis.</w:t>
      </w:r>
    </w:p>
    <w:p>
      <w:pPr>
        <w:tabs>
          <w:tab w:val="left" w:pos="-420"/>
        </w:tabs>
        <w:jc w:val="both"/>
        <w:rPr>
          <w:rFonts w:cs="Arial"/>
          <w:b/>
          <w:szCs w:val="22"/>
        </w:rPr>
      </w:pPr>
    </w:p>
    <w:p>
      <w:pPr>
        <w:tabs>
          <w:tab w:val="left" w:pos="-420"/>
        </w:tabs>
        <w:jc w:val="both"/>
        <w:rPr>
          <w:rFonts w:cs="Arial"/>
          <w:b/>
          <w:szCs w:val="22"/>
        </w:rPr>
      </w:pPr>
    </w:p>
    <w:p>
      <w:pPr>
        <w:tabs>
          <w:tab w:val="left" w:pos="-420"/>
        </w:tabs>
        <w:jc w:val="both"/>
        <w:rPr>
          <w:rFonts w:cs="Arial"/>
          <w:b/>
          <w:szCs w:val="22"/>
        </w:rPr>
      </w:pPr>
    </w:p>
    <w:p>
      <w:pPr>
        <w:tabs>
          <w:tab w:val="left" w:pos="-420"/>
        </w:tabs>
        <w:jc w:val="both"/>
        <w:rPr>
          <w:rFonts w:cs="Arial"/>
          <w:b/>
          <w:szCs w:val="22"/>
        </w:rPr>
      </w:pPr>
    </w:p>
    <w:p>
      <w:pPr>
        <w:pStyle w:val="Titre3"/>
      </w:pPr>
      <w:bookmarkStart w:id="756" w:name="_Toc264538514"/>
      <w:bookmarkStart w:id="757" w:name="_Toc295932009"/>
      <w:bookmarkStart w:id="758" w:name="_Toc295913749"/>
      <w:bookmarkStart w:id="759" w:name="_Toc423420028"/>
      <w:bookmarkStart w:id="760" w:name="_Toc450645235"/>
      <w:bookmarkStart w:id="761" w:name="_Toc453942471"/>
      <w:bookmarkStart w:id="762" w:name="_Toc454888088"/>
      <w:bookmarkStart w:id="763" w:name="_Toc486241750"/>
      <w:r>
        <w:t>2.9.3. Modalités d’organisation des commissions consultatives</w:t>
      </w:r>
      <w:bookmarkEnd w:id="756"/>
      <w:bookmarkEnd w:id="757"/>
      <w:bookmarkEnd w:id="758"/>
      <w:bookmarkEnd w:id="759"/>
      <w:bookmarkEnd w:id="760"/>
      <w:bookmarkEnd w:id="761"/>
      <w:bookmarkEnd w:id="762"/>
      <w:bookmarkEnd w:id="763"/>
    </w:p>
    <w:p>
      <w:pPr>
        <w:jc w:val="both"/>
        <w:rPr>
          <w:rFonts w:cs="Arial"/>
          <w:szCs w:val="22"/>
        </w:rPr>
      </w:pPr>
    </w:p>
    <w:p>
      <w:pPr>
        <w:numPr>
          <w:ilvl w:val="1"/>
          <w:numId w:val="0"/>
        </w:numPr>
        <w:jc w:val="both"/>
        <w:rPr>
          <w:rFonts w:cs="Arial"/>
          <w:szCs w:val="22"/>
        </w:rPr>
      </w:pPr>
      <w:r>
        <w:rPr>
          <w:rFonts w:cs="Arial"/>
          <w:szCs w:val="22"/>
        </w:rPr>
        <w:t>Lieu de réunion : déterminé dans un endroit désigné de commun accord avec les membres;</w:t>
      </w:r>
    </w:p>
    <w:p>
      <w:pPr>
        <w:numPr>
          <w:ilvl w:val="1"/>
          <w:numId w:val="0"/>
        </w:numPr>
        <w:jc w:val="both"/>
        <w:rPr>
          <w:rFonts w:cs="Arial"/>
          <w:szCs w:val="22"/>
        </w:rPr>
      </w:pPr>
      <w:r>
        <w:rPr>
          <w:rFonts w:cs="Arial"/>
          <w:szCs w:val="22"/>
        </w:rPr>
        <w:t>Date de réunion et ordre du jour : fixés par le président ;</w:t>
      </w:r>
    </w:p>
    <w:p>
      <w:pPr>
        <w:numPr>
          <w:ilvl w:val="1"/>
          <w:numId w:val="0"/>
        </w:numPr>
        <w:ind w:left="1619" w:hanging="1620"/>
        <w:jc w:val="both"/>
        <w:rPr>
          <w:rFonts w:cs="Arial"/>
          <w:szCs w:val="22"/>
        </w:rPr>
      </w:pPr>
      <w:r>
        <w:rPr>
          <w:rFonts w:cs="Arial"/>
          <w:szCs w:val="22"/>
        </w:rPr>
        <w:t xml:space="preserve">Convocations: </w:t>
      </w:r>
      <w:r>
        <w:rPr>
          <w:rFonts w:cs="Arial"/>
          <w:szCs w:val="22"/>
        </w:rPr>
        <w:tab/>
        <w:t>envoyées par le secrétaire de la commission, au moins huit jours calendrier avant la date de la séance prévue ;</w:t>
      </w:r>
    </w:p>
    <w:p>
      <w:pPr>
        <w:numPr>
          <w:ilvl w:val="1"/>
          <w:numId w:val="0"/>
        </w:numPr>
        <w:ind w:left="1134" w:hanging="1135"/>
        <w:jc w:val="both"/>
        <w:rPr>
          <w:rFonts w:cs="Arial"/>
          <w:szCs w:val="22"/>
        </w:rPr>
      </w:pPr>
      <w:r>
        <w:rPr>
          <w:rFonts w:cs="Arial"/>
          <w:szCs w:val="22"/>
        </w:rPr>
        <w:t xml:space="preserve">Absence : </w:t>
      </w:r>
      <w:r>
        <w:rPr>
          <w:rFonts w:cs="Arial"/>
          <w:szCs w:val="22"/>
        </w:rPr>
        <w:tab/>
        <w:t xml:space="preserve">le membre effectif empêché avertit le président et invite lui-même son suppléant à le remplacer. </w:t>
      </w:r>
    </w:p>
    <w:p>
      <w:pPr>
        <w:numPr>
          <w:ilvl w:val="1"/>
          <w:numId w:val="0"/>
        </w:numPr>
        <w:ind w:left="1619" w:hanging="1620"/>
        <w:jc w:val="both"/>
        <w:rPr>
          <w:rFonts w:cs="Arial"/>
          <w:szCs w:val="22"/>
        </w:rPr>
      </w:pPr>
    </w:p>
    <w:p>
      <w:pPr>
        <w:pStyle w:val="Titre3"/>
      </w:pPr>
      <w:bookmarkStart w:id="764" w:name="_Toc264538515"/>
      <w:bookmarkStart w:id="765" w:name="_Toc295932010"/>
      <w:bookmarkStart w:id="766" w:name="_Toc295913750"/>
      <w:bookmarkStart w:id="767" w:name="_Toc423420029"/>
      <w:bookmarkStart w:id="768" w:name="_Toc450645236"/>
      <w:bookmarkStart w:id="769" w:name="_Toc453942472"/>
      <w:bookmarkStart w:id="770" w:name="_Toc454888089"/>
      <w:bookmarkStart w:id="771" w:name="_Toc486241751"/>
      <w:r>
        <w:t>2.9.4. Fonctionnement des commissions consultatives</w:t>
      </w:r>
      <w:bookmarkEnd w:id="764"/>
      <w:bookmarkEnd w:id="765"/>
      <w:bookmarkEnd w:id="766"/>
      <w:bookmarkEnd w:id="767"/>
      <w:bookmarkEnd w:id="768"/>
      <w:bookmarkEnd w:id="769"/>
      <w:bookmarkEnd w:id="770"/>
      <w:bookmarkEnd w:id="771"/>
      <w:r>
        <w:t xml:space="preserve"> </w:t>
      </w: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both"/>
        <w:rPr>
          <w:rFonts w:cs="Arial"/>
          <w:b/>
          <w:szCs w:val="22"/>
        </w:rPr>
      </w:pPr>
    </w:p>
    <w:p>
      <w:pPr>
        <w:tabs>
          <w:tab w:val="left" w:pos="-420"/>
          <w:tab w:val="left" w:pos="360"/>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 w:val="left" w:pos="13248"/>
        </w:tabs>
        <w:jc w:val="both"/>
        <w:rPr>
          <w:rFonts w:cs="Arial"/>
          <w:szCs w:val="22"/>
        </w:rPr>
      </w:pPr>
      <w:r>
        <w:rPr>
          <w:rFonts w:cs="Arial"/>
          <w:szCs w:val="22"/>
          <w:u w:val="single"/>
        </w:rPr>
        <w:t>Avant de donner son avis</w:t>
      </w:r>
      <w:r>
        <w:rPr>
          <w:rFonts w:cs="Arial"/>
          <w:szCs w:val="22"/>
        </w:rPr>
        <w:t>, la commission consultative de l’Enseignement spécialisé est tenue:</w:t>
      </w:r>
    </w:p>
    <w:p>
      <w:pPr>
        <w:numPr>
          <w:ilvl w:val="0"/>
          <w:numId w:val="122"/>
        </w:numPr>
        <w:tabs>
          <w:tab w:val="left" w:pos="-420"/>
        </w:tabs>
        <w:ind w:left="1068"/>
        <w:jc w:val="both"/>
        <w:rPr>
          <w:rFonts w:cs="Arial"/>
          <w:szCs w:val="22"/>
        </w:rPr>
      </w:pPr>
      <w:r>
        <w:rPr>
          <w:rFonts w:cs="Arial"/>
          <w:szCs w:val="22"/>
        </w:rPr>
        <w:t>d’inviter le chef de famille ou le responsable légal à se présenter devant ladite commission afin de faire entendre son point de vue; celui-ci peut se faire assister par le conseil de son choix;</w:t>
      </w:r>
    </w:p>
    <w:p>
      <w:pPr>
        <w:numPr>
          <w:ilvl w:val="0"/>
          <w:numId w:val="122"/>
        </w:numPr>
        <w:tabs>
          <w:tab w:val="left" w:pos="-420"/>
        </w:tabs>
        <w:ind w:left="1068"/>
        <w:jc w:val="both"/>
        <w:rPr>
          <w:rFonts w:cs="Arial"/>
          <w:szCs w:val="22"/>
        </w:rPr>
      </w:pPr>
      <w:r>
        <w:rPr>
          <w:rFonts w:cs="Arial"/>
          <w:szCs w:val="22"/>
        </w:rPr>
        <w:t>de faire établir, le cas échéant, le rapport établi par l’organisme tel que déterminé par l’article 12 du décret du 3 mars 2004.</w:t>
      </w:r>
    </w:p>
    <w:p>
      <w:pPr>
        <w:tabs>
          <w:tab w:val="left" w:pos="-420"/>
        </w:tabs>
        <w:ind w:left="708"/>
        <w:jc w:val="both"/>
        <w:rPr>
          <w:rFonts w:cs="Arial"/>
          <w:szCs w:val="22"/>
        </w:rPr>
      </w:pPr>
    </w:p>
    <w:p>
      <w:pPr>
        <w:tabs>
          <w:tab w:val="left" w:pos="-420"/>
        </w:tabs>
        <w:jc w:val="both"/>
        <w:rPr>
          <w:rFonts w:cs="Arial"/>
          <w:szCs w:val="22"/>
        </w:rPr>
      </w:pPr>
      <w:r>
        <w:rPr>
          <w:rFonts w:cs="Arial"/>
          <w:szCs w:val="22"/>
        </w:rPr>
        <w:t>Le chef de famille choisit l’organisme ou le médecin qui établira le rapport.</w:t>
      </w: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szCs w:val="22"/>
        </w:rPr>
      </w:pPr>
    </w:p>
    <w:p>
      <w:pPr>
        <w:tabs>
          <w:tab w:val="left" w:pos="-420"/>
          <w:tab w:val="left" w:pos="522"/>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szCs w:val="22"/>
        </w:rPr>
      </w:pPr>
      <w:r>
        <w:rPr>
          <w:rFonts w:cs="Arial"/>
          <w:szCs w:val="22"/>
        </w:rPr>
        <w:t>Si le chef de famille ne veut pas être entendu ou refuse de faire examiner son enfant en vue de la rédaction du rapport prévu, la commission se prononcera alors sans que l’enfant ait été examiné.</w:t>
      </w:r>
    </w:p>
    <w:p>
      <w:pPr>
        <w:tabs>
          <w:tab w:val="left" w:pos="-420"/>
          <w:tab w:val="left" w:pos="522"/>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szCs w:val="22"/>
        </w:rPr>
      </w:pP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b/>
          <w:szCs w:val="22"/>
        </w:rPr>
      </w:pPr>
      <w:r>
        <w:rPr>
          <w:rFonts w:cs="Arial"/>
          <w:b/>
          <w:szCs w:val="22"/>
        </w:rPr>
        <w:t>La commission consultative de l’enseignement spécialisé communique son avis au chef de famille ou la personne responsable de l'élève par pli recommandé à la poste sauf en ce qui concerne la mission relative à la capacité de discernement d’un élève qui a commis un acte de violence (décret du 26.03.2009, art</w:t>
      </w:r>
      <w:r>
        <w:rPr>
          <w:rFonts w:cs="Arial"/>
          <w:szCs w:val="22"/>
        </w:rPr>
        <w:t>.</w:t>
      </w:r>
      <w:r>
        <w:rPr>
          <w:rFonts w:cs="Arial"/>
          <w:b/>
          <w:szCs w:val="22"/>
        </w:rPr>
        <w:t>22 et 23).</w:t>
      </w:r>
    </w:p>
    <w:p>
      <w:pPr>
        <w:tabs>
          <w:tab w:val="left" w:pos="-420"/>
          <w:tab w:val="left" w:pos="997"/>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 w:val="left" w:pos="10368"/>
          <w:tab w:val="left" w:pos="11088"/>
          <w:tab w:val="left" w:pos="11808"/>
          <w:tab w:val="left" w:pos="12528"/>
        </w:tabs>
        <w:jc w:val="both"/>
        <w:rPr>
          <w:rFonts w:cs="Arial"/>
          <w:szCs w:val="22"/>
        </w:rPr>
      </w:pPr>
    </w:p>
    <w:p>
      <w:pPr>
        <w:tabs>
          <w:tab w:val="left" w:pos="-420"/>
        </w:tabs>
        <w:jc w:val="both"/>
        <w:rPr>
          <w:rFonts w:cs="Arial"/>
          <w:szCs w:val="22"/>
        </w:rPr>
      </w:pPr>
      <w:r>
        <w:rPr>
          <w:rFonts w:cs="Arial"/>
          <w:szCs w:val="22"/>
        </w:rPr>
        <w:t xml:space="preserve">Si l’enfant semble relever de l’enseignement spécialisé selon les dispositions du décret du 3 mars 2004, la commission, </w:t>
      </w:r>
      <w:r>
        <w:rPr>
          <w:rFonts w:cs="Arial"/>
          <w:b/>
          <w:i/>
          <w:szCs w:val="22"/>
        </w:rPr>
        <w:t>en collaboration avec le PMS de tutelle</w:t>
      </w:r>
      <w:r>
        <w:rPr>
          <w:rFonts w:cs="Arial"/>
          <w:szCs w:val="22"/>
        </w:rPr>
        <w:t>, indique le type d’enseignement spécialisé qui convient à l’intéressé. Elle fournit la liste complète des établissements des divers réseaux qui dispensent cet enseignement.</w:t>
      </w:r>
    </w:p>
    <w:p>
      <w:pPr>
        <w:tabs>
          <w:tab w:val="left" w:pos="-420"/>
        </w:tabs>
        <w:jc w:val="both"/>
        <w:rPr>
          <w:rFonts w:cs="Arial"/>
          <w:szCs w:val="22"/>
        </w:rPr>
      </w:pPr>
    </w:p>
    <w:p>
      <w:pPr>
        <w:tabs>
          <w:tab w:val="left" w:pos="-420"/>
        </w:tabs>
        <w:jc w:val="both"/>
        <w:rPr>
          <w:rFonts w:cs="Arial"/>
          <w:i/>
          <w:szCs w:val="22"/>
        </w:rPr>
      </w:pPr>
      <w:r>
        <w:rPr>
          <w:rFonts w:cs="Arial"/>
          <w:szCs w:val="22"/>
        </w:rPr>
        <w:t>Le chef de famille dispose d’un délai de 30 jours pour communiquer sa décision, par pli recommandé à la poste, au président de la commission consultative</w:t>
      </w:r>
      <w:r>
        <w:rPr>
          <w:rFonts w:cs="Arial"/>
          <w:i/>
          <w:szCs w:val="22"/>
        </w:rPr>
        <w:t>. L’absence de courrier est synonyme d’acquiescement.</w:t>
      </w:r>
    </w:p>
    <w:p>
      <w:pPr>
        <w:tabs>
          <w:tab w:val="left" w:pos="-420"/>
        </w:tabs>
        <w:jc w:val="both"/>
        <w:rPr>
          <w:rFonts w:cs="Arial"/>
          <w:szCs w:val="22"/>
        </w:rPr>
      </w:pPr>
    </w:p>
    <w:p>
      <w:pPr>
        <w:tabs>
          <w:tab w:val="left" w:pos="-420"/>
        </w:tabs>
        <w:jc w:val="both"/>
        <w:rPr>
          <w:rFonts w:cs="Arial"/>
          <w:szCs w:val="22"/>
        </w:rPr>
      </w:pPr>
      <w:r>
        <w:rPr>
          <w:rFonts w:cs="Arial"/>
          <w:szCs w:val="22"/>
        </w:rPr>
        <w:t>Si le chef de famille oppose une fin de non recevoir à la suggestion de la commission consultative ou s’il n’a pas fait choix d’un établissement, la commission consultative réexamine le cas et communique son avis définitif au chef de famille par lettre recommandée à la poste.</w:t>
      </w:r>
    </w:p>
    <w:p>
      <w:pPr>
        <w:tabs>
          <w:tab w:val="left" w:pos="-420"/>
        </w:tabs>
        <w:jc w:val="both"/>
        <w:rPr>
          <w:rFonts w:cs="Arial"/>
          <w:szCs w:val="22"/>
        </w:rPr>
      </w:pPr>
    </w:p>
    <w:p>
      <w:pPr>
        <w:tabs>
          <w:tab w:val="left" w:pos="-420"/>
        </w:tabs>
        <w:jc w:val="both"/>
        <w:rPr>
          <w:rFonts w:cs="Arial"/>
          <w:szCs w:val="22"/>
        </w:rPr>
      </w:pPr>
      <w:r>
        <w:rPr>
          <w:rFonts w:cs="Arial"/>
          <w:szCs w:val="22"/>
        </w:rPr>
        <w:t>Si, dans la quinzaine, le chef de famille n’a pas pris de dispositions conformes ou n’en a pas avisé la commission consultative, celle-ci communique le dossier au Gouvernement qui prend les mesures nécessaires afin de garantir la scolarisation de l’enfant.</w:t>
      </w:r>
    </w:p>
    <w:p>
      <w:pPr>
        <w:jc w:val="both"/>
        <w:rPr>
          <w:rFonts w:cs="Arial"/>
          <w:szCs w:val="22"/>
        </w:rPr>
      </w:pPr>
    </w:p>
    <w:p>
      <w:pPr>
        <w:jc w:val="both"/>
        <w:rPr>
          <w:rFonts w:cs="Arial"/>
          <w:szCs w:val="22"/>
        </w:rPr>
      </w:pPr>
      <w:r>
        <w:rPr>
          <w:b/>
        </w:rPr>
        <w:t xml:space="preserve">Les informations complètes relatives aux commissions consultatives sont reprises dans la </w:t>
      </w:r>
      <w:hyperlink r:id="rId92" w:history="1">
        <w:r>
          <w:rPr>
            <w:rStyle w:val="Lienhypertexte"/>
            <w:b/>
            <w:color w:val="auto"/>
            <w:szCs w:val="22"/>
            <w:u w:val="none"/>
          </w:rPr>
          <w:t xml:space="preserve">circulaire </w:t>
        </w:r>
        <w:r>
          <w:rPr>
            <w:b/>
          </w:rPr>
          <w:t>relative à l’organisation des établissements d’enseignement spécialisé 2016-2017</w:t>
        </w:r>
      </w:hyperlink>
      <w:r>
        <w:rPr>
          <w:b/>
        </w:rPr>
        <w:t>, téléchargeable</w:t>
      </w:r>
      <w:r>
        <w:t xml:space="preserve"> sur</w:t>
      </w:r>
      <w:r>
        <w:rPr>
          <w:b/>
        </w:rPr>
        <w:t xml:space="preserve"> </w:t>
      </w:r>
      <w:hyperlink r:id="rId93" w:history="1">
        <w:r>
          <w:rPr>
            <w:rStyle w:val="Lienhypertexte"/>
            <w:color w:val="auto"/>
            <w:szCs w:val="22"/>
          </w:rPr>
          <w:t>www.adm.cfwb.be</w:t>
        </w:r>
      </w:hyperlink>
    </w:p>
    <w:p>
      <w:pPr>
        <w:jc w:val="both"/>
        <w:rPr>
          <w:rFonts w:cs="Arial"/>
          <w:szCs w:val="22"/>
        </w:rPr>
      </w:pPr>
    </w:p>
    <w:p>
      <w:pPr>
        <w:pBdr>
          <w:top w:val="single" w:sz="4" w:space="1" w:color="auto"/>
          <w:left w:val="single" w:sz="4" w:space="4" w:color="auto"/>
          <w:bottom w:val="single" w:sz="4" w:space="1" w:color="auto"/>
          <w:right w:val="single" w:sz="4" w:space="4" w:color="auto"/>
        </w:pBdr>
        <w:jc w:val="center"/>
        <w:rPr>
          <w:b/>
        </w:rPr>
      </w:pPr>
      <w:r>
        <w:rPr>
          <w:b/>
        </w:rPr>
        <w:t>Renseignements</w:t>
      </w:r>
    </w:p>
    <w:p>
      <w:pPr>
        <w:pBdr>
          <w:top w:val="single" w:sz="4" w:space="1" w:color="auto"/>
          <w:left w:val="single" w:sz="4" w:space="4" w:color="auto"/>
          <w:bottom w:val="single" w:sz="4" w:space="1" w:color="auto"/>
          <w:right w:val="single" w:sz="4" w:space="4" w:color="auto"/>
        </w:pBdr>
        <w:jc w:val="center"/>
      </w:pPr>
    </w:p>
    <w:p>
      <w:pPr>
        <w:pBdr>
          <w:top w:val="single" w:sz="4" w:space="1" w:color="auto"/>
          <w:left w:val="single" w:sz="4" w:space="4" w:color="auto"/>
          <w:bottom w:val="single" w:sz="4" w:space="1" w:color="auto"/>
          <w:right w:val="single" w:sz="4" w:space="4" w:color="auto"/>
        </w:pBdr>
        <w:jc w:val="center"/>
      </w:pPr>
      <w:r>
        <w:t>Service de l’Enseignement spécialisé</w:t>
      </w:r>
    </w:p>
    <w:p>
      <w:pPr>
        <w:pBdr>
          <w:top w:val="single" w:sz="4" w:space="1" w:color="auto"/>
          <w:left w:val="single" w:sz="4" w:space="4" w:color="auto"/>
          <w:bottom w:val="single" w:sz="4" w:space="1" w:color="auto"/>
          <w:right w:val="single" w:sz="4" w:space="4" w:color="auto"/>
        </w:pBdr>
        <w:jc w:val="center"/>
      </w:pPr>
      <w:r>
        <w:t>Nathalie DUJARDIN</w:t>
      </w:r>
    </w:p>
    <w:p>
      <w:pPr>
        <w:pBdr>
          <w:top w:val="single" w:sz="4" w:space="1" w:color="auto"/>
          <w:left w:val="single" w:sz="4" w:space="4" w:color="auto"/>
          <w:bottom w:val="single" w:sz="4" w:space="1" w:color="auto"/>
          <w:right w:val="single" w:sz="4" w:space="4" w:color="auto"/>
        </w:pBdr>
        <w:jc w:val="center"/>
      </w:pPr>
    </w:p>
    <w:p>
      <w:pPr>
        <w:pBdr>
          <w:top w:val="single" w:sz="4" w:space="1" w:color="auto"/>
          <w:left w:val="single" w:sz="4" w:space="4" w:color="auto"/>
          <w:bottom w:val="single" w:sz="4" w:space="1" w:color="auto"/>
          <w:right w:val="single" w:sz="4" w:space="4" w:color="auto"/>
        </w:pBdr>
        <w:jc w:val="center"/>
        <w:rPr>
          <w:lang w:val="en-US"/>
        </w:rPr>
      </w:pPr>
      <w:r>
        <w:rPr>
          <w:lang w:val="en-US"/>
        </w:rPr>
        <w:t>Tél: 02/690.88.59 – GSM : 0472/94.31.95</w:t>
      </w:r>
    </w:p>
    <w:p>
      <w:pPr>
        <w:pBdr>
          <w:top w:val="single" w:sz="4" w:space="1" w:color="auto"/>
          <w:left w:val="single" w:sz="4" w:space="4" w:color="auto"/>
          <w:bottom w:val="single" w:sz="4" w:space="1" w:color="auto"/>
          <w:right w:val="single" w:sz="4" w:space="4" w:color="auto"/>
        </w:pBdr>
        <w:jc w:val="center"/>
        <w:rPr>
          <w:lang w:val="fr-BE"/>
        </w:rPr>
      </w:pPr>
      <w:r>
        <w:rPr>
          <w:lang w:val="fr-BE"/>
        </w:rPr>
        <w:t>Mail :</w:t>
      </w:r>
      <w:r>
        <w:rPr>
          <w:color w:val="00B050"/>
          <w:lang w:val="fr-BE"/>
        </w:rPr>
        <w:t xml:space="preserve"> </w:t>
      </w:r>
      <w:hyperlink r:id="rId94" w:history="1">
        <w:r>
          <w:rPr>
            <w:rStyle w:val="Lienhypertexte"/>
            <w:lang w:val="fr-BE"/>
          </w:rPr>
          <w:t>nathalie.dujardin@cfwb.be</w:t>
        </w:r>
      </w:hyperlink>
      <w:r>
        <w:rPr>
          <w:color w:val="00B050"/>
          <w:lang w:val="fr-BE"/>
        </w:rPr>
        <w:t xml:space="preserve"> </w:t>
      </w:r>
    </w:p>
    <w:p>
      <w:pPr>
        <w:pBdr>
          <w:top w:val="single" w:sz="4" w:space="1" w:color="auto"/>
          <w:left w:val="single" w:sz="4" w:space="4" w:color="auto"/>
          <w:bottom w:val="single" w:sz="4" w:space="1" w:color="auto"/>
          <w:right w:val="single" w:sz="4" w:space="4" w:color="auto"/>
        </w:pBdr>
        <w:jc w:val="center"/>
      </w:pPr>
      <w:r>
        <w:t>Fax: 02/690.85.90</w:t>
      </w:r>
    </w:p>
    <w:p>
      <w:pPr>
        <w:pStyle w:val="MonTitre1"/>
      </w:pPr>
      <w:bookmarkStart w:id="772" w:name="_Chapitre_3.4._Rôle"/>
      <w:bookmarkStart w:id="773" w:name="_Chapitre_3.1._Programmation"/>
      <w:bookmarkStart w:id="774" w:name="_Toc91294810"/>
      <w:bookmarkStart w:id="775" w:name="_Toc295932011"/>
      <w:bookmarkStart w:id="776" w:name="_Toc295913751"/>
      <w:bookmarkStart w:id="777" w:name="_Toc295992060"/>
      <w:bookmarkEnd w:id="772"/>
      <w:bookmarkEnd w:id="773"/>
      <w:r>
        <w:br w:type="page"/>
      </w:r>
      <w:bookmarkStart w:id="778" w:name="_Toc423420030"/>
      <w:bookmarkStart w:id="779" w:name="_Toc450645237"/>
      <w:bookmarkStart w:id="780" w:name="_Toc453942473"/>
      <w:bookmarkStart w:id="781" w:name="_Toc454888090"/>
      <w:bookmarkStart w:id="782" w:name="_Toc486241752"/>
      <w:r>
        <w:t xml:space="preserve">Titre 3. </w:t>
      </w:r>
      <w:r>
        <w:tab/>
        <w:t>Structures et encadrement</w:t>
      </w:r>
      <w:bookmarkEnd w:id="774"/>
      <w:bookmarkEnd w:id="775"/>
      <w:bookmarkEnd w:id="776"/>
      <w:bookmarkEnd w:id="777"/>
      <w:bookmarkEnd w:id="778"/>
      <w:bookmarkEnd w:id="779"/>
      <w:bookmarkEnd w:id="780"/>
      <w:bookmarkEnd w:id="781"/>
      <w:bookmarkEnd w:id="782"/>
    </w:p>
    <w:p>
      <w:pPr>
        <w:tabs>
          <w:tab w:val="left" w:pos="900"/>
        </w:tabs>
        <w:autoSpaceDE w:val="0"/>
        <w:autoSpaceDN w:val="0"/>
        <w:adjustRightInd w:val="0"/>
        <w:ind w:left="543"/>
        <w:jc w:val="both"/>
        <w:rPr>
          <w:sz w:val="28"/>
          <w:szCs w:val="16"/>
        </w:rPr>
      </w:pPr>
    </w:p>
    <w:p>
      <w:pPr>
        <w:pStyle w:val="Titre2"/>
      </w:pPr>
      <w:bookmarkStart w:id="783" w:name="_Chapitre_3.1._Programmation_"/>
      <w:bookmarkStart w:id="784" w:name="chapitre3_1"/>
      <w:bookmarkStart w:id="785" w:name="_Toc295932012"/>
      <w:bookmarkStart w:id="786" w:name="_Toc295913752"/>
      <w:bookmarkStart w:id="787" w:name="_Toc423420031"/>
      <w:bookmarkStart w:id="788" w:name="_Toc450645238"/>
      <w:bookmarkStart w:id="789" w:name="_Toc453942474"/>
      <w:bookmarkStart w:id="790" w:name="_Toc454888091"/>
      <w:bookmarkStart w:id="791" w:name="_Toc486241753"/>
      <w:bookmarkEnd w:id="783"/>
      <w:r>
        <w:t>Chapitre 3.1</w:t>
      </w:r>
      <w:bookmarkEnd w:id="784"/>
      <w:r>
        <w:t>. Programmation et rationalisation</w:t>
      </w:r>
      <w:bookmarkEnd w:id="785"/>
      <w:bookmarkEnd w:id="786"/>
      <w:bookmarkEnd w:id="787"/>
      <w:bookmarkEnd w:id="788"/>
      <w:bookmarkEnd w:id="789"/>
      <w:bookmarkEnd w:id="790"/>
      <w:bookmarkEnd w:id="791"/>
    </w:p>
    <w:p>
      <w:pPr>
        <w:spacing w:before="120"/>
        <w:ind w:left="1978" w:hanging="1979"/>
        <w:jc w:val="both"/>
        <w:rPr>
          <w:i/>
        </w:rPr>
      </w:pPr>
      <w:r>
        <w:rPr>
          <w:b/>
          <w:i/>
          <w:u w:val="single"/>
        </w:rPr>
        <w:t>Bases légales</w:t>
      </w:r>
      <w:r>
        <w:rPr>
          <w:b/>
          <w:i/>
        </w:rPr>
        <w:t>:</w:t>
      </w:r>
      <w:r>
        <w:rPr>
          <w:i/>
        </w:rPr>
        <w:t xml:space="preserve"> </w:t>
      </w:r>
      <w:r>
        <w:rPr>
          <w:i/>
        </w:rPr>
        <w:tab/>
      </w:r>
      <w:hyperlink r:id="rId95" w:history="1">
        <w:r>
          <w:rPr>
            <w:rStyle w:val="Lienhypertexte"/>
            <w:i/>
            <w:color w:val="auto"/>
          </w:rPr>
          <w:t>Arrêté royal du 02/08/1984 portant rationalisation et programmation de l’enseignement maternel et primaire ordinaire, tel que modifié</w:t>
        </w:r>
      </w:hyperlink>
      <w:r>
        <w:rPr>
          <w:i/>
        </w:rPr>
        <w:t>.</w:t>
      </w:r>
      <w:r>
        <w:rPr>
          <w:i/>
        </w:rPr>
        <w:tab/>
      </w:r>
      <w:r>
        <w:rPr>
          <w:i/>
        </w:rPr>
        <w:br/>
      </w:r>
      <w:hyperlink r:id="rId96" w:history="1">
        <w:r>
          <w:rPr>
            <w:rStyle w:val="Lienhypertexte"/>
            <w:i/>
            <w:color w:val="auto"/>
          </w:rPr>
          <w:t>Loi du 29/05/1959 modifiant certaines dispositions de la législation de l’enseignement, dite Loi du «Pacte scolaire», articles 24 et 37</w:t>
        </w:r>
      </w:hyperlink>
      <w:r>
        <w:rPr>
          <w:i/>
        </w:rPr>
        <w:t>.</w:t>
      </w:r>
      <w:bookmarkStart w:id="792" w:name="_Toc295932013"/>
      <w:bookmarkStart w:id="793" w:name="_Toc295913753"/>
    </w:p>
    <w:p>
      <w:pPr>
        <w:spacing w:before="120"/>
        <w:ind w:left="1978" w:hanging="1979"/>
        <w:jc w:val="both"/>
        <w:rPr>
          <w:i/>
        </w:rPr>
      </w:pPr>
    </w:p>
    <w:p>
      <w:pPr>
        <w:pStyle w:val="Titre3"/>
      </w:pPr>
      <w:bookmarkStart w:id="794" w:name="_Toc423420032"/>
      <w:bookmarkStart w:id="795" w:name="_Toc450645239"/>
      <w:bookmarkStart w:id="796" w:name="_Toc453942475"/>
      <w:bookmarkStart w:id="797" w:name="_Toc454888092"/>
      <w:bookmarkStart w:id="798" w:name="_Toc486241754"/>
      <w:r>
        <w:t>3.1.1. Définitions</w:t>
      </w:r>
      <w:bookmarkEnd w:id="792"/>
      <w:bookmarkEnd w:id="793"/>
      <w:bookmarkEnd w:id="794"/>
      <w:bookmarkEnd w:id="795"/>
      <w:bookmarkEnd w:id="796"/>
      <w:bookmarkEnd w:id="797"/>
      <w:bookmarkEnd w:id="798"/>
    </w:p>
    <w:p>
      <w:pPr>
        <w:pStyle w:val="Corpsdetexte"/>
        <w:rPr>
          <w:sz w:val="16"/>
          <w:szCs w:val="16"/>
        </w:rPr>
      </w:pPr>
    </w:p>
    <w:p>
      <w:pPr>
        <w:numPr>
          <w:ilvl w:val="0"/>
          <w:numId w:val="15"/>
        </w:numPr>
        <w:tabs>
          <w:tab w:val="clear" w:pos="644"/>
          <w:tab w:val="num" w:pos="540"/>
        </w:tabs>
        <w:ind w:left="283"/>
        <w:jc w:val="both"/>
        <w:rPr>
          <w:b/>
          <w:i/>
          <w:u w:val="single"/>
        </w:rPr>
      </w:pPr>
      <w:r>
        <w:rPr>
          <w:b/>
          <w:i/>
          <w:u w:val="single"/>
        </w:rPr>
        <w:t>Ecole "isolée" ou "non isolée</w:t>
      </w:r>
    </w:p>
    <w:p>
      <w:pPr>
        <w:jc w:val="both"/>
        <w:rPr>
          <w:sz w:val="8"/>
          <w:szCs w:val="8"/>
        </w:rPr>
      </w:pPr>
    </w:p>
    <w:p>
      <w:pPr>
        <w:ind w:left="539"/>
        <w:jc w:val="both"/>
      </w:pPr>
      <w:r>
        <w:rPr>
          <w:u w:val="single"/>
        </w:rPr>
        <w:t>2 critères</w:t>
      </w:r>
      <w:r>
        <w:t xml:space="preserve"> permettent de déterminer si une école est isolée ou non:</w:t>
      </w:r>
    </w:p>
    <w:p>
      <w:pPr>
        <w:ind w:left="719"/>
        <w:jc w:val="both"/>
        <w:rPr>
          <w:sz w:val="8"/>
          <w:szCs w:val="8"/>
        </w:rPr>
      </w:pPr>
    </w:p>
    <w:p>
      <w:pPr>
        <w:numPr>
          <w:ilvl w:val="1"/>
          <w:numId w:val="15"/>
        </w:numPr>
        <w:tabs>
          <w:tab w:val="clear" w:pos="1440"/>
        </w:tabs>
        <w:ind w:left="899"/>
        <w:jc w:val="both"/>
      </w:pPr>
      <w:r>
        <w:rPr>
          <w:u w:val="single"/>
        </w:rPr>
        <w:t>La distance entre école et/ou implantation</w:t>
      </w:r>
      <w:r>
        <w:t>:</w:t>
      </w:r>
      <w:r>
        <w:tab/>
      </w:r>
      <w:r>
        <w:br/>
      </w:r>
      <w:r>
        <w:rPr>
          <w:spacing w:val="-4"/>
        </w:rPr>
        <w:t>Celle-ci doit être la plus courte possible, mesurée par la route</w:t>
      </w:r>
      <w:r>
        <w:rPr>
          <w:rStyle w:val="Appelnotedebasdep"/>
          <w:spacing w:val="-4"/>
        </w:rPr>
        <w:footnoteReference w:id="42"/>
      </w:r>
      <w:r>
        <w:rPr>
          <w:spacing w:val="-4"/>
        </w:rPr>
        <w:t>, à l’exception des autoroutes, sans qu’il soit tenu compte de déviations ou de sens uniques.</w:t>
      </w:r>
      <w:r>
        <w:rPr>
          <w:spacing w:val="-4"/>
        </w:rPr>
        <w:tab/>
      </w:r>
      <w:r>
        <w:rPr>
          <w:spacing w:val="-4"/>
        </w:rPr>
        <w:br/>
      </w:r>
      <w:r>
        <w:rPr>
          <w:spacing w:val="-2"/>
          <w:szCs w:val="22"/>
        </w:rPr>
        <w:t>Elle est calculée de grille à grille ou, s’il n’y a pas de grille, dès que l’on quitte la voie publique. En cas de contestation portant sur la distance, celle-ci est relevée par les vérificateurs.</w:t>
      </w:r>
    </w:p>
    <w:p>
      <w:pPr>
        <w:jc w:val="both"/>
        <w:rPr>
          <w:sz w:val="8"/>
          <w:szCs w:val="8"/>
        </w:rPr>
      </w:pPr>
    </w:p>
    <w:p>
      <w:pPr>
        <w:numPr>
          <w:ilvl w:val="1"/>
          <w:numId w:val="15"/>
        </w:numPr>
        <w:tabs>
          <w:tab w:val="clear" w:pos="1440"/>
        </w:tabs>
        <w:ind w:left="899"/>
        <w:jc w:val="both"/>
        <w:rPr>
          <w:i/>
          <w:iCs/>
        </w:rPr>
      </w:pPr>
      <w:r>
        <w:rPr>
          <w:u w:val="single"/>
        </w:rPr>
        <w:t xml:space="preserve">La densité de population de la commune, </w:t>
      </w:r>
      <w:r>
        <w:t>telle qu’elle est publiée par le Service Public Fédéral de l’Economie. A partir de l’année scolaire 2017-2018, la densité de population à prendre en considération est fixée pour une période de 5 années scolaires. La densité de population de référence jusqu’à l’année scolaire 2021-2022 incluse est celle du 1</w:t>
      </w:r>
      <w:r>
        <w:rPr>
          <w:vertAlign w:val="superscript"/>
        </w:rPr>
        <w:t>er</w:t>
      </w:r>
      <w:r>
        <w:t xml:space="preserve"> janvier 2015. (voir </w:t>
      </w:r>
      <w:hyperlink w:anchor="section3_1_4" w:history="1">
        <w:r>
          <w:rPr>
            <w:rStyle w:val="Lienhypertexte"/>
            <w:color w:val="auto"/>
          </w:rPr>
          <w:t>section 3.1.4.</w:t>
        </w:r>
      </w:hyperlink>
      <w:r>
        <w:t xml:space="preserve">). </w:t>
      </w:r>
    </w:p>
    <w:p>
      <w:pPr>
        <w:spacing w:before="120"/>
        <w:ind w:left="902"/>
        <w:jc w:val="both"/>
        <w:rPr>
          <w:i/>
          <w:iCs/>
        </w:rPr>
      </w:pPr>
      <w:r>
        <w:rPr>
          <w:i/>
          <w:iCs/>
        </w:rPr>
        <w:t xml:space="preserve">La densité de population à prendre en considération pour une école ayant des implantations sur plusieurs communes est fixée sur base du calcul suivant: la population totale de ces communes est divisée par la superficie totale exprimée en km².  </w:t>
      </w:r>
      <w:r>
        <w:rPr>
          <w:i/>
          <w:iCs/>
          <w:sz w:val="8"/>
        </w:rPr>
        <w:br/>
      </w:r>
      <w:r>
        <w:rPr>
          <w:i/>
          <w:iCs/>
        </w:rPr>
        <w:t>Pour un lieu d'implantation, la densité de population à prendre en considération est celle de la commune où se situe réellement cette implantation.</w:t>
      </w:r>
    </w:p>
    <w:p>
      <w:pPr>
        <w:jc w:val="both"/>
      </w:pPr>
    </w:p>
    <w:p>
      <w:pPr>
        <w:jc w:val="both"/>
      </w:pPr>
      <w:r>
        <w:t>Pour déterminer si une école est isolée ou non, il y a lieu de se référer au tableau ci-dessous:</w:t>
      </w:r>
    </w:p>
    <w:p>
      <w:pPr>
        <w:pStyle w:val="Notedebasdepage"/>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0"/>
        <w:gridCol w:w="3780"/>
        <w:gridCol w:w="3780"/>
      </w:tblGrid>
      <w:tr>
        <w:trPr>
          <w:trHeight w:hRule="exact" w:val="567"/>
        </w:trPr>
        <w:tc>
          <w:tcPr>
            <w:tcW w:w="2050" w:type="dxa"/>
            <w:vAlign w:val="center"/>
          </w:tcPr>
          <w:p>
            <w:pPr>
              <w:ind w:right="-70"/>
            </w:pPr>
          </w:p>
        </w:tc>
        <w:tc>
          <w:tcPr>
            <w:tcW w:w="3780" w:type="dxa"/>
            <w:vAlign w:val="center"/>
          </w:tcPr>
          <w:p>
            <w:pPr>
              <w:ind w:right="110"/>
              <w:jc w:val="center"/>
              <w:rPr>
                <w:sz w:val="20"/>
                <w:szCs w:val="20"/>
                <w:vertAlign w:val="superscript"/>
              </w:rPr>
            </w:pPr>
            <w:r>
              <w:rPr>
                <w:sz w:val="20"/>
                <w:szCs w:val="20"/>
              </w:rPr>
              <w:t xml:space="preserve">Commune à densité de population </w:t>
            </w:r>
            <w:r>
              <w:rPr>
                <w:b/>
                <w:sz w:val="20"/>
                <w:szCs w:val="20"/>
              </w:rPr>
              <w:sym w:font="Symbol" w:char="F0A3"/>
            </w:r>
            <w:r>
              <w:rPr>
                <w:b/>
                <w:sz w:val="20"/>
                <w:szCs w:val="20"/>
              </w:rPr>
              <w:t xml:space="preserve"> 500 hab/km²</w:t>
            </w:r>
          </w:p>
        </w:tc>
        <w:tc>
          <w:tcPr>
            <w:tcW w:w="3780" w:type="dxa"/>
            <w:vAlign w:val="center"/>
          </w:tcPr>
          <w:p>
            <w:pPr>
              <w:jc w:val="center"/>
              <w:rPr>
                <w:sz w:val="20"/>
                <w:szCs w:val="20"/>
                <w:vertAlign w:val="superscript"/>
              </w:rPr>
            </w:pPr>
            <w:r>
              <w:rPr>
                <w:sz w:val="20"/>
                <w:szCs w:val="20"/>
              </w:rPr>
              <w:t xml:space="preserve">Commune à densité de population </w:t>
            </w:r>
            <w:r>
              <w:rPr>
                <w:sz w:val="20"/>
                <w:szCs w:val="20"/>
              </w:rPr>
              <w:br/>
            </w:r>
            <w:r>
              <w:rPr>
                <w:b/>
                <w:sz w:val="20"/>
                <w:szCs w:val="20"/>
              </w:rPr>
              <w:t>&gt; 500 hab/km²</w:t>
            </w:r>
          </w:p>
        </w:tc>
      </w:tr>
      <w:tr>
        <w:trPr>
          <w:trHeight w:hRule="exact" w:val="1247"/>
        </w:trPr>
        <w:tc>
          <w:tcPr>
            <w:tcW w:w="2050" w:type="dxa"/>
            <w:vAlign w:val="center"/>
          </w:tcPr>
          <w:p>
            <w:pPr>
              <w:ind w:right="-70"/>
              <w:jc w:val="center"/>
              <w:rPr>
                <w:sz w:val="20"/>
                <w:szCs w:val="20"/>
              </w:rPr>
            </w:pPr>
            <w:r>
              <w:rPr>
                <w:sz w:val="20"/>
                <w:szCs w:val="20"/>
              </w:rPr>
              <w:t xml:space="preserve">Ecole </w:t>
            </w:r>
            <w:r>
              <w:rPr>
                <w:b/>
                <w:sz w:val="20"/>
                <w:szCs w:val="20"/>
              </w:rPr>
              <w:t>isolée</w:t>
            </w:r>
            <w:r>
              <w:rPr>
                <w:sz w:val="20"/>
                <w:szCs w:val="20"/>
              </w:rPr>
              <w:t xml:space="preserve"> si</w:t>
            </w:r>
          </w:p>
        </w:tc>
        <w:tc>
          <w:tcPr>
            <w:tcW w:w="3780" w:type="dxa"/>
            <w:vAlign w:val="center"/>
          </w:tcPr>
          <w:p>
            <w:pPr>
              <w:ind w:right="-70"/>
              <w:rPr>
                <w:sz w:val="20"/>
                <w:szCs w:val="20"/>
              </w:rPr>
            </w:pPr>
            <w:smartTag w:uri="urn:schemas-microsoft-com:office:smarttags" w:element="metricconverter">
              <w:smartTagPr>
                <w:attr w:name="ProductID" w:val="3 km"/>
              </w:smartTagPr>
              <w:r>
                <w:rPr>
                  <w:b/>
                  <w:sz w:val="20"/>
                  <w:szCs w:val="20"/>
                </w:rPr>
                <w:t>3 km</w:t>
              </w:r>
            </w:smartTag>
            <w:r>
              <w:rPr>
                <w:b/>
                <w:sz w:val="20"/>
                <w:szCs w:val="20"/>
              </w:rPr>
              <w:t xml:space="preserve"> au moins</w:t>
            </w:r>
            <w:r>
              <w:rPr>
                <w:sz w:val="20"/>
                <w:szCs w:val="20"/>
              </w:rPr>
              <w:t xml:space="preserve"> de distance entre chacune de ses implantations et toute autre école ou implantation d’une autre école du même réseau et du même niveau d’enseignement</w:t>
            </w:r>
          </w:p>
        </w:tc>
        <w:tc>
          <w:tcPr>
            <w:tcW w:w="3780" w:type="dxa"/>
            <w:vAlign w:val="center"/>
          </w:tcPr>
          <w:p>
            <w:pPr>
              <w:ind w:right="-70"/>
              <w:rPr>
                <w:sz w:val="20"/>
                <w:szCs w:val="20"/>
              </w:rPr>
            </w:pPr>
            <w:smartTag w:uri="urn:schemas-microsoft-com:office:smarttags" w:element="metricconverter">
              <w:smartTagPr>
                <w:attr w:name="ProductID" w:val="2 km"/>
              </w:smartTagPr>
              <w:r>
                <w:rPr>
                  <w:b/>
                  <w:sz w:val="20"/>
                  <w:szCs w:val="20"/>
                </w:rPr>
                <w:t>2 km</w:t>
              </w:r>
            </w:smartTag>
            <w:r>
              <w:rPr>
                <w:b/>
                <w:sz w:val="20"/>
                <w:szCs w:val="20"/>
              </w:rPr>
              <w:t xml:space="preserve"> au moins</w:t>
            </w:r>
            <w:r>
              <w:rPr>
                <w:sz w:val="20"/>
                <w:szCs w:val="20"/>
              </w:rPr>
              <w:t xml:space="preserve"> de distance entre chacune de ses implantations et toute autre école ou implantation d’une autre école du même réseau et du même niveau d’enseignement</w:t>
            </w:r>
          </w:p>
        </w:tc>
      </w:tr>
      <w:tr>
        <w:trPr>
          <w:trHeight w:hRule="exact" w:val="1247"/>
        </w:trPr>
        <w:tc>
          <w:tcPr>
            <w:tcW w:w="2050" w:type="dxa"/>
            <w:vAlign w:val="center"/>
          </w:tcPr>
          <w:p>
            <w:pPr>
              <w:ind w:right="-70"/>
              <w:jc w:val="center"/>
              <w:rPr>
                <w:sz w:val="20"/>
                <w:szCs w:val="20"/>
              </w:rPr>
            </w:pPr>
            <w:r>
              <w:rPr>
                <w:sz w:val="20"/>
                <w:szCs w:val="20"/>
              </w:rPr>
              <w:t xml:space="preserve">Ecole </w:t>
            </w:r>
            <w:r>
              <w:rPr>
                <w:b/>
                <w:sz w:val="20"/>
                <w:szCs w:val="20"/>
              </w:rPr>
              <w:t>maternelle ou primaire</w:t>
            </w:r>
          </w:p>
          <w:p>
            <w:pPr>
              <w:ind w:right="-70"/>
              <w:jc w:val="center"/>
            </w:pPr>
            <w:r>
              <w:rPr>
                <w:b/>
                <w:sz w:val="20"/>
                <w:szCs w:val="20"/>
              </w:rPr>
              <w:t>non isolée</w:t>
            </w:r>
            <w:r>
              <w:rPr>
                <w:sz w:val="20"/>
                <w:szCs w:val="20"/>
              </w:rPr>
              <w:t xml:space="preserve"> si</w:t>
            </w:r>
          </w:p>
        </w:tc>
        <w:tc>
          <w:tcPr>
            <w:tcW w:w="3780" w:type="dxa"/>
            <w:vAlign w:val="center"/>
          </w:tcPr>
          <w:p>
            <w:pPr>
              <w:ind w:right="-70"/>
              <w:rPr>
                <w:sz w:val="20"/>
                <w:szCs w:val="20"/>
              </w:rPr>
            </w:pPr>
            <w:r>
              <w:rPr>
                <w:b/>
                <w:sz w:val="20"/>
                <w:szCs w:val="20"/>
              </w:rPr>
              <w:t xml:space="preserve">moins de </w:t>
            </w:r>
            <w:smartTag w:uri="urn:schemas-microsoft-com:office:smarttags" w:element="metricconverter">
              <w:smartTagPr>
                <w:attr w:name="ProductID" w:val="3 km"/>
              </w:smartTagPr>
              <w:r>
                <w:rPr>
                  <w:b/>
                  <w:sz w:val="20"/>
                  <w:szCs w:val="20"/>
                </w:rPr>
                <w:t>3 km</w:t>
              </w:r>
            </w:smartTag>
            <w:r>
              <w:rPr>
                <w:sz w:val="20"/>
                <w:szCs w:val="20"/>
              </w:rPr>
              <w:t xml:space="preserve"> de distance entre chacune de ses implantations et toute autre école ou implantation d’une autre école du même réseau et du même niveau d’enseignement </w:t>
            </w:r>
          </w:p>
        </w:tc>
        <w:tc>
          <w:tcPr>
            <w:tcW w:w="3780" w:type="dxa"/>
            <w:vAlign w:val="center"/>
          </w:tcPr>
          <w:p>
            <w:pPr>
              <w:ind w:right="-70"/>
              <w:rPr>
                <w:sz w:val="20"/>
                <w:szCs w:val="20"/>
              </w:rPr>
            </w:pPr>
            <w:r>
              <w:rPr>
                <w:b/>
                <w:sz w:val="20"/>
                <w:szCs w:val="20"/>
              </w:rPr>
              <w:t xml:space="preserve">moins de </w:t>
            </w:r>
            <w:smartTag w:uri="urn:schemas-microsoft-com:office:smarttags" w:element="metricconverter">
              <w:smartTagPr>
                <w:attr w:name="ProductID" w:val="2 km"/>
              </w:smartTagPr>
              <w:r>
                <w:rPr>
                  <w:b/>
                  <w:sz w:val="20"/>
                  <w:szCs w:val="20"/>
                </w:rPr>
                <w:t>2 km</w:t>
              </w:r>
            </w:smartTag>
            <w:r>
              <w:rPr>
                <w:sz w:val="20"/>
                <w:szCs w:val="20"/>
              </w:rPr>
              <w:t xml:space="preserve"> de distance entre chacune de ses implantations et toute autre école ou implantation d’une autre école du même réseau et du même niveau d’enseignement</w:t>
            </w:r>
          </w:p>
        </w:tc>
      </w:tr>
      <w:tr>
        <w:trPr>
          <w:trHeight w:hRule="exact" w:val="1588"/>
        </w:trPr>
        <w:tc>
          <w:tcPr>
            <w:tcW w:w="2050" w:type="dxa"/>
            <w:vAlign w:val="center"/>
          </w:tcPr>
          <w:p>
            <w:pPr>
              <w:ind w:right="-70"/>
              <w:jc w:val="center"/>
              <w:rPr>
                <w:b/>
                <w:sz w:val="20"/>
                <w:szCs w:val="20"/>
                <w:lang w:val="it-IT"/>
              </w:rPr>
            </w:pPr>
            <w:r>
              <w:rPr>
                <w:sz w:val="20"/>
                <w:szCs w:val="20"/>
                <w:lang w:val="it-IT"/>
              </w:rPr>
              <w:t xml:space="preserve">Ecole </w:t>
            </w:r>
            <w:r>
              <w:rPr>
                <w:b/>
                <w:spacing w:val="-8"/>
                <w:sz w:val="20"/>
                <w:szCs w:val="20"/>
                <w:lang w:val="it-IT"/>
              </w:rPr>
              <w:t>fondamentale</w:t>
            </w:r>
          </w:p>
          <w:p>
            <w:pPr>
              <w:ind w:right="-70"/>
              <w:jc w:val="center"/>
              <w:rPr>
                <w:sz w:val="20"/>
                <w:szCs w:val="20"/>
                <w:lang w:val="it-IT"/>
              </w:rPr>
            </w:pPr>
            <w:r>
              <w:rPr>
                <w:b/>
                <w:sz w:val="20"/>
                <w:szCs w:val="20"/>
                <w:lang w:val="it-IT"/>
              </w:rPr>
              <w:t>non isolée</w:t>
            </w:r>
            <w:r>
              <w:rPr>
                <w:sz w:val="20"/>
                <w:szCs w:val="20"/>
                <w:lang w:val="it-IT"/>
              </w:rPr>
              <w:t xml:space="preserve"> si</w:t>
            </w:r>
          </w:p>
        </w:tc>
        <w:tc>
          <w:tcPr>
            <w:tcW w:w="3780" w:type="dxa"/>
            <w:vAlign w:val="center"/>
          </w:tcPr>
          <w:p>
            <w:pPr>
              <w:ind w:right="-70"/>
              <w:rPr>
                <w:sz w:val="20"/>
                <w:szCs w:val="20"/>
              </w:rPr>
            </w:pPr>
            <w:r>
              <w:rPr>
                <w:b/>
                <w:sz w:val="20"/>
                <w:szCs w:val="20"/>
              </w:rPr>
              <w:t xml:space="preserve">moins de </w:t>
            </w:r>
            <w:smartTag w:uri="urn:schemas-microsoft-com:office:smarttags" w:element="metricconverter">
              <w:smartTagPr>
                <w:attr w:name="ProductID" w:val="3 km"/>
              </w:smartTagPr>
              <w:r>
                <w:rPr>
                  <w:b/>
                  <w:sz w:val="20"/>
                  <w:szCs w:val="20"/>
                </w:rPr>
                <w:t>3 km</w:t>
              </w:r>
            </w:smartTag>
            <w:r>
              <w:rPr>
                <w:sz w:val="20"/>
                <w:szCs w:val="20"/>
              </w:rPr>
              <w:t xml:space="preserve"> de distance entre chacune de ses implantations et toute autre école ou implantation d’une autre école du même réseau, que celle-ci soit </w:t>
            </w:r>
            <w:r>
              <w:rPr>
                <w:b/>
                <w:bCs/>
                <w:sz w:val="20"/>
                <w:szCs w:val="20"/>
              </w:rPr>
              <w:t>fondamentale</w:t>
            </w:r>
            <w:r>
              <w:rPr>
                <w:sz w:val="20"/>
                <w:szCs w:val="20"/>
              </w:rPr>
              <w:t xml:space="preserve">, </w:t>
            </w:r>
            <w:r>
              <w:rPr>
                <w:bCs/>
                <w:sz w:val="20"/>
                <w:szCs w:val="20"/>
              </w:rPr>
              <w:t>uniquement</w:t>
            </w:r>
            <w:r>
              <w:rPr>
                <w:b/>
                <w:sz w:val="20"/>
                <w:szCs w:val="20"/>
              </w:rPr>
              <w:t xml:space="preserve"> maternelle</w:t>
            </w:r>
            <w:r>
              <w:rPr>
                <w:sz w:val="20"/>
                <w:szCs w:val="20"/>
              </w:rPr>
              <w:t xml:space="preserve"> ou </w:t>
            </w:r>
            <w:r>
              <w:rPr>
                <w:bCs/>
                <w:sz w:val="20"/>
                <w:szCs w:val="20"/>
              </w:rPr>
              <w:t>uniquement</w:t>
            </w:r>
            <w:r>
              <w:rPr>
                <w:b/>
                <w:sz w:val="20"/>
                <w:szCs w:val="20"/>
              </w:rPr>
              <w:t xml:space="preserve"> primaire</w:t>
            </w:r>
            <w:r>
              <w:rPr>
                <w:sz w:val="20"/>
                <w:szCs w:val="20"/>
              </w:rPr>
              <w:t xml:space="preserve"> </w:t>
            </w:r>
          </w:p>
        </w:tc>
        <w:tc>
          <w:tcPr>
            <w:tcW w:w="3780" w:type="dxa"/>
            <w:vAlign w:val="center"/>
          </w:tcPr>
          <w:p>
            <w:pPr>
              <w:ind w:right="-70"/>
              <w:rPr>
                <w:sz w:val="20"/>
                <w:szCs w:val="20"/>
              </w:rPr>
            </w:pPr>
            <w:r>
              <w:rPr>
                <w:b/>
                <w:sz w:val="20"/>
                <w:szCs w:val="20"/>
              </w:rPr>
              <w:t xml:space="preserve">moins de </w:t>
            </w:r>
            <w:smartTag w:uri="urn:schemas-microsoft-com:office:smarttags" w:element="metricconverter">
              <w:smartTagPr>
                <w:attr w:name="ProductID" w:val="2 km"/>
              </w:smartTagPr>
              <w:r>
                <w:rPr>
                  <w:b/>
                  <w:sz w:val="20"/>
                  <w:szCs w:val="20"/>
                </w:rPr>
                <w:t>2 km</w:t>
              </w:r>
            </w:smartTag>
            <w:r>
              <w:rPr>
                <w:sz w:val="20"/>
                <w:szCs w:val="20"/>
              </w:rPr>
              <w:t xml:space="preserve"> de distance entre chacune de ses implantations et toute autre école ou implantation d’une autre école du même réseau que celle-ci soit </w:t>
            </w:r>
            <w:r>
              <w:rPr>
                <w:b/>
                <w:bCs/>
                <w:sz w:val="20"/>
                <w:szCs w:val="20"/>
              </w:rPr>
              <w:t>fondamentale</w:t>
            </w:r>
            <w:r>
              <w:rPr>
                <w:sz w:val="20"/>
                <w:szCs w:val="20"/>
              </w:rPr>
              <w:t xml:space="preserve">, </w:t>
            </w:r>
            <w:r>
              <w:rPr>
                <w:bCs/>
                <w:sz w:val="20"/>
                <w:szCs w:val="20"/>
              </w:rPr>
              <w:t xml:space="preserve">uniquement </w:t>
            </w:r>
            <w:r>
              <w:rPr>
                <w:b/>
                <w:sz w:val="20"/>
                <w:szCs w:val="20"/>
              </w:rPr>
              <w:t>maternelle</w:t>
            </w:r>
            <w:r>
              <w:rPr>
                <w:sz w:val="20"/>
                <w:szCs w:val="20"/>
              </w:rPr>
              <w:t xml:space="preserve"> ou </w:t>
            </w:r>
            <w:r>
              <w:rPr>
                <w:bCs/>
                <w:sz w:val="20"/>
                <w:szCs w:val="20"/>
              </w:rPr>
              <w:t>uniquement</w:t>
            </w:r>
            <w:r>
              <w:rPr>
                <w:b/>
                <w:sz w:val="20"/>
                <w:szCs w:val="20"/>
              </w:rPr>
              <w:t xml:space="preserve"> primaire</w:t>
            </w:r>
          </w:p>
        </w:tc>
      </w:tr>
    </w:tbl>
    <w:p>
      <w:pPr>
        <w:rPr>
          <w:b/>
          <w:i/>
          <w:u w:val="single"/>
        </w:rPr>
      </w:pPr>
    </w:p>
    <w:p>
      <w:pPr>
        <w:rPr>
          <w:b/>
          <w:i/>
          <w:u w:val="single"/>
        </w:rPr>
      </w:pPr>
    </w:p>
    <w:p>
      <w:pPr>
        <w:rPr>
          <w:b/>
          <w:i/>
          <w:u w:val="single"/>
        </w:rPr>
      </w:pPr>
    </w:p>
    <w:p>
      <w:pPr>
        <w:numPr>
          <w:ilvl w:val="0"/>
          <w:numId w:val="15"/>
        </w:numPr>
        <w:tabs>
          <w:tab w:val="num" w:pos="540"/>
        </w:tabs>
        <w:ind w:left="283"/>
        <w:rPr>
          <w:b/>
          <w:i/>
          <w:u w:val="single"/>
        </w:rPr>
      </w:pPr>
      <w:r>
        <w:rPr>
          <w:b/>
          <w:i/>
          <w:u w:val="single"/>
        </w:rPr>
        <w:t>Implantation "isolée" ou "non isolée"</w:t>
      </w:r>
    </w:p>
    <w:p>
      <w:pPr>
        <w:rPr>
          <w:b/>
          <w:i/>
          <w:sz w:val="8"/>
          <w:szCs w:val="8"/>
        </w:rPr>
      </w:pPr>
    </w:p>
    <w:p>
      <w:pPr>
        <w:rPr>
          <w:sz w:val="16"/>
        </w:rPr>
      </w:pPr>
      <w:r>
        <w:rPr>
          <w:u w:val="single"/>
        </w:rPr>
        <w:t>Un seul critère</w:t>
      </w:r>
      <w:r>
        <w:t xml:space="preserve"> détermine si une implantation est isolée ou non: </w:t>
      </w:r>
      <w:r>
        <w:rPr>
          <w:u w:val="single"/>
        </w:rPr>
        <w:t>la distance</w:t>
      </w:r>
      <w:r>
        <w:t xml:space="preserve"> entre implantations </w:t>
      </w:r>
      <w:r>
        <w:rPr>
          <w:sz w:val="16"/>
        </w:rPr>
        <w:t>(voir supra).</w:t>
      </w:r>
    </w:p>
    <w:p>
      <w:r>
        <w:t>Il y a lieu de se référer au tableau ci-dessous:</w:t>
      </w:r>
    </w:p>
    <w:p>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50"/>
        <w:gridCol w:w="6660"/>
      </w:tblGrid>
      <w:tr>
        <w:trPr>
          <w:trHeight w:hRule="exact" w:val="567"/>
        </w:trPr>
        <w:tc>
          <w:tcPr>
            <w:tcW w:w="2950" w:type="dxa"/>
            <w:vAlign w:val="center"/>
          </w:tcPr>
          <w:p>
            <w:pPr>
              <w:rPr>
                <w:sz w:val="20"/>
                <w:szCs w:val="20"/>
              </w:rPr>
            </w:pPr>
            <w:r>
              <w:rPr>
                <w:sz w:val="20"/>
                <w:szCs w:val="20"/>
              </w:rPr>
              <w:t xml:space="preserve">Implantation </w:t>
            </w:r>
            <w:r>
              <w:rPr>
                <w:b/>
                <w:sz w:val="20"/>
                <w:szCs w:val="20"/>
              </w:rPr>
              <w:t>isolée</w:t>
            </w:r>
            <w:r>
              <w:rPr>
                <w:sz w:val="20"/>
                <w:szCs w:val="20"/>
              </w:rPr>
              <w:t xml:space="preserve"> si</w:t>
            </w:r>
          </w:p>
        </w:tc>
        <w:tc>
          <w:tcPr>
            <w:tcW w:w="6660" w:type="dxa"/>
            <w:vAlign w:val="center"/>
          </w:tcPr>
          <w:p>
            <w:pPr>
              <w:ind w:right="-70"/>
              <w:rPr>
                <w:spacing w:val="-4"/>
                <w:sz w:val="20"/>
                <w:szCs w:val="20"/>
              </w:rPr>
            </w:pPr>
            <w:r>
              <w:rPr>
                <w:b/>
                <w:spacing w:val="-4"/>
                <w:sz w:val="20"/>
                <w:szCs w:val="20"/>
              </w:rPr>
              <w:t xml:space="preserve">distante de </w:t>
            </w:r>
            <w:smartTag w:uri="urn:schemas-microsoft-com:office:smarttags" w:element="metricconverter">
              <w:smartTagPr>
                <w:attr w:name="ProductID" w:val="2 km"/>
              </w:smartTagPr>
              <w:r>
                <w:rPr>
                  <w:b/>
                  <w:spacing w:val="-4"/>
                  <w:sz w:val="20"/>
                  <w:szCs w:val="20"/>
                </w:rPr>
                <w:t>2 km</w:t>
              </w:r>
            </w:smartTag>
            <w:r>
              <w:rPr>
                <w:b/>
                <w:spacing w:val="-4"/>
                <w:sz w:val="20"/>
                <w:szCs w:val="20"/>
              </w:rPr>
              <w:t xml:space="preserve"> au moins</w:t>
            </w:r>
            <w:r>
              <w:rPr>
                <w:spacing w:val="-4"/>
                <w:sz w:val="20"/>
                <w:szCs w:val="20"/>
              </w:rPr>
              <w:t xml:space="preserve"> de toute autre implantation (de la même école ou d’une autre école) du même réseau et du même niveau</w:t>
            </w:r>
          </w:p>
        </w:tc>
      </w:tr>
      <w:tr>
        <w:trPr>
          <w:trHeight w:hRule="exact" w:val="567"/>
        </w:trPr>
        <w:tc>
          <w:tcPr>
            <w:tcW w:w="2950" w:type="dxa"/>
            <w:vAlign w:val="center"/>
          </w:tcPr>
          <w:p>
            <w:pPr>
              <w:rPr>
                <w:sz w:val="20"/>
                <w:szCs w:val="20"/>
              </w:rPr>
            </w:pPr>
            <w:r>
              <w:rPr>
                <w:sz w:val="20"/>
                <w:szCs w:val="20"/>
              </w:rPr>
              <w:t xml:space="preserve">Implantation </w:t>
            </w:r>
            <w:r>
              <w:rPr>
                <w:b/>
                <w:sz w:val="20"/>
                <w:szCs w:val="20"/>
              </w:rPr>
              <w:t>maternelle</w:t>
            </w:r>
            <w:r>
              <w:rPr>
                <w:sz w:val="20"/>
                <w:szCs w:val="20"/>
              </w:rPr>
              <w:t xml:space="preserve"> ou </w:t>
            </w:r>
            <w:r>
              <w:rPr>
                <w:b/>
                <w:sz w:val="20"/>
                <w:szCs w:val="20"/>
              </w:rPr>
              <w:t>primaire</w:t>
            </w:r>
            <w:r>
              <w:rPr>
                <w:sz w:val="20"/>
                <w:szCs w:val="20"/>
              </w:rPr>
              <w:t xml:space="preserve"> </w:t>
            </w:r>
            <w:r>
              <w:rPr>
                <w:b/>
                <w:sz w:val="20"/>
                <w:szCs w:val="20"/>
              </w:rPr>
              <w:t>non isolée</w:t>
            </w:r>
            <w:r>
              <w:rPr>
                <w:sz w:val="20"/>
                <w:szCs w:val="20"/>
              </w:rPr>
              <w:t xml:space="preserve"> si </w:t>
            </w:r>
          </w:p>
        </w:tc>
        <w:tc>
          <w:tcPr>
            <w:tcW w:w="6660" w:type="dxa"/>
            <w:vAlign w:val="center"/>
          </w:tcPr>
          <w:p>
            <w:pPr>
              <w:ind w:right="-70"/>
              <w:rPr>
                <w:spacing w:val="-4"/>
                <w:sz w:val="20"/>
                <w:szCs w:val="20"/>
              </w:rPr>
            </w:pPr>
            <w:r>
              <w:rPr>
                <w:b/>
                <w:spacing w:val="-4"/>
                <w:sz w:val="20"/>
                <w:szCs w:val="20"/>
              </w:rPr>
              <w:t xml:space="preserve">distante de moins de </w:t>
            </w:r>
            <w:smartTag w:uri="urn:schemas-microsoft-com:office:smarttags" w:element="metricconverter">
              <w:smartTagPr>
                <w:attr w:name="ProductID" w:val="2 km"/>
              </w:smartTagPr>
              <w:r>
                <w:rPr>
                  <w:b/>
                  <w:spacing w:val="-4"/>
                  <w:sz w:val="20"/>
                  <w:szCs w:val="20"/>
                </w:rPr>
                <w:t>2 km</w:t>
              </w:r>
            </w:smartTag>
            <w:r>
              <w:rPr>
                <w:spacing w:val="-4"/>
                <w:sz w:val="20"/>
                <w:szCs w:val="20"/>
              </w:rPr>
              <w:t xml:space="preserve"> de toute autre implantation (de la même école ou d’une autre école) du même réseau et du même niveau</w:t>
            </w:r>
          </w:p>
        </w:tc>
      </w:tr>
      <w:tr>
        <w:trPr>
          <w:trHeight w:hRule="exact" w:val="794"/>
        </w:trPr>
        <w:tc>
          <w:tcPr>
            <w:tcW w:w="2950" w:type="dxa"/>
            <w:vAlign w:val="center"/>
          </w:tcPr>
          <w:p>
            <w:pPr>
              <w:ind w:right="-70"/>
              <w:rPr>
                <w:b/>
                <w:sz w:val="20"/>
                <w:szCs w:val="20"/>
              </w:rPr>
            </w:pPr>
            <w:r>
              <w:rPr>
                <w:sz w:val="20"/>
                <w:szCs w:val="20"/>
              </w:rPr>
              <w:t xml:space="preserve">Implantation </w:t>
            </w:r>
            <w:r>
              <w:rPr>
                <w:b/>
                <w:sz w:val="20"/>
                <w:szCs w:val="20"/>
              </w:rPr>
              <w:t>fondamentale</w:t>
            </w:r>
          </w:p>
          <w:p>
            <w:pPr>
              <w:ind w:right="-70"/>
              <w:rPr>
                <w:sz w:val="20"/>
                <w:szCs w:val="20"/>
              </w:rPr>
            </w:pPr>
            <w:r>
              <w:rPr>
                <w:b/>
                <w:sz w:val="20"/>
                <w:szCs w:val="20"/>
              </w:rPr>
              <w:t>non isolée</w:t>
            </w:r>
            <w:r>
              <w:rPr>
                <w:sz w:val="20"/>
                <w:szCs w:val="20"/>
              </w:rPr>
              <w:t xml:space="preserve"> si</w:t>
            </w:r>
          </w:p>
        </w:tc>
        <w:tc>
          <w:tcPr>
            <w:tcW w:w="6660" w:type="dxa"/>
            <w:vAlign w:val="center"/>
          </w:tcPr>
          <w:p>
            <w:pPr>
              <w:ind w:right="-70"/>
              <w:rPr>
                <w:b/>
                <w:spacing w:val="-4"/>
                <w:sz w:val="20"/>
                <w:szCs w:val="20"/>
              </w:rPr>
            </w:pPr>
            <w:r>
              <w:rPr>
                <w:b/>
                <w:spacing w:val="-4"/>
                <w:sz w:val="20"/>
                <w:szCs w:val="20"/>
              </w:rPr>
              <w:t xml:space="preserve">distante de moins de </w:t>
            </w:r>
            <w:smartTag w:uri="urn:schemas-microsoft-com:office:smarttags" w:element="metricconverter">
              <w:smartTagPr>
                <w:attr w:name="ProductID" w:val="2 km"/>
              </w:smartTagPr>
              <w:r>
                <w:rPr>
                  <w:b/>
                  <w:spacing w:val="-4"/>
                  <w:sz w:val="20"/>
                  <w:szCs w:val="20"/>
                </w:rPr>
                <w:t>2 km</w:t>
              </w:r>
            </w:smartTag>
            <w:r>
              <w:rPr>
                <w:spacing w:val="-4"/>
                <w:sz w:val="20"/>
                <w:szCs w:val="20"/>
              </w:rPr>
              <w:t xml:space="preserve"> de toute autre implantation (de la même école ou d’une autre école) du même réseau, </w:t>
            </w:r>
            <w:r>
              <w:rPr>
                <w:sz w:val="20"/>
                <w:szCs w:val="20"/>
              </w:rPr>
              <w:t xml:space="preserve">que celle-ci soit </w:t>
            </w:r>
            <w:r>
              <w:rPr>
                <w:b/>
                <w:bCs/>
                <w:sz w:val="20"/>
                <w:szCs w:val="20"/>
              </w:rPr>
              <w:t>fondamentale</w:t>
            </w:r>
            <w:r>
              <w:rPr>
                <w:sz w:val="20"/>
                <w:szCs w:val="20"/>
              </w:rPr>
              <w:t xml:space="preserve">, </w:t>
            </w:r>
            <w:r>
              <w:rPr>
                <w:bCs/>
                <w:sz w:val="20"/>
                <w:szCs w:val="20"/>
              </w:rPr>
              <w:t xml:space="preserve">uniquement </w:t>
            </w:r>
            <w:r>
              <w:rPr>
                <w:b/>
                <w:sz w:val="20"/>
                <w:szCs w:val="20"/>
              </w:rPr>
              <w:t>maternelle</w:t>
            </w:r>
            <w:r>
              <w:rPr>
                <w:sz w:val="20"/>
                <w:szCs w:val="20"/>
              </w:rPr>
              <w:t xml:space="preserve"> ou </w:t>
            </w:r>
            <w:r>
              <w:rPr>
                <w:bCs/>
                <w:sz w:val="20"/>
                <w:szCs w:val="20"/>
              </w:rPr>
              <w:t>uniquement</w:t>
            </w:r>
            <w:r>
              <w:rPr>
                <w:b/>
                <w:sz w:val="20"/>
                <w:szCs w:val="20"/>
              </w:rPr>
              <w:t xml:space="preserve"> primaire</w:t>
            </w:r>
          </w:p>
        </w:tc>
      </w:tr>
    </w:tbl>
    <w:p>
      <w:pPr>
        <w:pStyle w:val="En-tte"/>
        <w:tabs>
          <w:tab w:val="clear" w:pos="4536"/>
          <w:tab w:val="clear" w:pos="9072"/>
        </w:tabs>
        <w:rPr>
          <w:sz w:val="16"/>
          <w:szCs w:val="16"/>
        </w:rPr>
      </w:pPr>
    </w:p>
    <w:p>
      <w:pPr>
        <w:jc w:val="both"/>
      </w:pPr>
      <w:r>
        <w:t xml:space="preserve">Cas particulier d’une </w:t>
      </w:r>
      <w:r>
        <w:rPr>
          <w:b/>
        </w:rPr>
        <w:t>implantation qui ne comprend pas toutes les années de</w:t>
      </w:r>
      <w:r>
        <w:t xml:space="preserve"> </w:t>
      </w:r>
      <w:r>
        <w:rPr>
          <w:b/>
        </w:rPr>
        <w:t>l’enseignement primaire,</w:t>
      </w:r>
      <w:r>
        <w:t xml:space="preserve"> mais uniquement certaines d’entre elles:</w:t>
      </w:r>
    </w:p>
    <w:p>
      <w:pPr>
        <w:jc w:val="both"/>
        <w:rPr>
          <w:sz w:val="12"/>
        </w:rPr>
      </w:pPr>
    </w:p>
    <w:p>
      <w:pPr>
        <w:jc w:val="both"/>
      </w:pPr>
      <w:r>
        <w:t>Celle-ci fait obligatoirement partie de la même école que l’implantation la plus proche organisée par le même Pouvoir organisateur et comportant les autres années de l’enseignement primaire, sauf dans l’un des cas suivants:</w:t>
      </w:r>
    </w:p>
    <w:p>
      <w:pPr>
        <w:spacing w:before="60"/>
        <w:ind w:left="356"/>
        <w:jc w:val="both"/>
        <w:rPr>
          <w:sz w:val="10"/>
          <w:szCs w:val="10"/>
        </w:rPr>
      </w:pPr>
    </w:p>
    <w:p>
      <w:pPr>
        <w:numPr>
          <w:ilvl w:val="0"/>
          <w:numId w:val="14"/>
        </w:numPr>
        <w:spacing w:before="60"/>
        <w:ind w:left="713" w:hanging="357"/>
        <w:jc w:val="both"/>
      </w:pPr>
      <w:r>
        <w:t>lorsque ces implantations sont situées à au moins deux kilomètres l’une de l’autre;</w:t>
      </w:r>
    </w:p>
    <w:p>
      <w:pPr>
        <w:ind w:left="356"/>
        <w:jc w:val="both"/>
        <w:rPr>
          <w:sz w:val="10"/>
          <w:szCs w:val="10"/>
        </w:rPr>
      </w:pPr>
    </w:p>
    <w:p>
      <w:pPr>
        <w:numPr>
          <w:ilvl w:val="0"/>
          <w:numId w:val="14"/>
        </w:numPr>
        <w:ind w:left="713" w:hanging="357"/>
        <w:jc w:val="both"/>
      </w:pPr>
      <w:r>
        <w:t>lorsque l’implantation la plus proche fait déjà l’objet d’un comptage groupé avec une autre implantation présentant ainsi une offre complète d’enseignement primaire;</w:t>
      </w:r>
    </w:p>
    <w:p>
      <w:pPr>
        <w:ind w:left="356"/>
        <w:jc w:val="both"/>
        <w:rPr>
          <w:sz w:val="10"/>
          <w:szCs w:val="10"/>
        </w:rPr>
      </w:pPr>
    </w:p>
    <w:p>
      <w:pPr>
        <w:numPr>
          <w:ilvl w:val="0"/>
          <w:numId w:val="14"/>
        </w:numPr>
        <w:ind w:left="713" w:hanging="357"/>
        <w:jc w:val="both"/>
      </w:pPr>
      <w:r>
        <w:t>lorsque l’école ne compte qu’une seule implantation;</w:t>
      </w:r>
    </w:p>
    <w:p>
      <w:pPr>
        <w:ind w:left="356"/>
        <w:jc w:val="both"/>
        <w:rPr>
          <w:sz w:val="10"/>
          <w:szCs w:val="10"/>
        </w:rPr>
      </w:pPr>
    </w:p>
    <w:p>
      <w:pPr>
        <w:numPr>
          <w:ilvl w:val="0"/>
          <w:numId w:val="14"/>
        </w:numPr>
        <w:ind w:left="713" w:hanging="357"/>
        <w:jc w:val="both"/>
      </w:pPr>
      <w:r>
        <w:t>lorsqu’une des années ne compte pas d’élèves de manière occasionnelle (ex.: cas d’une implantation à classe unique où il peut arriver que durant une année scolaire, aucun élève ne soit inscrit dans une des années d’études primaires).</w:t>
      </w:r>
    </w:p>
    <w:p>
      <w:pPr>
        <w:jc w:val="both"/>
        <w:rPr>
          <w:sz w:val="16"/>
          <w:szCs w:val="16"/>
        </w:rPr>
      </w:pPr>
    </w:p>
    <w:p>
      <w:pPr>
        <w:numPr>
          <w:ilvl w:val="0"/>
          <w:numId w:val="15"/>
        </w:numPr>
        <w:tabs>
          <w:tab w:val="num" w:pos="540"/>
        </w:tabs>
        <w:ind w:left="283"/>
        <w:jc w:val="both"/>
        <w:rPr>
          <w:b/>
          <w:i/>
          <w:u w:val="single"/>
        </w:rPr>
      </w:pPr>
      <w:r>
        <w:rPr>
          <w:b/>
          <w:i/>
          <w:u w:val="single"/>
        </w:rPr>
        <w:t>Compléments naturels et bâtiments annexes</w:t>
      </w:r>
    </w:p>
    <w:p>
      <w:pPr>
        <w:jc w:val="both"/>
        <w:rPr>
          <w:sz w:val="8"/>
          <w:szCs w:val="8"/>
        </w:rPr>
      </w:pPr>
    </w:p>
    <w:p>
      <w:pPr>
        <w:ind w:left="539"/>
        <w:jc w:val="both"/>
      </w:pPr>
      <w:r>
        <w:t>Afin d’éviter toute confusion, il y a lieu encore de définir ici les notions de compléments naturels et de bâtiments annexes, qui ne sont en rien assimilables à une école ou à une implantation pour l’application des normes de rationalisation et de programmation.</w:t>
      </w:r>
    </w:p>
    <w:p>
      <w:pPr>
        <w:jc w:val="both"/>
        <w:rPr>
          <w:sz w:val="12"/>
          <w:szCs w:val="12"/>
        </w:rPr>
      </w:pPr>
    </w:p>
    <w:p>
      <w:pPr>
        <w:numPr>
          <w:ilvl w:val="0"/>
          <w:numId w:val="16"/>
        </w:numPr>
        <w:tabs>
          <w:tab w:val="clear" w:pos="1709"/>
        </w:tabs>
        <w:ind w:left="539"/>
        <w:jc w:val="both"/>
      </w:pPr>
      <w:r>
        <w:rPr>
          <w:b/>
          <w:u w:val="single"/>
        </w:rPr>
        <w:t xml:space="preserve">Complément naturel </w:t>
      </w:r>
      <w:r>
        <w:rPr>
          <w:b/>
        </w:rPr>
        <w:t>:</w:t>
      </w:r>
      <w:r>
        <w:rPr>
          <w:b/>
        </w:rPr>
        <w:tab/>
      </w:r>
      <w:r>
        <w:rPr>
          <w:b/>
        </w:rPr>
        <w:br/>
      </w:r>
      <w:r>
        <w:rPr>
          <w:spacing w:val="-6"/>
        </w:rPr>
        <w:t xml:space="preserve">Bâtiment existant avant le 30/06/1984, utilisé à titre complémentaire par une école ou une implantation et où l’on dispense de l’enseignement maternel et/ou primaire. </w:t>
      </w:r>
      <w:r>
        <w:t>Les élèves qui en font partie dépendent de l’école ou d’une implantation de l’école et ils ne peuvent faire l’objet d’un comptage distinct.</w:t>
      </w:r>
    </w:p>
    <w:p>
      <w:pPr>
        <w:ind w:left="539" w:hanging="360"/>
        <w:jc w:val="both"/>
        <w:rPr>
          <w:sz w:val="12"/>
          <w:szCs w:val="12"/>
        </w:rPr>
      </w:pPr>
    </w:p>
    <w:p>
      <w:pPr>
        <w:numPr>
          <w:ilvl w:val="0"/>
          <w:numId w:val="16"/>
        </w:numPr>
        <w:tabs>
          <w:tab w:val="clear" w:pos="1709"/>
        </w:tabs>
        <w:ind w:left="539"/>
        <w:jc w:val="both"/>
        <w:rPr>
          <w:spacing w:val="-2"/>
          <w:szCs w:val="22"/>
        </w:rPr>
      </w:pPr>
      <w:r>
        <w:rPr>
          <w:b/>
          <w:u w:val="single"/>
        </w:rPr>
        <w:t xml:space="preserve">Bâtiment annexe : </w:t>
      </w:r>
    </w:p>
    <w:p>
      <w:pPr>
        <w:ind w:left="540"/>
        <w:jc w:val="both"/>
        <w:rPr>
          <w:spacing w:val="-2"/>
          <w:szCs w:val="22"/>
        </w:rPr>
      </w:pPr>
      <w:r>
        <w:rPr>
          <w:spacing w:val="-4"/>
        </w:rPr>
        <w:t>Bâtiment répondant aux conditions de salubrité et d’hygiène</w:t>
      </w:r>
      <w:r>
        <w:rPr>
          <w:rStyle w:val="Appelnotedebasdep"/>
          <w:spacing w:val="-4"/>
        </w:rPr>
        <w:footnoteReference w:id="43"/>
      </w:r>
      <w:r>
        <w:rPr>
          <w:spacing w:val="-4"/>
        </w:rPr>
        <w:t xml:space="preserve">, situé à moins de </w:t>
      </w:r>
      <w:smartTag w:uri="urn:schemas-microsoft-com:office:smarttags" w:element="metricconverter">
        <w:smartTagPr>
          <w:attr w:name="ProductID" w:val="2 km"/>
        </w:smartTagPr>
        <w:r>
          <w:rPr>
            <w:spacing w:val="-4"/>
          </w:rPr>
          <w:t>2 km</w:t>
        </w:r>
      </w:smartTag>
      <w:r>
        <w:rPr>
          <w:spacing w:val="-4"/>
        </w:rPr>
        <w:t xml:space="preserve"> (commune à densité de population de 75 h/km</w:t>
      </w:r>
      <w:r>
        <w:rPr>
          <w:spacing w:val="-4"/>
          <w:vertAlign w:val="superscript"/>
        </w:rPr>
        <w:t xml:space="preserve">2 </w:t>
      </w:r>
      <w:r>
        <w:rPr>
          <w:spacing w:val="-4"/>
        </w:rPr>
        <w:t xml:space="preserve">ou plus) ou à moins de </w:t>
      </w:r>
      <w:smartTag w:uri="urn:schemas-microsoft-com:office:smarttags" w:element="metricconverter">
        <w:smartTagPr>
          <w:attr w:name="ProductID" w:val="3 km"/>
        </w:smartTagPr>
        <w:r>
          <w:rPr>
            <w:spacing w:val="-4"/>
          </w:rPr>
          <w:t>3 km</w:t>
        </w:r>
      </w:smartTag>
      <w:r>
        <w:rPr>
          <w:spacing w:val="-4"/>
        </w:rPr>
        <w:t xml:space="preserve"> (commune à densité inférieure à 75 h/km</w:t>
      </w:r>
      <w:r>
        <w:rPr>
          <w:spacing w:val="-4"/>
          <w:vertAlign w:val="superscript"/>
        </w:rPr>
        <w:t>2</w:t>
      </w:r>
      <w:r>
        <w:rPr>
          <w:spacing w:val="-4"/>
        </w:rPr>
        <w:t xml:space="preserve">) d’une implantation où l’on dispense de l’enseignement maternel et/ou primaire et qui complète cette implantation. </w:t>
      </w:r>
      <w:r>
        <w:rPr>
          <w:spacing w:val="-2"/>
          <w:szCs w:val="22"/>
        </w:rPr>
        <w:t>Sauf dérogation ministérielle, la distance qui sépare une implantation de son bâtiment annexe doit être plus courte que la distance entre cette implantation et toute autre implantation.</w:t>
      </w:r>
    </w:p>
    <w:p>
      <w:pPr>
        <w:tabs>
          <w:tab w:val="left" w:pos="1080"/>
        </w:tabs>
        <w:spacing w:before="60"/>
        <w:ind w:left="539"/>
        <w:jc w:val="both"/>
        <w:rPr>
          <w:spacing w:val="-10"/>
        </w:rPr>
      </w:pPr>
      <w:r>
        <w:t>Les élèves qui font partie du bâtiment annexe dépendent de l’implantation complétée et ne peuvent pas faire l’objet d’un comptage distinct.</w:t>
      </w:r>
      <w:r>
        <w:tab/>
      </w:r>
      <w:r>
        <w:br/>
      </w:r>
      <w:r>
        <w:rPr>
          <w:spacing w:val="-10"/>
        </w:rPr>
        <w:t>Le recours à un bâtiment annexe est une situation temporaire, nécessitant l’autorisation du Ministre ou de son délégué, accordée uniquement par année scolaire.</w:t>
      </w:r>
    </w:p>
    <w:p>
      <w:pPr>
        <w:tabs>
          <w:tab w:val="left" w:pos="1080"/>
          <w:tab w:val="left" w:pos="2700"/>
        </w:tabs>
        <w:spacing w:before="60"/>
        <w:ind w:left="901"/>
        <w:jc w:val="both"/>
      </w:pPr>
      <w:r>
        <w:rPr>
          <w:u w:val="single"/>
        </w:rPr>
        <w:t>La demande d'autorisation</w:t>
      </w:r>
      <w:r>
        <w:t xml:space="preserve">, incluant la justification du Pouvoir organisateur (enseignement subventionné) ou du Chef d’établissement (enseignement organisé par la Fédération Wallonie-Bruxelles), doit être introduite, à l’aide de </w:t>
      </w:r>
      <w:r>
        <w:rPr>
          <w:u w:val="single"/>
        </w:rPr>
        <w:t>l’</w:t>
      </w:r>
      <w:hyperlink w:anchor="Annexe_31A" w:history="1">
        <w:r>
          <w:rPr>
            <w:rStyle w:val="Lienhypertexte"/>
            <w:color w:val="auto"/>
          </w:rPr>
          <w:t>annexe 3.1.A</w:t>
        </w:r>
      </w:hyperlink>
      <w:r>
        <w:t xml:space="preserve"> (enseignement subventionné) ou de </w:t>
      </w:r>
      <w:r>
        <w:rPr>
          <w:u w:val="single"/>
        </w:rPr>
        <w:t>l’</w:t>
      </w:r>
      <w:hyperlink w:anchor="Annexe_31B" w:history="1">
        <w:r>
          <w:rPr>
            <w:rStyle w:val="Lienhypertexte"/>
            <w:color w:val="auto"/>
          </w:rPr>
          <w:t>annexe 3.1.B</w:t>
        </w:r>
      </w:hyperlink>
      <w:r>
        <w:t xml:space="preserve"> (enseignement organisé par la Fédération Wallonie-Bruxelles) </w:t>
      </w:r>
      <w:r>
        <w:rPr>
          <w:u w:val="single"/>
        </w:rPr>
        <w:t>avant le 1</w:t>
      </w:r>
      <w:r>
        <w:rPr>
          <w:u w:val="single"/>
          <w:vertAlign w:val="superscript"/>
        </w:rPr>
        <w:t>er</w:t>
      </w:r>
      <w:r>
        <w:rPr>
          <w:u w:val="single"/>
        </w:rPr>
        <w:t xml:space="preserve"> septembre 2017 à l'adresse ci-dessous</w:t>
      </w:r>
      <w:r>
        <w:t>.</w:t>
      </w:r>
    </w:p>
    <w:p>
      <w:pPr>
        <w:tabs>
          <w:tab w:val="left" w:pos="1080"/>
          <w:tab w:val="left" w:pos="2700"/>
        </w:tabs>
        <w:spacing w:before="60"/>
        <w:ind w:left="901"/>
        <w:jc w:val="both"/>
      </w:pPr>
    </w:p>
    <w:tbl>
      <w:tblPr>
        <w:tblStyle w:val="Grilledutableau"/>
        <w:tblW w:w="0" w:type="auto"/>
        <w:tblInd w:w="901" w:type="dxa"/>
        <w:tblLook w:val="04A0" w:firstRow="1" w:lastRow="0" w:firstColumn="1" w:lastColumn="0" w:noHBand="0" w:noVBand="1"/>
      </w:tblPr>
      <w:tblGrid>
        <w:gridCol w:w="8953"/>
      </w:tblGrid>
      <w:tr>
        <w:tc>
          <w:tcPr>
            <w:tcW w:w="9628" w:type="dxa"/>
          </w:tcPr>
          <w:p>
            <w:pPr>
              <w:spacing w:before="120"/>
              <w:ind w:left="1079"/>
              <w:jc w:val="center"/>
            </w:pPr>
            <w:r>
              <w:t>Direction générale de l'Enseignement obligatoire</w:t>
            </w:r>
          </w:p>
          <w:p>
            <w:pPr>
              <w:ind w:left="1079"/>
              <w:jc w:val="center"/>
              <w:rPr>
                <w:szCs w:val="22"/>
              </w:rPr>
            </w:pPr>
            <w:r>
              <w:rPr>
                <w:szCs w:val="22"/>
              </w:rPr>
              <w:t xml:space="preserve">Direction de l'Organisation des Etablissements d’Enseignement fondamental ordinaire </w:t>
            </w:r>
          </w:p>
          <w:p>
            <w:pPr>
              <w:tabs>
                <w:tab w:val="left" w:pos="1080"/>
                <w:tab w:val="left" w:pos="2700"/>
              </w:tabs>
              <w:spacing w:before="60"/>
              <w:jc w:val="center"/>
            </w:pPr>
            <w:r>
              <w:t>Rue Adolphe Lavallée, 1 – 2F211 – 1080 BRUXELLES</w:t>
            </w:r>
          </w:p>
        </w:tc>
      </w:tr>
    </w:tbl>
    <w:p/>
    <w:p>
      <w:pPr>
        <w:ind w:left="1079"/>
        <w:jc w:val="center"/>
        <w:rPr>
          <w:sz w:val="16"/>
          <w:szCs w:val="16"/>
        </w:rPr>
      </w:pPr>
    </w:p>
    <w:p>
      <w:pPr>
        <w:numPr>
          <w:ilvl w:val="0"/>
          <w:numId w:val="15"/>
        </w:numPr>
        <w:tabs>
          <w:tab w:val="left" w:pos="540"/>
        </w:tabs>
        <w:ind w:left="283"/>
        <w:jc w:val="both"/>
        <w:rPr>
          <w:b/>
          <w:i/>
          <w:spacing w:val="-4"/>
          <w:szCs w:val="22"/>
          <w:u w:val="single"/>
        </w:rPr>
      </w:pPr>
      <w:r>
        <w:rPr>
          <w:b/>
          <w:i/>
          <w:spacing w:val="-4"/>
          <w:szCs w:val="22"/>
          <w:u w:val="single"/>
        </w:rPr>
        <w:t>Population scolaire à prendre en compte pour les normes de rationalisation / programmation</w:t>
      </w:r>
    </w:p>
    <w:p>
      <w:pPr>
        <w:jc w:val="both"/>
        <w:rPr>
          <w:sz w:val="8"/>
          <w:szCs w:val="8"/>
        </w:rPr>
      </w:pPr>
    </w:p>
    <w:p>
      <w:pPr>
        <w:ind w:left="3418" w:hanging="2880"/>
        <w:jc w:val="both"/>
        <w:rPr>
          <w:u w:val="single"/>
        </w:rPr>
      </w:pPr>
      <w:r>
        <w:rPr>
          <w:i/>
          <w:u w:val="single"/>
        </w:rPr>
        <w:t>Dans l’enseignement primaire</w:t>
      </w:r>
      <w:r>
        <w:rPr>
          <w:u w:val="single"/>
        </w:rPr>
        <w:t>:</w:t>
      </w:r>
    </w:p>
    <w:p>
      <w:pPr>
        <w:ind w:left="899"/>
        <w:jc w:val="both"/>
        <w:rPr>
          <w:i/>
          <w:iCs/>
          <w:spacing w:val="-2"/>
        </w:rPr>
      </w:pPr>
      <w:r>
        <w:rPr>
          <w:spacing w:val="-2"/>
        </w:rPr>
        <w:t xml:space="preserve">Il s’agit des élèves régulièrement inscrits à la date du 30 septembre, c’est-à-dire ceux qui suivent tous les cours prévus au programme des études et qui sont réellement présents dans l’école à la dernière heure de cours du dernier jour scolaire de septembre, ou en absence dûment justifiée (voir également la </w:t>
      </w:r>
      <w:hyperlink w:anchor="_2.5.1.__Justification" w:history="1">
        <w:r>
          <w:rPr>
            <w:rStyle w:val="Lienhypertexte"/>
            <w:color w:val="auto"/>
            <w:spacing w:val="-2"/>
          </w:rPr>
          <w:t>section 2.5.1.</w:t>
        </w:r>
      </w:hyperlink>
      <w:r>
        <w:rPr>
          <w:spacing w:val="-2"/>
        </w:rPr>
        <w:t xml:space="preserve">). </w:t>
      </w:r>
      <w:r>
        <w:rPr>
          <w:i/>
          <w:iCs/>
          <w:spacing w:val="-2"/>
        </w:rPr>
        <w:t xml:space="preserve">Les coefficients 1,5 valables exclusivement pour le calcul de l'encadrement ne sont pas d'application. </w:t>
      </w:r>
    </w:p>
    <w:p>
      <w:pPr>
        <w:jc w:val="both"/>
        <w:rPr>
          <w:sz w:val="12"/>
          <w:szCs w:val="12"/>
        </w:rPr>
      </w:pPr>
    </w:p>
    <w:p>
      <w:pPr>
        <w:ind w:left="566"/>
        <w:jc w:val="both"/>
        <w:rPr>
          <w:u w:val="single"/>
        </w:rPr>
      </w:pPr>
      <w:r>
        <w:rPr>
          <w:i/>
          <w:u w:val="single"/>
        </w:rPr>
        <w:t>Dans l’enseignement maternel</w:t>
      </w:r>
      <w:r>
        <w:rPr>
          <w:u w:val="single"/>
        </w:rPr>
        <w:t>:</w:t>
      </w:r>
    </w:p>
    <w:p>
      <w:pPr>
        <w:ind w:left="899"/>
        <w:jc w:val="both"/>
        <w:rPr>
          <w:i/>
          <w:iCs/>
        </w:rPr>
      </w:pPr>
      <w:r>
        <w:t xml:space="preserve">Il s’agit des élèves qui, à la date du 30 septembre, sont âgés d’au moins 2 ans ½ et qui fréquentent effectivement l’école, c’est-à-dire, qui comptent 8 demi-jours de présence répartis sur 8 jours et dont l’inscription n’a pas été retirée à la dernière heure de cours du dernier jour scolaire de septembre. </w:t>
      </w:r>
      <w:r>
        <w:rPr>
          <w:i/>
          <w:iCs/>
        </w:rPr>
        <w:t>Les coefficients 1,5 ne sont pas d'application.</w:t>
      </w:r>
    </w:p>
    <w:p>
      <w:pPr>
        <w:rPr>
          <w:szCs w:val="22"/>
        </w:rPr>
      </w:pPr>
    </w:p>
    <w:p>
      <w:pPr>
        <w:pStyle w:val="Titre3"/>
      </w:pPr>
      <w:bookmarkStart w:id="799" w:name="_Toc295932014"/>
      <w:bookmarkStart w:id="800" w:name="_Toc295913754"/>
      <w:bookmarkStart w:id="801" w:name="_Toc423420033"/>
      <w:bookmarkStart w:id="802" w:name="_Toc450645240"/>
      <w:bookmarkStart w:id="803" w:name="_Toc453942476"/>
      <w:bookmarkStart w:id="804" w:name="_Toc454888093"/>
      <w:bookmarkStart w:id="805" w:name="_Toc486241755"/>
      <w:r>
        <w:t>3.1.2. Rationalisation</w:t>
      </w:r>
      <w:bookmarkEnd w:id="799"/>
      <w:bookmarkEnd w:id="800"/>
      <w:bookmarkEnd w:id="801"/>
      <w:bookmarkEnd w:id="802"/>
      <w:bookmarkEnd w:id="803"/>
      <w:bookmarkEnd w:id="804"/>
      <w:bookmarkEnd w:id="805"/>
    </w:p>
    <w:p>
      <w:pPr>
        <w:rPr>
          <w:sz w:val="16"/>
          <w:szCs w:val="16"/>
        </w:rPr>
      </w:pPr>
    </w:p>
    <w:p>
      <w:pPr>
        <w:jc w:val="both"/>
      </w:pPr>
      <w:r>
        <w:t xml:space="preserve">Les </w:t>
      </w:r>
      <w:r>
        <w:rPr>
          <w:u w:val="single"/>
        </w:rPr>
        <w:t>normes de rationalisation</w:t>
      </w:r>
      <w:r>
        <w:t xml:space="preserve"> déterminent les </w:t>
      </w:r>
      <w:r>
        <w:rPr>
          <w:i/>
        </w:rPr>
        <w:t xml:space="preserve">conditions à remplir pour pouvoir </w:t>
      </w:r>
      <w:r>
        <w:rPr>
          <w:b/>
          <w:i/>
        </w:rPr>
        <w:t>maintenir</w:t>
      </w:r>
      <w:r>
        <w:rPr>
          <w:i/>
        </w:rPr>
        <w:t xml:space="preserve"> une école ou une implantation</w:t>
      </w:r>
      <w:r>
        <w:t>. Elles définissent les minima de population à atteindre au 30 septembre de l’année en cours, par école, par implantation et par niveau.</w:t>
      </w:r>
    </w:p>
    <w:p>
      <w:pPr>
        <w:jc w:val="both"/>
      </w:pPr>
    </w:p>
    <w:p>
      <w:pPr>
        <w:pStyle w:val="Titre4"/>
      </w:pPr>
      <w:bookmarkStart w:id="806" w:name="_3.1.2.1.__Normes"/>
      <w:bookmarkStart w:id="807" w:name="Section3_1_2_1"/>
      <w:bookmarkStart w:id="808" w:name="_Toc110930716"/>
      <w:bookmarkStart w:id="809" w:name="_Toc165786034"/>
      <w:bookmarkStart w:id="810" w:name="_Toc167618991"/>
      <w:bookmarkStart w:id="811" w:name="_Toc170010411"/>
      <w:bookmarkStart w:id="812" w:name="_Toc172713845"/>
      <w:bookmarkStart w:id="813" w:name="_Toc295932015"/>
      <w:bookmarkStart w:id="814" w:name="_Toc423420034"/>
      <w:bookmarkStart w:id="815" w:name="_Toc450645241"/>
      <w:bookmarkStart w:id="816" w:name="_Toc453942477"/>
      <w:bookmarkStart w:id="817" w:name="_Toc454888094"/>
      <w:bookmarkStart w:id="818" w:name="_Toc486241756"/>
      <w:bookmarkEnd w:id="806"/>
      <w:r>
        <w:t>3.1.2.1</w:t>
      </w:r>
      <w:bookmarkEnd w:id="807"/>
      <w:r>
        <w:t>. Normes de rationalisation</w:t>
      </w:r>
      <w:bookmarkEnd w:id="808"/>
      <w:bookmarkEnd w:id="809"/>
      <w:bookmarkEnd w:id="810"/>
      <w:bookmarkEnd w:id="811"/>
      <w:bookmarkEnd w:id="812"/>
      <w:bookmarkEnd w:id="813"/>
      <w:bookmarkEnd w:id="814"/>
      <w:bookmarkEnd w:id="815"/>
      <w:bookmarkEnd w:id="816"/>
      <w:bookmarkEnd w:id="817"/>
      <w:bookmarkEnd w:id="818"/>
    </w:p>
    <w:p>
      <w:pPr>
        <w:rPr>
          <w:sz w:val="16"/>
          <w:szCs w:val="16"/>
        </w:rPr>
      </w:pPr>
    </w:p>
    <w:p>
      <w:pPr>
        <w:numPr>
          <w:ilvl w:val="0"/>
          <w:numId w:val="20"/>
        </w:numPr>
        <w:tabs>
          <w:tab w:val="clear" w:pos="1004"/>
        </w:tabs>
        <w:ind w:left="359"/>
        <w:rPr>
          <w:b/>
        </w:rPr>
      </w:pPr>
      <w:r>
        <w:rPr>
          <w:b/>
        </w:rPr>
        <w:t>Normes à atteindre à 100%</w:t>
      </w:r>
    </w:p>
    <w:p>
      <w:pPr>
        <w:rPr>
          <w:sz w:val="8"/>
          <w:szCs w:val="8"/>
        </w:rPr>
      </w:pPr>
    </w:p>
    <w:p>
      <w:pPr>
        <w:pStyle w:val="Corpsdetexte"/>
      </w:pPr>
      <w:r>
        <w:t>Une école est réputée être à 100% des normes de rationalisation si, à la date du 30 septembre de l’année en cours, elle atteint par école, par implantation et par niveau d’enseignement, les minima de population, tels que référencés dans le tableau ci-dessous:</w:t>
      </w:r>
    </w:p>
    <w:p/>
    <w:tbl>
      <w:tblPr>
        <w:tblW w:w="9610" w:type="dxa"/>
        <w:jc w:val="center"/>
        <w:tblLayout w:type="fixed"/>
        <w:tblCellMar>
          <w:left w:w="120" w:type="dxa"/>
          <w:right w:w="120" w:type="dxa"/>
        </w:tblCellMar>
        <w:tblLook w:val="0000" w:firstRow="0" w:lastRow="0" w:firstColumn="0" w:lastColumn="0" w:noHBand="0" w:noVBand="0"/>
      </w:tblPr>
      <w:tblGrid>
        <w:gridCol w:w="1898"/>
        <w:gridCol w:w="792"/>
        <w:gridCol w:w="720"/>
        <w:gridCol w:w="1221"/>
        <w:gridCol w:w="679"/>
        <w:gridCol w:w="763"/>
        <w:gridCol w:w="1045"/>
        <w:gridCol w:w="665"/>
        <w:gridCol w:w="835"/>
        <w:gridCol w:w="992"/>
      </w:tblGrid>
      <w:tr>
        <w:trPr>
          <w:cantSplit/>
          <w:trHeight w:hRule="exact" w:val="624"/>
          <w:jc w:val="center"/>
        </w:trPr>
        <w:tc>
          <w:tcPr>
            <w:tcW w:w="1898" w:type="dxa"/>
            <w:tcBorders>
              <w:top w:val="single" w:sz="6" w:space="0" w:color="auto"/>
              <w:left w:val="single" w:sz="6" w:space="0" w:color="auto"/>
            </w:tcBorders>
            <w:shd w:val="pct10" w:color="auto" w:fill="auto"/>
            <w:vAlign w:val="center"/>
          </w:tcPr>
          <w:p>
            <w:pPr>
              <w:jc w:val="center"/>
              <w:rPr>
                <w:sz w:val="21"/>
              </w:rPr>
            </w:pPr>
          </w:p>
        </w:tc>
        <w:tc>
          <w:tcPr>
            <w:tcW w:w="2733" w:type="dxa"/>
            <w:gridSpan w:val="3"/>
            <w:tcBorders>
              <w:top w:val="single" w:sz="6" w:space="0" w:color="auto"/>
              <w:left w:val="single" w:sz="6" w:space="0" w:color="auto"/>
            </w:tcBorders>
            <w:shd w:val="pct10" w:color="auto" w:fill="auto"/>
            <w:vAlign w:val="center"/>
          </w:tcPr>
          <w:p>
            <w:pPr>
              <w:jc w:val="center"/>
              <w:rPr>
                <w:b/>
                <w:sz w:val="21"/>
              </w:rPr>
            </w:pPr>
            <w:r>
              <w:rPr>
                <w:b/>
                <w:sz w:val="21"/>
              </w:rPr>
              <w:t>Commune de</w:t>
            </w:r>
          </w:p>
          <w:p>
            <w:pPr>
              <w:jc w:val="center"/>
              <w:rPr>
                <w:b/>
                <w:sz w:val="21"/>
              </w:rPr>
            </w:pPr>
            <w:r>
              <w:rPr>
                <w:b/>
                <w:sz w:val="21"/>
              </w:rPr>
              <w:t xml:space="preserve"> moins de 75 Hab/km²</w:t>
            </w:r>
          </w:p>
        </w:tc>
        <w:tc>
          <w:tcPr>
            <w:tcW w:w="2487" w:type="dxa"/>
            <w:gridSpan w:val="3"/>
            <w:tcBorders>
              <w:top w:val="single" w:sz="6" w:space="0" w:color="auto"/>
              <w:left w:val="single" w:sz="6" w:space="0" w:color="auto"/>
              <w:right w:val="single" w:sz="4" w:space="0" w:color="auto"/>
            </w:tcBorders>
            <w:shd w:val="pct10" w:color="auto" w:fill="auto"/>
            <w:vAlign w:val="center"/>
          </w:tcPr>
          <w:p>
            <w:pPr>
              <w:jc w:val="center"/>
              <w:rPr>
                <w:b/>
                <w:sz w:val="21"/>
              </w:rPr>
            </w:pPr>
            <w:r>
              <w:rPr>
                <w:b/>
                <w:sz w:val="21"/>
              </w:rPr>
              <w:t xml:space="preserve"> Commune de 75</w:t>
            </w:r>
          </w:p>
          <w:p>
            <w:pPr>
              <w:jc w:val="center"/>
              <w:rPr>
                <w:b/>
                <w:sz w:val="21"/>
              </w:rPr>
            </w:pPr>
            <w:r>
              <w:rPr>
                <w:b/>
                <w:sz w:val="21"/>
              </w:rPr>
              <w:t xml:space="preserve"> à 500 Hab/km²</w:t>
            </w:r>
          </w:p>
        </w:tc>
        <w:tc>
          <w:tcPr>
            <w:tcW w:w="2492" w:type="dxa"/>
            <w:gridSpan w:val="3"/>
            <w:tcBorders>
              <w:top w:val="single" w:sz="4" w:space="0" w:color="auto"/>
              <w:left w:val="single" w:sz="4" w:space="0" w:color="auto"/>
              <w:bottom w:val="single" w:sz="4" w:space="0" w:color="auto"/>
              <w:right w:val="single" w:sz="4" w:space="0" w:color="auto"/>
            </w:tcBorders>
            <w:shd w:val="pct10" w:color="auto" w:fill="auto"/>
            <w:vAlign w:val="center"/>
          </w:tcPr>
          <w:p>
            <w:pPr>
              <w:jc w:val="center"/>
              <w:rPr>
                <w:b/>
                <w:sz w:val="21"/>
              </w:rPr>
            </w:pPr>
            <w:r>
              <w:rPr>
                <w:b/>
                <w:sz w:val="21"/>
              </w:rPr>
              <w:t xml:space="preserve"> Commune de plus</w:t>
            </w:r>
          </w:p>
          <w:p>
            <w:pPr>
              <w:jc w:val="center"/>
              <w:rPr>
                <w:b/>
                <w:sz w:val="21"/>
              </w:rPr>
            </w:pPr>
            <w:r>
              <w:rPr>
                <w:b/>
                <w:sz w:val="21"/>
              </w:rPr>
              <w:t xml:space="preserve"> de 500 Hab/km²</w:t>
            </w:r>
          </w:p>
        </w:tc>
      </w:tr>
      <w:tr>
        <w:trPr>
          <w:cantSplit/>
          <w:trHeight w:hRule="exact" w:val="340"/>
          <w:jc w:val="center"/>
        </w:trPr>
        <w:tc>
          <w:tcPr>
            <w:tcW w:w="1898" w:type="dxa"/>
            <w:tcBorders>
              <w:left w:val="single" w:sz="6" w:space="0" w:color="auto"/>
            </w:tcBorders>
            <w:shd w:val="pct10" w:color="auto" w:fill="auto"/>
            <w:vAlign w:val="center"/>
          </w:tcPr>
          <w:p>
            <w:pPr>
              <w:jc w:val="center"/>
              <w:rPr>
                <w:b/>
                <w:sz w:val="21"/>
              </w:rPr>
            </w:pPr>
          </w:p>
        </w:tc>
        <w:tc>
          <w:tcPr>
            <w:tcW w:w="792"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720" w:type="dxa"/>
            <w:tcBorders>
              <w:top w:val="single" w:sz="6" w:space="0" w:color="auto"/>
              <w:left w:val="single" w:sz="6" w:space="0" w:color="auto"/>
            </w:tcBorders>
            <w:shd w:val="pct10" w:color="auto" w:fill="auto"/>
            <w:vAlign w:val="center"/>
          </w:tcPr>
          <w:p>
            <w:pPr>
              <w:ind w:right="-120"/>
              <w:jc w:val="center"/>
              <w:rPr>
                <w:b/>
                <w:sz w:val="21"/>
              </w:rPr>
            </w:pPr>
            <w:r>
              <w:rPr>
                <w:b/>
                <w:sz w:val="21"/>
              </w:rPr>
              <w:t>Prim.</w:t>
            </w:r>
          </w:p>
        </w:tc>
        <w:tc>
          <w:tcPr>
            <w:tcW w:w="1221" w:type="dxa"/>
            <w:tcBorders>
              <w:top w:val="single" w:sz="6" w:space="0" w:color="auto"/>
              <w:left w:val="single" w:sz="6" w:space="0" w:color="auto"/>
            </w:tcBorders>
            <w:shd w:val="pct10" w:color="auto" w:fill="auto"/>
            <w:vAlign w:val="center"/>
          </w:tcPr>
          <w:p>
            <w:pPr>
              <w:jc w:val="center"/>
              <w:rPr>
                <w:b/>
                <w:sz w:val="21"/>
              </w:rPr>
            </w:pPr>
            <w:r>
              <w:rPr>
                <w:b/>
                <w:sz w:val="21"/>
              </w:rPr>
              <w:t>Fond.</w:t>
            </w:r>
          </w:p>
        </w:tc>
        <w:tc>
          <w:tcPr>
            <w:tcW w:w="679"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763" w:type="dxa"/>
            <w:tcBorders>
              <w:top w:val="single" w:sz="6" w:space="0" w:color="auto"/>
              <w:left w:val="single" w:sz="6" w:space="0" w:color="auto"/>
            </w:tcBorders>
            <w:shd w:val="pct10" w:color="auto" w:fill="auto"/>
            <w:vAlign w:val="center"/>
          </w:tcPr>
          <w:p>
            <w:pPr>
              <w:jc w:val="center"/>
              <w:rPr>
                <w:b/>
                <w:sz w:val="21"/>
              </w:rPr>
            </w:pPr>
            <w:r>
              <w:rPr>
                <w:b/>
                <w:sz w:val="21"/>
              </w:rPr>
              <w:t>Prim.</w:t>
            </w:r>
          </w:p>
        </w:tc>
        <w:tc>
          <w:tcPr>
            <w:tcW w:w="1045" w:type="dxa"/>
            <w:tcBorders>
              <w:top w:val="single" w:sz="6" w:space="0" w:color="auto"/>
              <w:left w:val="single" w:sz="6" w:space="0" w:color="auto"/>
            </w:tcBorders>
            <w:shd w:val="pct10" w:color="auto" w:fill="auto"/>
            <w:vAlign w:val="center"/>
          </w:tcPr>
          <w:p>
            <w:pPr>
              <w:jc w:val="center"/>
              <w:rPr>
                <w:b/>
                <w:sz w:val="21"/>
              </w:rPr>
            </w:pPr>
            <w:r>
              <w:rPr>
                <w:b/>
                <w:sz w:val="21"/>
              </w:rPr>
              <w:t>Fond.</w:t>
            </w:r>
          </w:p>
        </w:tc>
        <w:tc>
          <w:tcPr>
            <w:tcW w:w="665" w:type="dxa"/>
            <w:tcBorders>
              <w:top w:val="single" w:sz="4" w:space="0" w:color="auto"/>
              <w:left w:val="single" w:sz="6" w:space="0" w:color="auto"/>
            </w:tcBorders>
            <w:shd w:val="pct10" w:color="auto" w:fill="auto"/>
            <w:vAlign w:val="center"/>
          </w:tcPr>
          <w:p>
            <w:pPr>
              <w:jc w:val="center"/>
              <w:rPr>
                <w:b/>
                <w:sz w:val="21"/>
              </w:rPr>
            </w:pPr>
            <w:r>
              <w:rPr>
                <w:b/>
                <w:sz w:val="21"/>
              </w:rPr>
              <w:t>Mat.</w:t>
            </w:r>
          </w:p>
        </w:tc>
        <w:tc>
          <w:tcPr>
            <w:tcW w:w="835" w:type="dxa"/>
            <w:tcBorders>
              <w:top w:val="single" w:sz="4" w:space="0" w:color="auto"/>
              <w:left w:val="single" w:sz="6" w:space="0" w:color="auto"/>
            </w:tcBorders>
            <w:shd w:val="pct10" w:color="auto" w:fill="auto"/>
            <w:vAlign w:val="center"/>
          </w:tcPr>
          <w:p>
            <w:pPr>
              <w:jc w:val="center"/>
              <w:rPr>
                <w:b/>
                <w:sz w:val="21"/>
              </w:rPr>
            </w:pPr>
            <w:r>
              <w:rPr>
                <w:b/>
                <w:sz w:val="21"/>
              </w:rPr>
              <w:t>Prim.</w:t>
            </w:r>
          </w:p>
        </w:tc>
        <w:tc>
          <w:tcPr>
            <w:tcW w:w="992" w:type="dxa"/>
            <w:tcBorders>
              <w:top w:val="single" w:sz="4" w:space="0" w:color="auto"/>
              <w:left w:val="single" w:sz="6" w:space="0" w:color="auto"/>
              <w:right w:val="single" w:sz="6" w:space="0" w:color="auto"/>
            </w:tcBorders>
            <w:shd w:val="pct10" w:color="auto" w:fill="auto"/>
            <w:vAlign w:val="center"/>
          </w:tcPr>
          <w:p>
            <w:pPr>
              <w:jc w:val="center"/>
              <w:rPr>
                <w:b/>
                <w:sz w:val="21"/>
              </w:rPr>
            </w:pPr>
            <w:r>
              <w:rPr>
                <w:b/>
                <w:sz w:val="21"/>
              </w:rPr>
              <w:t>Fond.</w:t>
            </w:r>
          </w:p>
        </w:tc>
      </w:tr>
      <w:tr>
        <w:trPr>
          <w:cantSplit/>
          <w:trHeight w:hRule="exact" w:val="567"/>
          <w:jc w:val="center"/>
        </w:trPr>
        <w:tc>
          <w:tcPr>
            <w:tcW w:w="1898" w:type="dxa"/>
            <w:tcBorders>
              <w:top w:val="single" w:sz="6" w:space="0" w:color="auto"/>
              <w:left w:val="single" w:sz="6" w:space="0" w:color="auto"/>
            </w:tcBorders>
            <w:vAlign w:val="center"/>
          </w:tcPr>
          <w:p>
            <w:pPr>
              <w:rPr>
                <w:b/>
                <w:sz w:val="21"/>
              </w:rPr>
            </w:pPr>
            <w:r>
              <w:rPr>
                <w:b/>
                <w:sz w:val="21"/>
              </w:rPr>
              <w:t>Ecole non isolée</w:t>
            </w:r>
          </w:p>
          <w:p>
            <w:pPr>
              <w:rPr>
                <w:b/>
                <w:sz w:val="21"/>
              </w:rPr>
            </w:pPr>
            <w:r>
              <w:rPr>
                <w:b/>
                <w:sz w:val="21"/>
              </w:rPr>
              <w:t>(article 8)</w:t>
            </w:r>
          </w:p>
        </w:tc>
        <w:tc>
          <w:tcPr>
            <w:tcW w:w="792" w:type="dxa"/>
            <w:tcBorders>
              <w:top w:val="single" w:sz="6" w:space="0" w:color="auto"/>
              <w:left w:val="single" w:sz="6" w:space="0" w:color="auto"/>
            </w:tcBorders>
            <w:vAlign w:val="center"/>
          </w:tcPr>
          <w:p>
            <w:pPr>
              <w:jc w:val="center"/>
              <w:rPr>
                <w:sz w:val="21"/>
              </w:rPr>
            </w:pPr>
            <w:r>
              <w:rPr>
                <w:sz w:val="21"/>
              </w:rPr>
              <w:t>14</w:t>
            </w:r>
          </w:p>
        </w:tc>
        <w:tc>
          <w:tcPr>
            <w:tcW w:w="720" w:type="dxa"/>
            <w:tcBorders>
              <w:top w:val="single" w:sz="6" w:space="0" w:color="auto"/>
              <w:left w:val="single" w:sz="6" w:space="0" w:color="auto"/>
            </w:tcBorders>
            <w:vAlign w:val="center"/>
          </w:tcPr>
          <w:p>
            <w:pPr>
              <w:jc w:val="center"/>
              <w:rPr>
                <w:sz w:val="21"/>
              </w:rPr>
            </w:pPr>
            <w:r>
              <w:rPr>
                <w:sz w:val="21"/>
              </w:rPr>
              <w:t>14</w:t>
            </w:r>
          </w:p>
        </w:tc>
        <w:tc>
          <w:tcPr>
            <w:tcW w:w="1221" w:type="dxa"/>
            <w:tcBorders>
              <w:top w:val="single" w:sz="6" w:space="0" w:color="auto"/>
              <w:left w:val="single" w:sz="6" w:space="0" w:color="auto"/>
            </w:tcBorders>
            <w:vAlign w:val="center"/>
          </w:tcPr>
          <w:p>
            <w:pPr>
              <w:jc w:val="center"/>
              <w:rPr>
                <w:sz w:val="21"/>
              </w:rPr>
            </w:pPr>
            <w:r>
              <w:rPr>
                <w:sz w:val="21"/>
              </w:rPr>
              <w:t>24(10)</w:t>
            </w:r>
          </w:p>
        </w:tc>
        <w:tc>
          <w:tcPr>
            <w:tcW w:w="679" w:type="dxa"/>
            <w:tcBorders>
              <w:top w:val="single" w:sz="6" w:space="0" w:color="auto"/>
              <w:left w:val="single" w:sz="6" w:space="0" w:color="auto"/>
            </w:tcBorders>
            <w:vAlign w:val="center"/>
          </w:tcPr>
          <w:p>
            <w:pPr>
              <w:jc w:val="center"/>
              <w:rPr>
                <w:sz w:val="21"/>
              </w:rPr>
            </w:pPr>
            <w:r>
              <w:rPr>
                <w:sz w:val="21"/>
              </w:rPr>
              <w:t>20</w:t>
            </w:r>
          </w:p>
        </w:tc>
        <w:tc>
          <w:tcPr>
            <w:tcW w:w="763" w:type="dxa"/>
            <w:tcBorders>
              <w:top w:val="single" w:sz="6" w:space="0" w:color="auto"/>
              <w:left w:val="single" w:sz="6" w:space="0" w:color="auto"/>
            </w:tcBorders>
            <w:vAlign w:val="center"/>
          </w:tcPr>
          <w:p>
            <w:pPr>
              <w:jc w:val="center"/>
              <w:rPr>
                <w:sz w:val="21"/>
              </w:rPr>
            </w:pPr>
            <w:r>
              <w:rPr>
                <w:sz w:val="21"/>
              </w:rPr>
              <w:t>50</w:t>
            </w:r>
          </w:p>
        </w:tc>
        <w:tc>
          <w:tcPr>
            <w:tcW w:w="1045" w:type="dxa"/>
            <w:tcBorders>
              <w:top w:val="single" w:sz="6" w:space="0" w:color="auto"/>
              <w:left w:val="single" w:sz="6" w:space="0" w:color="auto"/>
            </w:tcBorders>
            <w:vAlign w:val="center"/>
          </w:tcPr>
          <w:p>
            <w:pPr>
              <w:jc w:val="center"/>
              <w:rPr>
                <w:sz w:val="21"/>
              </w:rPr>
            </w:pPr>
            <w:r>
              <w:rPr>
                <w:sz w:val="21"/>
              </w:rPr>
              <w:t>60(16)</w:t>
            </w:r>
          </w:p>
        </w:tc>
        <w:tc>
          <w:tcPr>
            <w:tcW w:w="665" w:type="dxa"/>
            <w:tcBorders>
              <w:top w:val="single" w:sz="6" w:space="0" w:color="auto"/>
              <w:left w:val="single" w:sz="6" w:space="0" w:color="auto"/>
            </w:tcBorders>
            <w:vAlign w:val="center"/>
          </w:tcPr>
          <w:p>
            <w:pPr>
              <w:jc w:val="center"/>
              <w:rPr>
                <w:sz w:val="21"/>
              </w:rPr>
            </w:pPr>
            <w:r>
              <w:rPr>
                <w:sz w:val="21"/>
              </w:rPr>
              <w:t>50</w:t>
            </w:r>
          </w:p>
        </w:tc>
        <w:tc>
          <w:tcPr>
            <w:tcW w:w="835" w:type="dxa"/>
            <w:tcBorders>
              <w:top w:val="single" w:sz="6" w:space="0" w:color="auto"/>
              <w:left w:val="single" w:sz="6" w:space="0" w:color="auto"/>
            </w:tcBorders>
            <w:vAlign w:val="center"/>
          </w:tcPr>
          <w:p>
            <w:pPr>
              <w:jc w:val="center"/>
              <w:rPr>
                <w:sz w:val="21"/>
              </w:rPr>
            </w:pPr>
            <w:r>
              <w:rPr>
                <w:sz w:val="21"/>
              </w:rPr>
              <w:t>120</w:t>
            </w:r>
          </w:p>
        </w:tc>
        <w:tc>
          <w:tcPr>
            <w:tcW w:w="992" w:type="dxa"/>
            <w:tcBorders>
              <w:top w:val="single" w:sz="6" w:space="0" w:color="auto"/>
              <w:left w:val="single" w:sz="6" w:space="0" w:color="auto"/>
              <w:right w:val="single" w:sz="6" w:space="0" w:color="auto"/>
            </w:tcBorders>
            <w:vAlign w:val="center"/>
          </w:tcPr>
          <w:p>
            <w:pPr>
              <w:jc w:val="center"/>
              <w:rPr>
                <w:sz w:val="21"/>
              </w:rPr>
            </w:pPr>
            <w:r>
              <w:rPr>
                <w:sz w:val="21"/>
              </w:rPr>
              <w:t>140(20)</w:t>
            </w:r>
          </w:p>
        </w:tc>
      </w:tr>
      <w:tr>
        <w:trPr>
          <w:cantSplit/>
          <w:trHeight w:hRule="exact" w:val="794"/>
          <w:jc w:val="center"/>
        </w:trPr>
        <w:tc>
          <w:tcPr>
            <w:tcW w:w="1898" w:type="dxa"/>
            <w:tcBorders>
              <w:top w:val="single" w:sz="6" w:space="0" w:color="auto"/>
              <w:left w:val="single" w:sz="6" w:space="0" w:color="auto"/>
            </w:tcBorders>
            <w:vAlign w:val="center"/>
          </w:tcPr>
          <w:p>
            <w:pPr>
              <w:rPr>
                <w:b/>
                <w:sz w:val="21"/>
              </w:rPr>
            </w:pPr>
            <w:r>
              <w:rPr>
                <w:b/>
                <w:sz w:val="21"/>
              </w:rPr>
              <w:t>Ecole isolée</w:t>
            </w:r>
          </w:p>
          <w:p>
            <w:pPr>
              <w:rPr>
                <w:b/>
                <w:sz w:val="21"/>
              </w:rPr>
            </w:pPr>
            <w:r>
              <w:rPr>
                <w:b/>
                <w:sz w:val="21"/>
              </w:rPr>
              <w:t>(article 10)</w:t>
            </w:r>
          </w:p>
        </w:tc>
        <w:tc>
          <w:tcPr>
            <w:tcW w:w="792" w:type="dxa"/>
            <w:tcBorders>
              <w:top w:val="single" w:sz="6" w:space="0" w:color="auto"/>
              <w:left w:val="single" w:sz="6" w:space="0" w:color="auto"/>
            </w:tcBorders>
            <w:vAlign w:val="center"/>
          </w:tcPr>
          <w:p>
            <w:pPr>
              <w:jc w:val="center"/>
              <w:rPr>
                <w:sz w:val="21"/>
              </w:rPr>
            </w:pPr>
            <w:r>
              <w:rPr>
                <w:sz w:val="21"/>
              </w:rPr>
              <w:t>12</w:t>
            </w:r>
          </w:p>
        </w:tc>
        <w:tc>
          <w:tcPr>
            <w:tcW w:w="720" w:type="dxa"/>
            <w:tcBorders>
              <w:top w:val="single" w:sz="6" w:space="0" w:color="auto"/>
              <w:left w:val="single" w:sz="6" w:space="0" w:color="auto"/>
            </w:tcBorders>
            <w:vAlign w:val="center"/>
          </w:tcPr>
          <w:p>
            <w:pPr>
              <w:jc w:val="center"/>
              <w:rPr>
                <w:sz w:val="21"/>
              </w:rPr>
            </w:pPr>
            <w:r>
              <w:rPr>
                <w:sz w:val="21"/>
              </w:rPr>
              <w:t>12</w:t>
            </w:r>
          </w:p>
        </w:tc>
        <w:tc>
          <w:tcPr>
            <w:tcW w:w="1221" w:type="dxa"/>
            <w:tcBorders>
              <w:top w:val="single" w:sz="6" w:space="0" w:color="auto"/>
              <w:left w:val="single" w:sz="6" w:space="0" w:color="auto"/>
            </w:tcBorders>
            <w:vAlign w:val="center"/>
          </w:tcPr>
          <w:p>
            <w:pPr>
              <w:jc w:val="center"/>
              <w:rPr>
                <w:sz w:val="21"/>
              </w:rPr>
            </w:pPr>
            <w:r>
              <w:rPr>
                <w:sz w:val="21"/>
              </w:rPr>
              <w:t>20</w:t>
            </w:r>
          </w:p>
          <w:p>
            <w:pPr>
              <w:ind w:right="-63"/>
              <w:jc w:val="center"/>
              <w:rPr>
                <w:sz w:val="21"/>
              </w:rPr>
            </w:pPr>
            <w:r>
              <w:rPr>
                <w:sz w:val="21"/>
              </w:rPr>
              <w:t>(8 mat. et</w:t>
            </w:r>
          </w:p>
          <w:p>
            <w:pPr>
              <w:ind w:right="-63"/>
              <w:jc w:val="center"/>
              <w:rPr>
                <w:sz w:val="21"/>
              </w:rPr>
            </w:pPr>
            <w:r>
              <w:rPr>
                <w:sz w:val="21"/>
              </w:rPr>
              <w:t>10 prim.)</w:t>
            </w:r>
          </w:p>
        </w:tc>
        <w:tc>
          <w:tcPr>
            <w:tcW w:w="679" w:type="dxa"/>
            <w:tcBorders>
              <w:top w:val="single" w:sz="6" w:space="0" w:color="auto"/>
              <w:left w:val="single" w:sz="6" w:space="0" w:color="auto"/>
            </w:tcBorders>
            <w:vAlign w:val="center"/>
          </w:tcPr>
          <w:p>
            <w:pPr>
              <w:jc w:val="center"/>
              <w:rPr>
                <w:sz w:val="21"/>
              </w:rPr>
            </w:pPr>
            <w:r>
              <w:rPr>
                <w:sz w:val="21"/>
              </w:rPr>
              <w:t>14</w:t>
            </w:r>
          </w:p>
        </w:tc>
        <w:tc>
          <w:tcPr>
            <w:tcW w:w="763" w:type="dxa"/>
            <w:tcBorders>
              <w:top w:val="single" w:sz="6" w:space="0" w:color="auto"/>
              <w:left w:val="single" w:sz="6" w:space="0" w:color="auto"/>
            </w:tcBorders>
            <w:vAlign w:val="center"/>
          </w:tcPr>
          <w:p>
            <w:pPr>
              <w:jc w:val="center"/>
              <w:rPr>
                <w:sz w:val="21"/>
              </w:rPr>
            </w:pPr>
            <w:r>
              <w:rPr>
                <w:sz w:val="21"/>
              </w:rPr>
              <w:t>14</w:t>
            </w:r>
          </w:p>
        </w:tc>
        <w:tc>
          <w:tcPr>
            <w:tcW w:w="1045" w:type="dxa"/>
            <w:tcBorders>
              <w:top w:val="single" w:sz="6" w:space="0" w:color="auto"/>
              <w:left w:val="single" w:sz="6" w:space="0" w:color="auto"/>
            </w:tcBorders>
            <w:vAlign w:val="center"/>
          </w:tcPr>
          <w:p>
            <w:pPr>
              <w:jc w:val="center"/>
              <w:rPr>
                <w:sz w:val="21"/>
              </w:rPr>
            </w:pPr>
            <w:r>
              <w:rPr>
                <w:sz w:val="21"/>
              </w:rPr>
              <w:t>24(12)</w:t>
            </w:r>
          </w:p>
        </w:tc>
        <w:tc>
          <w:tcPr>
            <w:tcW w:w="665" w:type="dxa"/>
            <w:tcBorders>
              <w:top w:val="single" w:sz="6" w:space="0" w:color="auto"/>
              <w:left w:val="single" w:sz="6" w:space="0" w:color="auto"/>
            </w:tcBorders>
            <w:vAlign w:val="center"/>
          </w:tcPr>
          <w:p>
            <w:pPr>
              <w:jc w:val="center"/>
              <w:rPr>
                <w:sz w:val="21"/>
              </w:rPr>
            </w:pPr>
            <w:r>
              <w:rPr>
                <w:sz w:val="21"/>
              </w:rPr>
              <w:t>20</w:t>
            </w:r>
          </w:p>
        </w:tc>
        <w:tc>
          <w:tcPr>
            <w:tcW w:w="835" w:type="dxa"/>
            <w:tcBorders>
              <w:top w:val="single" w:sz="6" w:space="0" w:color="auto"/>
              <w:left w:val="single" w:sz="6" w:space="0" w:color="auto"/>
            </w:tcBorders>
            <w:vAlign w:val="center"/>
          </w:tcPr>
          <w:p>
            <w:pPr>
              <w:jc w:val="center"/>
              <w:rPr>
                <w:sz w:val="21"/>
              </w:rPr>
            </w:pPr>
            <w:r>
              <w:rPr>
                <w:sz w:val="21"/>
              </w:rPr>
              <w:t>50</w:t>
            </w:r>
          </w:p>
        </w:tc>
        <w:tc>
          <w:tcPr>
            <w:tcW w:w="992" w:type="dxa"/>
            <w:tcBorders>
              <w:top w:val="single" w:sz="6" w:space="0" w:color="auto"/>
              <w:left w:val="single" w:sz="6" w:space="0" w:color="auto"/>
              <w:right w:val="single" w:sz="6" w:space="0" w:color="auto"/>
            </w:tcBorders>
            <w:vAlign w:val="center"/>
          </w:tcPr>
          <w:p>
            <w:pPr>
              <w:jc w:val="center"/>
              <w:rPr>
                <w:sz w:val="21"/>
              </w:rPr>
            </w:pPr>
            <w:r>
              <w:rPr>
                <w:sz w:val="21"/>
              </w:rPr>
              <w:t>60(16)</w:t>
            </w:r>
          </w:p>
        </w:tc>
      </w:tr>
      <w:tr>
        <w:trPr>
          <w:cantSplit/>
          <w:trHeight w:hRule="exact" w:val="794"/>
          <w:jc w:val="center"/>
        </w:trPr>
        <w:tc>
          <w:tcPr>
            <w:tcW w:w="1898" w:type="dxa"/>
            <w:tcBorders>
              <w:top w:val="single" w:sz="6" w:space="0" w:color="auto"/>
              <w:left w:val="single" w:sz="6" w:space="0" w:color="auto"/>
            </w:tcBorders>
            <w:vAlign w:val="center"/>
          </w:tcPr>
          <w:p>
            <w:pPr>
              <w:rPr>
                <w:b/>
                <w:sz w:val="21"/>
              </w:rPr>
            </w:pPr>
            <w:r>
              <w:rPr>
                <w:b/>
                <w:sz w:val="21"/>
              </w:rPr>
              <w:t>Implantation  non isolée   (article 7)</w:t>
            </w:r>
          </w:p>
        </w:tc>
        <w:tc>
          <w:tcPr>
            <w:tcW w:w="792" w:type="dxa"/>
            <w:tcBorders>
              <w:top w:val="single" w:sz="6" w:space="0" w:color="auto"/>
              <w:left w:val="single" w:sz="6" w:space="0" w:color="auto"/>
            </w:tcBorders>
            <w:vAlign w:val="center"/>
          </w:tcPr>
          <w:p>
            <w:pPr>
              <w:jc w:val="center"/>
              <w:rPr>
                <w:sz w:val="21"/>
              </w:rPr>
            </w:pPr>
            <w:r>
              <w:rPr>
                <w:sz w:val="21"/>
              </w:rPr>
              <w:t>12</w:t>
            </w:r>
          </w:p>
        </w:tc>
        <w:tc>
          <w:tcPr>
            <w:tcW w:w="720" w:type="dxa"/>
            <w:tcBorders>
              <w:top w:val="single" w:sz="6" w:space="0" w:color="auto"/>
              <w:left w:val="single" w:sz="6" w:space="0" w:color="auto"/>
            </w:tcBorders>
            <w:vAlign w:val="center"/>
          </w:tcPr>
          <w:p>
            <w:pPr>
              <w:jc w:val="center"/>
              <w:rPr>
                <w:sz w:val="21"/>
              </w:rPr>
            </w:pPr>
            <w:r>
              <w:rPr>
                <w:sz w:val="21"/>
              </w:rPr>
              <w:t>12</w:t>
            </w:r>
          </w:p>
        </w:tc>
        <w:tc>
          <w:tcPr>
            <w:tcW w:w="1221" w:type="dxa"/>
            <w:tcBorders>
              <w:top w:val="single" w:sz="6" w:space="0" w:color="auto"/>
              <w:left w:val="single" w:sz="6" w:space="0" w:color="auto"/>
            </w:tcBorders>
            <w:vAlign w:val="center"/>
          </w:tcPr>
          <w:p>
            <w:pPr>
              <w:jc w:val="center"/>
              <w:rPr>
                <w:sz w:val="21"/>
              </w:rPr>
            </w:pPr>
            <w:r>
              <w:rPr>
                <w:sz w:val="21"/>
              </w:rPr>
              <w:t>20(10)</w:t>
            </w:r>
          </w:p>
        </w:tc>
        <w:tc>
          <w:tcPr>
            <w:tcW w:w="679" w:type="dxa"/>
            <w:tcBorders>
              <w:top w:val="single" w:sz="6" w:space="0" w:color="auto"/>
              <w:left w:val="single" w:sz="6" w:space="0" w:color="auto"/>
            </w:tcBorders>
            <w:vAlign w:val="center"/>
          </w:tcPr>
          <w:p>
            <w:pPr>
              <w:jc w:val="center"/>
              <w:rPr>
                <w:sz w:val="21"/>
              </w:rPr>
            </w:pPr>
            <w:r>
              <w:rPr>
                <w:sz w:val="21"/>
              </w:rPr>
              <w:t>20</w:t>
            </w:r>
          </w:p>
        </w:tc>
        <w:tc>
          <w:tcPr>
            <w:tcW w:w="763" w:type="dxa"/>
            <w:tcBorders>
              <w:top w:val="single" w:sz="6" w:space="0" w:color="auto"/>
              <w:left w:val="single" w:sz="6" w:space="0" w:color="auto"/>
            </w:tcBorders>
            <w:vAlign w:val="center"/>
          </w:tcPr>
          <w:p>
            <w:pPr>
              <w:jc w:val="center"/>
              <w:rPr>
                <w:sz w:val="21"/>
              </w:rPr>
            </w:pPr>
            <w:r>
              <w:rPr>
                <w:sz w:val="21"/>
              </w:rPr>
              <w:t>25</w:t>
            </w:r>
          </w:p>
        </w:tc>
        <w:tc>
          <w:tcPr>
            <w:tcW w:w="1045" w:type="dxa"/>
            <w:tcBorders>
              <w:top w:val="single" w:sz="6" w:space="0" w:color="auto"/>
              <w:left w:val="single" w:sz="6" w:space="0" w:color="auto"/>
            </w:tcBorders>
            <w:vAlign w:val="center"/>
          </w:tcPr>
          <w:p>
            <w:pPr>
              <w:jc w:val="center"/>
              <w:rPr>
                <w:sz w:val="21"/>
              </w:rPr>
            </w:pPr>
            <w:r>
              <w:rPr>
                <w:sz w:val="21"/>
              </w:rPr>
              <w:t>40(16)</w:t>
            </w:r>
          </w:p>
        </w:tc>
        <w:tc>
          <w:tcPr>
            <w:tcW w:w="665" w:type="dxa"/>
            <w:tcBorders>
              <w:top w:val="single" w:sz="6" w:space="0" w:color="auto"/>
              <w:left w:val="single" w:sz="6" w:space="0" w:color="auto"/>
            </w:tcBorders>
            <w:vAlign w:val="center"/>
          </w:tcPr>
          <w:p>
            <w:pPr>
              <w:jc w:val="center"/>
              <w:rPr>
                <w:sz w:val="21"/>
              </w:rPr>
            </w:pPr>
            <w:r>
              <w:rPr>
                <w:sz w:val="21"/>
              </w:rPr>
              <w:t>20</w:t>
            </w:r>
          </w:p>
        </w:tc>
        <w:tc>
          <w:tcPr>
            <w:tcW w:w="835" w:type="dxa"/>
            <w:tcBorders>
              <w:top w:val="single" w:sz="6" w:space="0" w:color="auto"/>
              <w:left w:val="single" w:sz="6" w:space="0" w:color="auto"/>
            </w:tcBorders>
            <w:vAlign w:val="center"/>
          </w:tcPr>
          <w:p>
            <w:pPr>
              <w:jc w:val="center"/>
              <w:rPr>
                <w:sz w:val="21"/>
              </w:rPr>
            </w:pPr>
            <w:r>
              <w:rPr>
                <w:sz w:val="21"/>
              </w:rPr>
              <w:t>25</w:t>
            </w:r>
          </w:p>
        </w:tc>
        <w:tc>
          <w:tcPr>
            <w:tcW w:w="992" w:type="dxa"/>
            <w:tcBorders>
              <w:top w:val="single" w:sz="6" w:space="0" w:color="auto"/>
              <w:left w:val="single" w:sz="6" w:space="0" w:color="auto"/>
              <w:right w:val="single" w:sz="6" w:space="0" w:color="auto"/>
            </w:tcBorders>
            <w:vAlign w:val="center"/>
          </w:tcPr>
          <w:p>
            <w:pPr>
              <w:jc w:val="center"/>
              <w:rPr>
                <w:sz w:val="21"/>
              </w:rPr>
            </w:pPr>
            <w:r>
              <w:rPr>
                <w:sz w:val="21"/>
              </w:rPr>
              <w:t>40(16)</w:t>
            </w:r>
          </w:p>
        </w:tc>
      </w:tr>
      <w:tr>
        <w:trPr>
          <w:cantSplit/>
          <w:trHeight w:hRule="exact" w:val="794"/>
          <w:jc w:val="center"/>
        </w:trPr>
        <w:tc>
          <w:tcPr>
            <w:tcW w:w="1898" w:type="dxa"/>
            <w:tcBorders>
              <w:top w:val="single" w:sz="6" w:space="0" w:color="auto"/>
              <w:left w:val="single" w:sz="6" w:space="0" w:color="auto"/>
              <w:bottom w:val="single" w:sz="6" w:space="0" w:color="auto"/>
            </w:tcBorders>
            <w:vAlign w:val="center"/>
          </w:tcPr>
          <w:p>
            <w:pPr>
              <w:rPr>
                <w:b/>
                <w:sz w:val="21"/>
              </w:rPr>
            </w:pPr>
            <w:r>
              <w:rPr>
                <w:b/>
                <w:sz w:val="21"/>
              </w:rPr>
              <w:t>Implantation isolée</w:t>
            </w:r>
          </w:p>
          <w:p>
            <w:pPr>
              <w:rPr>
                <w:b/>
                <w:sz w:val="21"/>
              </w:rPr>
            </w:pPr>
            <w:r>
              <w:rPr>
                <w:b/>
                <w:sz w:val="21"/>
              </w:rPr>
              <w:t>(article 9)</w:t>
            </w:r>
          </w:p>
        </w:tc>
        <w:tc>
          <w:tcPr>
            <w:tcW w:w="792"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720"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1221" w:type="dxa"/>
            <w:tcBorders>
              <w:top w:val="single" w:sz="6" w:space="0" w:color="auto"/>
              <w:left w:val="single" w:sz="6" w:space="0" w:color="auto"/>
              <w:bottom w:val="single" w:sz="6" w:space="0" w:color="auto"/>
            </w:tcBorders>
            <w:vAlign w:val="center"/>
          </w:tcPr>
          <w:p>
            <w:pPr>
              <w:jc w:val="center"/>
              <w:rPr>
                <w:sz w:val="21"/>
              </w:rPr>
            </w:pPr>
            <w:r>
              <w:rPr>
                <w:sz w:val="21"/>
              </w:rPr>
              <w:t>20</w:t>
            </w:r>
          </w:p>
          <w:p>
            <w:pPr>
              <w:ind w:right="-63"/>
              <w:jc w:val="center"/>
              <w:rPr>
                <w:sz w:val="21"/>
              </w:rPr>
            </w:pPr>
            <w:r>
              <w:rPr>
                <w:sz w:val="21"/>
              </w:rPr>
              <w:t>(8 mat. et</w:t>
            </w:r>
          </w:p>
          <w:p>
            <w:pPr>
              <w:ind w:right="-63"/>
              <w:jc w:val="center"/>
              <w:rPr>
                <w:sz w:val="21"/>
              </w:rPr>
            </w:pPr>
            <w:r>
              <w:rPr>
                <w:sz w:val="21"/>
              </w:rPr>
              <w:t>10 prim.)</w:t>
            </w:r>
          </w:p>
        </w:tc>
        <w:tc>
          <w:tcPr>
            <w:tcW w:w="679" w:type="dxa"/>
            <w:tcBorders>
              <w:top w:val="single" w:sz="6" w:space="0" w:color="auto"/>
              <w:left w:val="single" w:sz="6" w:space="0" w:color="auto"/>
              <w:bottom w:val="single" w:sz="6" w:space="0" w:color="auto"/>
            </w:tcBorders>
            <w:vAlign w:val="center"/>
          </w:tcPr>
          <w:p>
            <w:pPr>
              <w:jc w:val="center"/>
              <w:rPr>
                <w:sz w:val="21"/>
              </w:rPr>
            </w:pPr>
            <w:r>
              <w:rPr>
                <w:sz w:val="21"/>
              </w:rPr>
              <w:t>14</w:t>
            </w:r>
          </w:p>
        </w:tc>
        <w:tc>
          <w:tcPr>
            <w:tcW w:w="763" w:type="dxa"/>
            <w:tcBorders>
              <w:top w:val="single" w:sz="6" w:space="0" w:color="auto"/>
              <w:left w:val="single" w:sz="6" w:space="0" w:color="auto"/>
              <w:bottom w:val="single" w:sz="6" w:space="0" w:color="auto"/>
            </w:tcBorders>
            <w:vAlign w:val="center"/>
          </w:tcPr>
          <w:p>
            <w:pPr>
              <w:jc w:val="center"/>
              <w:rPr>
                <w:sz w:val="21"/>
              </w:rPr>
            </w:pPr>
            <w:r>
              <w:rPr>
                <w:sz w:val="21"/>
              </w:rPr>
              <w:t>14</w:t>
            </w:r>
          </w:p>
        </w:tc>
        <w:tc>
          <w:tcPr>
            <w:tcW w:w="1045" w:type="dxa"/>
            <w:tcBorders>
              <w:top w:val="single" w:sz="6" w:space="0" w:color="auto"/>
              <w:left w:val="single" w:sz="6" w:space="0" w:color="auto"/>
              <w:bottom w:val="single" w:sz="6" w:space="0" w:color="auto"/>
            </w:tcBorders>
            <w:vAlign w:val="center"/>
          </w:tcPr>
          <w:p>
            <w:pPr>
              <w:jc w:val="center"/>
              <w:rPr>
                <w:sz w:val="21"/>
              </w:rPr>
            </w:pPr>
            <w:r>
              <w:rPr>
                <w:sz w:val="21"/>
              </w:rPr>
              <w:t>24(12)</w:t>
            </w:r>
          </w:p>
        </w:tc>
        <w:tc>
          <w:tcPr>
            <w:tcW w:w="665" w:type="dxa"/>
            <w:tcBorders>
              <w:top w:val="single" w:sz="6" w:space="0" w:color="auto"/>
              <w:left w:val="single" w:sz="6" w:space="0" w:color="auto"/>
              <w:bottom w:val="single" w:sz="6" w:space="0" w:color="auto"/>
            </w:tcBorders>
            <w:vAlign w:val="center"/>
          </w:tcPr>
          <w:p>
            <w:pPr>
              <w:jc w:val="center"/>
              <w:rPr>
                <w:sz w:val="21"/>
              </w:rPr>
            </w:pPr>
            <w:r>
              <w:rPr>
                <w:sz w:val="21"/>
              </w:rPr>
              <w:t>14</w:t>
            </w:r>
          </w:p>
        </w:tc>
        <w:tc>
          <w:tcPr>
            <w:tcW w:w="835" w:type="dxa"/>
            <w:tcBorders>
              <w:top w:val="single" w:sz="6" w:space="0" w:color="auto"/>
              <w:left w:val="single" w:sz="6" w:space="0" w:color="auto"/>
              <w:bottom w:val="single" w:sz="6" w:space="0" w:color="auto"/>
            </w:tcBorders>
            <w:vAlign w:val="center"/>
          </w:tcPr>
          <w:p>
            <w:pPr>
              <w:jc w:val="center"/>
              <w:rPr>
                <w:sz w:val="21"/>
              </w:rPr>
            </w:pPr>
            <w:r>
              <w:rPr>
                <w:sz w:val="21"/>
              </w:rPr>
              <w:t>14</w:t>
            </w:r>
          </w:p>
        </w:tc>
        <w:tc>
          <w:tcPr>
            <w:tcW w:w="992" w:type="dxa"/>
            <w:tcBorders>
              <w:top w:val="single" w:sz="6" w:space="0" w:color="auto"/>
              <w:left w:val="single" w:sz="6" w:space="0" w:color="auto"/>
              <w:bottom w:val="single" w:sz="6" w:space="0" w:color="auto"/>
              <w:right w:val="single" w:sz="6" w:space="0" w:color="auto"/>
            </w:tcBorders>
            <w:vAlign w:val="center"/>
          </w:tcPr>
          <w:p>
            <w:pPr>
              <w:jc w:val="center"/>
              <w:rPr>
                <w:sz w:val="21"/>
              </w:rPr>
            </w:pPr>
            <w:r>
              <w:rPr>
                <w:sz w:val="21"/>
              </w:rPr>
              <w:t>24(12)</w:t>
            </w:r>
          </w:p>
        </w:tc>
      </w:tr>
    </w:tbl>
    <w:p>
      <w:pPr>
        <w:jc w:val="both"/>
        <w:rPr>
          <w:i/>
          <w:sz w:val="20"/>
          <w:szCs w:val="20"/>
        </w:rPr>
      </w:pPr>
      <w:r>
        <w:rPr>
          <w:i/>
          <w:sz w:val="20"/>
          <w:szCs w:val="20"/>
        </w:rPr>
        <w:t>Les chiffres entre parenthèses indiquent le nombre minimum d'élèves à atteindre dans chacun des 2 niveaux d'enseignement.</w:t>
      </w:r>
    </w:p>
    <w:p>
      <w:pPr>
        <w:jc w:val="both"/>
        <w:rPr>
          <w:szCs w:val="22"/>
        </w:rPr>
      </w:pPr>
    </w:p>
    <w:p>
      <w:pPr>
        <w:jc w:val="both"/>
        <w:rPr>
          <w:szCs w:val="22"/>
        </w:rPr>
      </w:pPr>
    </w:p>
    <w:p>
      <w:pPr>
        <w:jc w:val="both"/>
      </w:pPr>
      <w:r>
        <w:t xml:space="preserve">Lorsqu'une école possède plusieurs implantations, la norme de rationalisation de l'école </w:t>
      </w:r>
      <w:r>
        <w:rPr>
          <w:u w:val="single"/>
        </w:rPr>
        <w:t>ainsi que</w:t>
      </w:r>
      <w:r>
        <w:t xml:space="preserve"> les normes de rationalisation propres à chacune des implantations doivent être vérifiées.</w:t>
      </w:r>
    </w:p>
    <w:p>
      <w:pPr>
        <w:jc w:val="both"/>
        <w:rPr>
          <w:sz w:val="10"/>
          <w:szCs w:val="10"/>
          <w:u w:val="single"/>
        </w:rPr>
      </w:pPr>
    </w:p>
    <w:p>
      <w:pPr>
        <w:jc w:val="both"/>
        <w:rPr>
          <w:szCs w:val="22"/>
        </w:rPr>
      </w:pPr>
      <w:r>
        <w:rPr>
          <w:szCs w:val="22"/>
          <w:u w:val="single"/>
        </w:rPr>
        <w:t>Exemple</w:t>
      </w:r>
      <w:r>
        <w:rPr>
          <w:szCs w:val="22"/>
        </w:rPr>
        <w:t xml:space="preserve">: </w:t>
      </w:r>
    </w:p>
    <w:p>
      <w:pPr>
        <w:jc w:val="both"/>
        <w:rPr>
          <w:spacing w:val="-2"/>
          <w:szCs w:val="22"/>
        </w:rPr>
      </w:pPr>
      <w:r>
        <w:rPr>
          <w:spacing w:val="-2"/>
          <w:szCs w:val="22"/>
        </w:rPr>
        <w:t>1 école fondamentale isolée dans une commune de 250 h/km² possède 2 implantations fondamentales non isolées et 1 implantation maternelle isolée. Les normes à atteindre sont: 24 élèves pour l'ensemble de l'école, dont 12 minimum en maternelle et 12 minimum en primaire; 40 élèves dont 16 minimum en maternelle et 16 minimum en primaire pour chacune des 2 implantations fondamentales non isolées; 14 élèves pour l'implantation maternelle isolée.  Dans cet exemple, les normes applicables à chaque implantation sont donc plus contraignantes que la norme de l'école.</w:t>
      </w:r>
    </w:p>
    <w:p>
      <w:pPr>
        <w:jc w:val="both"/>
        <w:rPr>
          <w:sz w:val="8"/>
          <w:szCs w:val="8"/>
        </w:rPr>
      </w:pPr>
    </w:p>
    <w:p>
      <w:pPr>
        <w:jc w:val="both"/>
        <w:rPr>
          <w:sz w:val="8"/>
          <w:szCs w:val="8"/>
        </w:rPr>
      </w:pPr>
    </w:p>
    <w:p>
      <w:pPr>
        <w:ind w:left="1259" w:hanging="1260"/>
        <w:jc w:val="both"/>
      </w:pPr>
      <w:r>
        <w:rPr>
          <w:u w:val="single"/>
        </w:rPr>
        <w:t>Remarque</w:t>
      </w:r>
      <w:r>
        <w:t>: est considérée comme étant située dans une commune de moins de 75 hab/km</w:t>
      </w:r>
      <w:r>
        <w:rPr>
          <w:vertAlign w:val="superscript"/>
        </w:rPr>
        <w:t xml:space="preserve">2 </w:t>
      </w:r>
      <w:r>
        <w:t xml:space="preserve">toute école: </w:t>
      </w:r>
    </w:p>
    <w:p>
      <w:pPr>
        <w:numPr>
          <w:ilvl w:val="0"/>
          <w:numId w:val="17"/>
        </w:numPr>
        <w:tabs>
          <w:tab w:val="clear" w:pos="812"/>
          <w:tab w:val="left" w:pos="1980"/>
        </w:tabs>
        <w:ind w:left="1979" w:hanging="360"/>
        <w:jc w:val="both"/>
      </w:pPr>
      <w:r>
        <w:t>annexée à un centre d’accueil organisé par l’ONE</w:t>
      </w:r>
    </w:p>
    <w:p>
      <w:pPr>
        <w:numPr>
          <w:ilvl w:val="0"/>
          <w:numId w:val="17"/>
        </w:numPr>
        <w:tabs>
          <w:tab w:val="clear" w:pos="812"/>
          <w:tab w:val="left" w:pos="1980"/>
        </w:tabs>
        <w:ind w:left="1979" w:hanging="360"/>
        <w:jc w:val="both"/>
        <w:rPr>
          <w:spacing w:val="-2"/>
        </w:rPr>
      </w:pPr>
      <w:r>
        <w:rPr>
          <w:spacing w:val="-2"/>
        </w:rPr>
        <w:t>annexée à un internat pour enfants dont les parents n’ont pas de résidence fixe</w:t>
      </w:r>
    </w:p>
    <w:p>
      <w:pPr>
        <w:numPr>
          <w:ilvl w:val="0"/>
          <w:numId w:val="17"/>
        </w:numPr>
        <w:tabs>
          <w:tab w:val="clear" w:pos="812"/>
          <w:tab w:val="left" w:pos="1980"/>
        </w:tabs>
        <w:ind w:left="1979" w:hanging="360"/>
        <w:jc w:val="both"/>
      </w:pPr>
      <w:r>
        <w:t>relevant d’un home d’enfants placés par le juge</w:t>
      </w:r>
    </w:p>
    <w:p>
      <w:pPr>
        <w:jc w:val="both"/>
        <w:rPr>
          <w:sz w:val="8"/>
          <w:szCs w:val="8"/>
        </w:rPr>
      </w:pPr>
    </w:p>
    <w:p>
      <w:pPr>
        <w:jc w:val="both"/>
        <w:rPr>
          <w:sz w:val="8"/>
          <w:szCs w:val="8"/>
        </w:rPr>
      </w:pPr>
    </w:p>
    <w:p>
      <w:pPr>
        <w:jc w:val="both"/>
        <w:rPr>
          <w:sz w:val="8"/>
          <w:szCs w:val="8"/>
        </w:rPr>
      </w:pPr>
    </w:p>
    <w:p>
      <w:pPr>
        <w:numPr>
          <w:ilvl w:val="0"/>
          <w:numId w:val="20"/>
        </w:numPr>
        <w:tabs>
          <w:tab w:val="clear" w:pos="1004"/>
        </w:tabs>
        <w:ind w:left="359"/>
        <w:jc w:val="both"/>
      </w:pPr>
      <w:r>
        <w:rPr>
          <w:b/>
        </w:rPr>
        <w:t>Normes atteintes à 80 %</w:t>
      </w:r>
    </w:p>
    <w:p>
      <w:pPr>
        <w:jc w:val="both"/>
        <w:rPr>
          <w:sz w:val="8"/>
          <w:szCs w:val="8"/>
        </w:rPr>
      </w:pPr>
    </w:p>
    <w:p>
      <w:pPr>
        <w:jc w:val="both"/>
      </w:pPr>
      <w:r>
        <w:rPr>
          <w:spacing w:val="-4"/>
        </w:rPr>
        <w:t>Le tableau qui suit reprend les minima de population atteints à 80% des normes de rationalisation, à la date du 30 septembre de l’année en cours, par école, par implantation et par niveau:</w:t>
      </w:r>
    </w:p>
    <w:p>
      <w:pPr>
        <w:rPr>
          <w:sz w:val="16"/>
          <w:szCs w:val="16"/>
        </w:rPr>
      </w:pPr>
    </w:p>
    <w:tbl>
      <w:tblPr>
        <w:tblW w:w="0" w:type="auto"/>
        <w:jc w:val="center"/>
        <w:tblLayout w:type="fixed"/>
        <w:tblCellMar>
          <w:left w:w="120" w:type="dxa"/>
          <w:right w:w="120" w:type="dxa"/>
        </w:tblCellMar>
        <w:tblLook w:val="0000" w:firstRow="0" w:lastRow="0" w:firstColumn="0" w:lastColumn="0" w:noHBand="0" w:noVBand="0"/>
      </w:tblPr>
      <w:tblGrid>
        <w:gridCol w:w="1899"/>
        <w:gridCol w:w="694"/>
        <w:gridCol w:w="809"/>
        <w:gridCol w:w="1066"/>
        <w:gridCol w:w="678"/>
        <w:gridCol w:w="841"/>
        <w:gridCol w:w="1023"/>
        <w:gridCol w:w="651"/>
        <w:gridCol w:w="775"/>
        <w:gridCol w:w="1040"/>
      </w:tblGrid>
      <w:tr>
        <w:trPr>
          <w:cantSplit/>
          <w:trHeight w:hRule="exact" w:val="624"/>
          <w:jc w:val="center"/>
        </w:trPr>
        <w:tc>
          <w:tcPr>
            <w:tcW w:w="1899" w:type="dxa"/>
            <w:tcBorders>
              <w:top w:val="single" w:sz="6" w:space="0" w:color="auto"/>
              <w:left w:val="single" w:sz="6" w:space="0" w:color="auto"/>
            </w:tcBorders>
            <w:shd w:val="pct10" w:color="auto" w:fill="auto"/>
            <w:vAlign w:val="center"/>
          </w:tcPr>
          <w:p>
            <w:pPr>
              <w:rPr>
                <w:b/>
                <w:sz w:val="21"/>
              </w:rPr>
            </w:pPr>
          </w:p>
        </w:tc>
        <w:tc>
          <w:tcPr>
            <w:tcW w:w="2569" w:type="dxa"/>
            <w:gridSpan w:val="3"/>
            <w:tcBorders>
              <w:top w:val="single" w:sz="6" w:space="0" w:color="auto"/>
              <w:left w:val="single" w:sz="6" w:space="0" w:color="auto"/>
            </w:tcBorders>
            <w:shd w:val="pct10" w:color="auto" w:fill="auto"/>
            <w:vAlign w:val="center"/>
          </w:tcPr>
          <w:p>
            <w:pPr>
              <w:jc w:val="center"/>
              <w:rPr>
                <w:b/>
                <w:sz w:val="21"/>
              </w:rPr>
            </w:pPr>
            <w:r>
              <w:rPr>
                <w:sz w:val="21"/>
              </w:rPr>
              <w:t xml:space="preserve">  </w:t>
            </w:r>
            <w:r>
              <w:rPr>
                <w:b/>
                <w:sz w:val="21"/>
              </w:rPr>
              <w:t>Commune de</w:t>
            </w:r>
          </w:p>
          <w:p>
            <w:pPr>
              <w:jc w:val="center"/>
              <w:rPr>
                <w:b/>
                <w:sz w:val="21"/>
              </w:rPr>
            </w:pPr>
            <w:r>
              <w:rPr>
                <w:b/>
                <w:sz w:val="21"/>
              </w:rPr>
              <w:t>moins de 75 Hab/km²</w:t>
            </w:r>
          </w:p>
        </w:tc>
        <w:tc>
          <w:tcPr>
            <w:tcW w:w="2542" w:type="dxa"/>
            <w:gridSpan w:val="3"/>
            <w:tcBorders>
              <w:top w:val="single" w:sz="6" w:space="0" w:color="auto"/>
              <w:left w:val="single" w:sz="6" w:space="0" w:color="auto"/>
            </w:tcBorders>
            <w:shd w:val="pct10" w:color="auto" w:fill="auto"/>
            <w:vAlign w:val="center"/>
          </w:tcPr>
          <w:p>
            <w:pPr>
              <w:jc w:val="center"/>
              <w:rPr>
                <w:b/>
                <w:sz w:val="21"/>
              </w:rPr>
            </w:pPr>
            <w:r>
              <w:rPr>
                <w:b/>
                <w:sz w:val="21"/>
              </w:rPr>
              <w:t xml:space="preserve"> Commune de 75</w:t>
            </w:r>
          </w:p>
          <w:p>
            <w:pPr>
              <w:jc w:val="center"/>
              <w:rPr>
                <w:b/>
                <w:sz w:val="21"/>
              </w:rPr>
            </w:pPr>
            <w:r>
              <w:rPr>
                <w:b/>
                <w:sz w:val="21"/>
              </w:rPr>
              <w:t xml:space="preserve"> à 500 Hab/km²</w:t>
            </w:r>
          </w:p>
        </w:tc>
        <w:tc>
          <w:tcPr>
            <w:tcW w:w="2466" w:type="dxa"/>
            <w:gridSpan w:val="3"/>
            <w:tcBorders>
              <w:top w:val="single" w:sz="6" w:space="0" w:color="auto"/>
              <w:left w:val="single" w:sz="6" w:space="0" w:color="auto"/>
              <w:right w:val="single" w:sz="4" w:space="0" w:color="auto"/>
            </w:tcBorders>
            <w:shd w:val="pct10" w:color="auto" w:fill="auto"/>
            <w:vAlign w:val="center"/>
          </w:tcPr>
          <w:p>
            <w:pPr>
              <w:jc w:val="center"/>
              <w:rPr>
                <w:b/>
                <w:sz w:val="21"/>
              </w:rPr>
            </w:pPr>
            <w:r>
              <w:rPr>
                <w:b/>
                <w:sz w:val="21"/>
              </w:rPr>
              <w:t xml:space="preserve">  Commune de plus</w:t>
            </w:r>
          </w:p>
          <w:p>
            <w:pPr>
              <w:jc w:val="center"/>
              <w:rPr>
                <w:b/>
                <w:sz w:val="21"/>
              </w:rPr>
            </w:pPr>
            <w:r>
              <w:rPr>
                <w:b/>
                <w:sz w:val="21"/>
              </w:rPr>
              <w:t xml:space="preserve">  de 500 Hab/km²</w:t>
            </w:r>
          </w:p>
        </w:tc>
      </w:tr>
      <w:tr>
        <w:trPr>
          <w:cantSplit/>
          <w:trHeight w:hRule="exact" w:val="340"/>
          <w:jc w:val="center"/>
        </w:trPr>
        <w:tc>
          <w:tcPr>
            <w:tcW w:w="1899" w:type="dxa"/>
            <w:tcBorders>
              <w:left w:val="single" w:sz="6" w:space="0" w:color="auto"/>
            </w:tcBorders>
            <w:shd w:val="pct10" w:color="auto" w:fill="auto"/>
            <w:vAlign w:val="center"/>
          </w:tcPr>
          <w:p>
            <w:pPr>
              <w:rPr>
                <w:b/>
                <w:sz w:val="21"/>
              </w:rPr>
            </w:pPr>
          </w:p>
        </w:tc>
        <w:tc>
          <w:tcPr>
            <w:tcW w:w="694"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809" w:type="dxa"/>
            <w:tcBorders>
              <w:top w:val="single" w:sz="6" w:space="0" w:color="auto"/>
              <w:left w:val="single" w:sz="6" w:space="0" w:color="auto"/>
            </w:tcBorders>
            <w:shd w:val="pct10" w:color="auto" w:fill="auto"/>
            <w:vAlign w:val="center"/>
          </w:tcPr>
          <w:p>
            <w:pPr>
              <w:jc w:val="center"/>
              <w:rPr>
                <w:b/>
                <w:sz w:val="21"/>
              </w:rPr>
            </w:pPr>
            <w:r>
              <w:rPr>
                <w:b/>
                <w:sz w:val="21"/>
              </w:rPr>
              <w:t>Prim.</w:t>
            </w:r>
          </w:p>
        </w:tc>
        <w:tc>
          <w:tcPr>
            <w:tcW w:w="1066" w:type="dxa"/>
            <w:tcBorders>
              <w:top w:val="single" w:sz="6" w:space="0" w:color="auto"/>
              <w:left w:val="single" w:sz="6" w:space="0" w:color="auto"/>
            </w:tcBorders>
            <w:shd w:val="pct10" w:color="auto" w:fill="auto"/>
            <w:vAlign w:val="center"/>
          </w:tcPr>
          <w:p>
            <w:pPr>
              <w:jc w:val="center"/>
              <w:rPr>
                <w:b/>
                <w:sz w:val="21"/>
              </w:rPr>
            </w:pPr>
            <w:r>
              <w:rPr>
                <w:b/>
                <w:sz w:val="21"/>
              </w:rPr>
              <w:t>Fond.</w:t>
            </w:r>
          </w:p>
        </w:tc>
        <w:tc>
          <w:tcPr>
            <w:tcW w:w="678"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841" w:type="dxa"/>
            <w:tcBorders>
              <w:top w:val="single" w:sz="6" w:space="0" w:color="auto"/>
              <w:left w:val="single" w:sz="6" w:space="0" w:color="auto"/>
            </w:tcBorders>
            <w:shd w:val="pct10" w:color="auto" w:fill="auto"/>
            <w:vAlign w:val="center"/>
          </w:tcPr>
          <w:p>
            <w:pPr>
              <w:jc w:val="center"/>
              <w:rPr>
                <w:b/>
                <w:sz w:val="21"/>
              </w:rPr>
            </w:pPr>
            <w:r>
              <w:rPr>
                <w:b/>
                <w:sz w:val="21"/>
              </w:rPr>
              <w:t>Prim.</w:t>
            </w:r>
          </w:p>
        </w:tc>
        <w:tc>
          <w:tcPr>
            <w:tcW w:w="1023" w:type="dxa"/>
            <w:tcBorders>
              <w:top w:val="single" w:sz="6" w:space="0" w:color="auto"/>
              <w:left w:val="single" w:sz="6" w:space="0" w:color="auto"/>
            </w:tcBorders>
            <w:shd w:val="pct10" w:color="auto" w:fill="auto"/>
            <w:vAlign w:val="center"/>
          </w:tcPr>
          <w:p>
            <w:pPr>
              <w:jc w:val="center"/>
              <w:rPr>
                <w:b/>
                <w:sz w:val="21"/>
              </w:rPr>
            </w:pPr>
            <w:r>
              <w:rPr>
                <w:b/>
                <w:sz w:val="21"/>
              </w:rPr>
              <w:t>Fond.</w:t>
            </w:r>
          </w:p>
        </w:tc>
        <w:tc>
          <w:tcPr>
            <w:tcW w:w="651" w:type="dxa"/>
            <w:tcBorders>
              <w:top w:val="single" w:sz="6" w:space="0" w:color="auto"/>
              <w:left w:val="single" w:sz="6" w:space="0" w:color="auto"/>
            </w:tcBorders>
            <w:shd w:val="pct10" w:color="auto" w:fill="auto"/>
            <w:vAlign w:val="center"/>
          </w:tcPr>
          <w:p>
            <w:pPr>
              <w:jc w:val="center"/>
              <w:rPr>
                <w:b/>
                <w:sz w:val="21"/>
              </w:rPr>
            </w:pPr>
            <w:r>
              <w:rPr>
                <w:b/>
                <w:sz w:val="21"/>
              </w:rPr>
              <w:t>Mat.</w:t>
            </w:r>
          </w:p>
        </w:tc>
        <w:tc>
          <w:tcPr>
            <w:tcW w:w="775" w:type="dxa"/>
            <w:tcBorders>
              <w:top w:val="single" w:sz="6" w:space="0" w:color="auto"/>
              <w:left w:val="single" w:sz="6" w:space="0" w:color="auto"/>
            </w:tcBorders>
            <w:shd w:val="pct10" w:color="auto" w:fill="auto"/>
            <w:vAlign w:val="center"/>
          </w:tcPr>
          <w:p>
            <w:pPr>
              <w:jc w:val="center"/>
              <w:rPr>
                <w:b/>
                <w:sz w:val="21"/>
              </w:rPr>
            </w:pPr>
            <w:r>
              <w:rPr>
                <w:b/>
                <w:sz w:val="21"/>
              </w:rPr>
              <w:t>Prim.</w:t>
            </w:r>
          </w:p>
        </w:tc>
        <w:tc>
          <w:tcPr>
            <w:tcW w:w="1040" w:type="dxa"/>
            <w:tcBorders>
              <w:top w:val="single" w:sz="6" w:space="0" w:color="auto"/>
              <w:left w:val="single" w:sz="6" w:space="0" w:color="auto"/>
              <w:right w:val="single" w:sz="6" w:space="0" w:color="auto"/>
            </w:tcBorders>
            <w:shd w:val="pct10" w:color="auto" w:fill="auto"/>
            <w:vAlign w:val="center"/>
          </w:tcPr>
          <w:p>
            <w:pPr>
              <w:jc w:val="center"/>
              <w:rPr>
                <w:b/>
                <w:sz w:val="21"/>
              </w:rPr>
            </w:pPr>
            <w:r>
              <w:rPr>
                <w:b/>
                <w:sz w:val="21"/>
              </w:rPr>
              <w:t>Fond.</w:t>
            </w:r>
          </w:p>
        </w:tc>
      </w:tr>
      <w:tr>
        <w:trPr>
          <w:cantSplit/>
          <w:trHeight w:hRule="exact" w:val="567"/>
          <w:jc w:val="center"/>
        </w:trPr>
        <w:tc>
          <w:tcPr>
            <w:tcW w:w="1899" w:type="dxa"/>
            <w:tcBorders>
              <w:top w:val="single" w:sz="6" w:space="0" w:color="auto"/>
              <w:left w:val="single" w:sz="6" w:space="0" w:color="auto"/>
            </w:tcBorders>
            <w:vAlign w:val="center"/>
          </w:tcPr>
          <w:p>
            <w:pPr>
              <w:rPr>
                <w:b/>
                <w:sz w:val="21"/>
              </w:rPr>
            </w:pPr>
            <w:r>
              <w:rPr>
                <w:b/>
                <w:sz w:val="21"/>
              </w:rPr>
              <w:t xml:space="preserve">Ecole non isolée     </w:t>
            </w:r>
          </w:p>
          <w:p>
            <w:pPr>
              <w:rPr>
                <w:b/>
                <w:sz w:val="21"/>
              </w:rPr>
            </w:pPr>
            <w:r>
              <w:rPr>
                <w:b/>
                <w:sz w:val="21"/>
              </w:rPr>
              <w:t xml:space="preserve">80 % </w:t>
            </w:r>
          </w:p>
        </w:tc>
        <w:tc>
          <w:tcPr>
            <w:tcW w:w="694" w:type="dxa"/>
            <w:tcBorders>
              <w:top w:val="single" w:sz="6" w:space="0" w:color="auto"/>
              <w:left w:val="single" w:sz="6" w:space="0" w:color="auto"/>
            </w:tcBorders>
            <w:vAlign w:val="center"/>
          </w:tcPr>
          <w:p>
            <w:pPr>
              <w:jc w:val="center"/>
              <w:rPr>
                <w:sz w:val="21"/>
              </w:rPr>
            </w:pPr>
            <w:r>
              <w:rPr>
                <w:sz w:val="21"/>
              </w:rPr>
              <w:t>12</w:t>
            </w:r>
          </w:p>
        </w:tc>
        <w:tc>
          <w:tcPr>
            <w:tcW w:w="809" w:type="dxa"/>
            <w:tcBorders>
              <w:top w:val="single" w:sz="6" w:space="0" w:color="auto"/>
              <w:left w:val="single" w:sz="6" w:space="0" w:color="auto"/>
            </w:tcBorders>
            <w:vAlign w:val="center"/>
          </w:tcPr>
          <w:p>
            <w:pPr>
              <w:jc w:val="center"/>
              <w:rPr>
                <w:sz w:val="21"/>
              </w:rPr>
            </w:pPr>
            <w:r>
              <w:rPr>
                <w:sz w:val="21"/>
              </w:rPr>
              <w:t>12</w:t>
            </w:r>
          </w:p>
        </w:tc>
        <w:tc>
          <w:tcPr>
            <w:tcW w:w="1066" w:type="dxa"/>
            <w:tcBorders>
              <w:top w:val="single" w:sz="6" w:space="0" w:color="auto"/>
              <w:left w:val="single" w:sz="6" w:space="0" w:color="auto"/>
            </w:tcBorders>
            <w:vAlign w:val="center"/>
          </w:tcPr>
          <w:p>
            <w:pPr>
              <w:jc w:val="center"/>
              <w:rPr>
                <w:sz w:val="21"/>
              </w:rPr>
            </w:pPr>
            <w:r>
              <w:rPr>
                <w:sz w:val="21"/>
              </w:rPr>
              <w:t>20(8)</w:t>
            </w:r>
          </w:p>
        </w:tc>
        <w:tc>
          <w:tcPr>
            <w:tcW w:w="678" w:type="dxa"/>
            <w:tcBorders>
              <w:top w:val="single" w:sz="6" w:space="0" w:color="auto"/>
              <w:left w:val="single" w:sz="6" w:space="0" w:color="auto"/>
            </w:tcBorders>
            <w:vAlign w:val="center"/>
          </w:tcPr>
          <w:p>
            <w:pPr>
              <w:jc w:val="center"/>
              <w:rPr>
                <w:sz w:val="21"/>
              </w:rPr>
            </w:pPr>
            <w:r>
              <w:rPr>
                <w:sz w:val="21"/>
              </w:rPr>
              <w:t>16</w:t>
            </w:r>
          </w:p>
        </w:tc>
        <w:tc>
          <w:tcPr>
            <w:tcW w:w="841" w:type="dxa"/>
            <w:tcBorders>
              <w:top w:val="single" w:sz="6" w:space="0" w:color="auto"/>
              <w:left w:val="single" w:sz="6" w:space="0" w:color="auto"/>
            </w:tcBorders>
            <w:vAlign w:val="center"/>
          </w:tcPr>
          <w:p>
            <w:pPr>
              <w:jc w:val="center"/>
              <w:rPr>
                <w:sz w:val="21"/>
              </w:rPr>
            </w:pPr>
            <w:r>
              <w:rPr>
                <w:sz w:val="21"/>
              </w:rPr>
              <w:t>40</w:t>
            </w:r>
          </w:p>
        </w:tc>
        <w:tc>
          <w:tcPr>
            <w:tcW w:w="1023" w:type="dxa"/>
            <w:tcBorders>
              <w:top w:val="single" w:sz="6" w:space="0" w:color="auto"/>
              <w:left w:val="single" w:sz="6" w:space="0" w:color="auto"/>
            </w:tcBorders>
            <w:vAlign w:val="center"/>
          </w:tcPr>
          <w:p>
            <w:pPr>
              <w:jc w:val="center"/>
              <w:rPr>
                <w:sz w:val="21"/>
              </w:rPr>
            </w:pPr>
            <w:r>
              <w:rPr>
                <w:sz w:val="21"/>
              </w:rPr>
              <w:t>48(13)</w:t>
            </w:r>
          </w:p>
        </w:tc>
        <w:tc>
          <w:tcPr>
            <w:tcW w:w="651" w:type="dxa"/>
            <w:tcBorders>
              <w:top w:val="single" w:sz="6" w:space="0" w:color="auto"/>
              <w:left w:val="single" w:sz="6" w:space="0" w:color="auto"/>
            </w:tcBorders>
            <w:vAlign w:val="center"/>
          </w:tcPr>
          <w:p>
            <w:pPr>
              <w:jc w:val="center"/>
              <w:rPr>
                <w:sz w:val="21"/>
              </w:rPr>
            </w:pPr>
            <w:r>
              <w:rPr>
                <w:sz w:val="21"/>
              </w:rPr>
              <w:t>40</w:t>
            </w:r>
          </w:p>
        </w:tc>
        <w:tc>
          <w:tcPr>
            <w:tcW w:w="775" w:type="dxa"/>
            <w:tcBorders>
              <w:top w:val="single" w:sz="6" w:space="0" w:color="auto"/>
              <w:left w:val="single" w:sz="6" w:space="0" w:color="auto"/>
            </w:tcBorders>
            <w:vAlign w:val="center"/>
          </w:tcPr>
          <w:p>
            <w:pPr>
              <w:jc w:val="center"/>
              <w:rPr>
                <w:sz w:val="21"/>
              </w:rPr>
            </w:pPr>
            <w:r>
              <w:rPr>
                <w:sz w:val="21"/>
              </w:rPr>
              <w:t>96</w:t>
            </w:r>
          </w:p>
        </w:tc>
        <w:tc>
          <w:tcPr>
            <w:tcW w:w="1040" w:type="dxa"/>
            <w:tcBorders>
              <w:top w:val="single" w:sz="6" w:space="0" w:color="auto"/>
              <w:left w:val="single" w:sz="6" w:space="0" w:color="auto"/>
              <w:right w:val="single" w:sz="6" w:space="0" w:color="auto"/>
            </w:tcBorders>
            <w:vAlign w:val="center"/>
          </w:tcPr>
          <w:p>
            <w:pPr>
              <w:jc w:val="center"/>
              <w:rPr>
                <w:sz w:val="21"/>
              </w:rPr>
            </w:pPr>
            <w:r>
              <w:rPr>
                <w:sz w:val="21"/>
              </w:rPr>
              <w:t>112(16)</w:t>
            </w:r>
          </w:p>
        </w:tc>
      </w:tr>
      <w:tr>
        <w:trPr>
          <w:cantSplit/>
          <w:trHeight w:hRule="exact" w:val="567"/>
          <w:jc w:val="center"/>
        </w:trPr>
        <w:tc>
          <w:tcPr>
            <w:tcW w:w="1899" w:type="dxa"/>
            <w:tcBorders>
              <w:top w:val="single" w:sz="6" w:space="0" w:color="auto"/>
              <w:left w:val="single" w:sz="6" w:space="0" w:color="auto"/>
            </w:tcBorders>
            <w:vAlign w:val="center"/>
          </w:tcPr>
          <w:p>
            <w:pPr>
              <w:rPr>
                <w:b/>
                <w:sz w:val="21"/>
              </w:rPr>
            </w:pPr>
            <w:r>
              <w:rPr>
                <w:b/>
                <w:sz w:val="21"/>
              </w:rPr>
              <w:t xml:space="preserve">Ecole isolée      80 %  </w:t>
            </w:r>
          </w:p>
        </w:tc>
        <w:tc>
          <w:tcPr>
            <w:tcW w:w="694" w:type="dxa"/>
            <w:tcBorders>
              <w:top w:val="single" w:sz="6" w:space="0" w:color="auto"/>
              <w:left w:val="single" w:sz="6" w:space="0" w:color="auto"/>
            </w:tcBorders>
            <w:vAlign w:val="center"/>
          </w:tcPr>
          <w:p>
            <w:pPr>
              <w:jc w:val="center"/>
              <w:rPr>
                <w:sz w:val="21"/>
              </w:rPr>
            </w:pPr>
            <w:r>
              <w:rPr>
                <w:sz w:val="21"/>
              </w:rPr>
              <w:t>10</w:t>
            </w:r>
          </w:p>
        </w:tc>
        <w:tc>
          <w:tcPr>
            <w:tcW w:w="809" w:type="dxa"/>
            <w:tcBorders>
              <w:top w:val="single" w:sz="6" w:space="0" w:color="auto"/>
              <w:left w:val="single" w:sz="6" w:space="0" w:color="auto"/>
            </w:tcBorders>
            <w:vAlign w:val="center"/>
          </w:tcPr>
          <w:p>
            <w:pPr>
              <w:jc w:val="center"/>
              <w:rPr>
                <w:sz w:val="21"/>
              </w:rPr>
            </w:pPr>
            <w:r>
              <w:rPr>
                <w:sz w:val="21"/>
              </w:rPr>
              <w:t>10</w:t>
            </w:r>
          </w:p>
        </w:tc>
        <w:tc>
          <w:tcPr>
            <w:tcW w:w="1066" w:type="dxa"/>
            <w:tcBorders>
              <w:top w:val="single" w:sz="6" w:space="0" w:color="auto"/>
              <w:left w:val="single" w:sz="6" w:space="0" w:color="auto"/>
            </w:tcBorders>
            <w:vAlign w:val="center"/>
          </w:tcPr>
          <w:p>
            <w:pPr>
              <w:jc w:val="center"/>
              <w:rPr>
                <w:sz w:val="21"/>
              </w:rPr>
            </w:pPr>
            <w:r>
              <w:rPr>
                <w:sz w:val="21"/>
              </w:rPr>
              <w:t>16(</w:t>
            </w:r>
            <w:smartTag w:uri="urn:schemas-microsoft-com:office:smarttags" w:element="metricconverter">
              <w:smartTagPr>
                <w:attr w:name="ProductID" w:val="6 m"/>
              </w:smartTagPr>
              <w:r>
                <w:rPr>
                  <w:sz w:val="21"/>
                </w:rPr>
                <w:t>6 m</w:t>
              </w:r>
            </w:smartTag>
            <w:r>
              <w:rPr>
                <w:sz w:val="21"/>
              </w:rPr>
              <w:t>.</w:t>
            </w:r>
          </w:p>
          <w:p>
            <w:pPr>
              <w:jc w:val="center"/>
              <w:rPr>
                <w:sz w:val="21"/>
              </w:rPr>
            </w:pPr>
            <w:r>
              <w:rPr>
                <w:sz w:val="21"/>
              </w:rPr>
              <w:t>et 8 p.)</w:t>
            </w:r>
          </w:p>
        </w:tc>
        <w:tc>
          <w:tcPr>
            <w:tcW w:w="678" w:type="dxa"/>
            <w:tcBorders>
              <w:top w:val="single" w:sz="6" w:space="0" w:color="auto"/>
              <w:left w:val="single" w:sz="6" w:space="0" w:color="auto"/>
            </w:tcBorders>
            <w:vAlign w:val="center"/>
          </w:tcPr>
          <w:p>
            <w:pPr>
              <w:jc w:val="center"/>
              <w:rPr>
                <w:sz w:val="21"/>
              </w:rPr>
            </w:pPr>
            <w:r>
              <w:rPr>
                <w:sz w:val="21"/>
              </w:rPr>
              <w:t>12</w:t>
            </w:r>
          </w:p>
        </w:tc>
        <w:tc>
          <w:tcPr>
            <w:tcW w:w="841" w:type="dxa"/>
            <w:tcBorders>
              <w:top w:val="single" w:sz="6" w:space="0" w:color="auto"/>
              <w:left w:val="single" w:sz="6" w:space="0" w:color="auto"/>
            </w:tcBorders>
            <w:vAlign w:val="center"/>
          </w:tcPr>
          <w:p>
            <w:pPr>
              <w:jc w:val="center"/>
              <w:rPr>
                <w:sz w:val="21"/>
              </w:rPr>
            </w:pPr>
            <w:r>
              <w:rPr>
                <w:sz w:val="21"/>
              </w:rPr>
              <w:t>12</w:t>
            </w:r>
          </w:p>
        </w:tc>
        <w:tc>
          <w:tcPr>
            <w:tcW w:w="1023" w:type="dxa"/>
            <w:tcBorders>
              <w:top w:val="single" w:sz="6" w:space="0" w:color="auto"/>
              <w:left w:val="single" w:sz="6" w:space="0" w:color="auto"/>
            </w:tcBorders>
            <w:vAlign w:val="center"/>
          </w:tcPr>
          <w:p>
            <w:pPr>
              <w:jc w:val="center"/>
              <w:rPr>
                <w:sz w:val="21"/>
              </w:rPr>
            </w:pPr>
            <w:r>
              <w:rPr>
                <w:sz w:val="21"/>
              </w:rPr>
              <w:t>20(10)</w:t>
            </w:r>
          </w:p>
        </w:tc>
        <w:tc>
          <w:tcPr>
            <w:tcW w:w="651" w:type="dxa"/>
            <w:tcBorders>
              <w:top w:val="single" w:sz="6" w:space="0" w:color="auto"/>
              <w:left w:val="single" w:sz="6" w:space="0" w:color="auto"/>
            </w:tcBorders>
            <w:vAlign w:val="center"/>
          </w:tcPr>
          <w:p>
            <w:pPr>
              <w:jc w:val="center"/>
              <w:rPr>
                <w:sz w:val="21"/>
              </w:rPr>
            </w:pPr>
            <w:r>
              <w:rPr>
                <w:sz w:val="21"/>
              </w:rPr>
              <w:t>16</w:t>
            </w:r>
          </w:p>
        </w:tc>
        <w:tc>
          <w:tcPr>
            <w:tcW w:w="775" w:type="dxa"/>
            <w:tcBorders>
              <w:top w:val="single" w:sz="6" w:space="0" w:color="auto"/>
              <w:left w:val="single" w:sz="6" w:space="0" w:color="auto"/>
            </w:tcBorders>
            <w:vAlign w:val="center"/>
          </w:tcPr>
          <w:p>
            <w:pPr>
              <w:jc w:val="center"/>
              <w:rPr>
                <w:sz w:val="21"/>
              </w:rPr>
            </w:pPr>
            <w:r>
              <w:rPr>
                <w:sz w:val="21"/>
              </w:rPr>
              <w:t>40</w:t>
            </w:r>
          </w:p>
        </w:tc>
        <w:tc>
          <w:tcPr>
            <w:tcW w:w="1040" w:type="dxa"/>
            <w:tcBorders>
              <w:top w:val="single" w:sz="6" w:space="0" w:color="auto"/>
              <w:left w:val="single" w:sz="6" w:space="0" w:color="auto"/>
              <w:right w:val="single" w:sz="6" w:space="0" w:color="auto"/>
            </w:tcBorders>
            <w:vAlign w:val="center"/>
          </w:tcPr>
          <w:p>
            <w:pPr>
              <w:jc w:val="center"/>
              <w:rPr>
                <w:sz w:val="21"/>
              </w:rPr>
            </w:pPr>
            <w:r>
              <w:rPr>
                <w:sz w:val="21"/>
              </w:rPr>
              <w:t>48(13)</w:t>
            </w:r>
          </w:p>
        </w:tc>
      </w:tr>
      <w:tr>
        <w:trPr>
          <w:cantSplit/>
          <w:trHeight w:hRule="exact" w:val="851"/>
          <w:jc w:val="center"/>
        </w:trPr>
        <w:tc>
          <w:tcPr>
            <w:tcW w:w="1899" w:type="dxa"/>
            <w:tcBorders>
              <w:top w:val="single" w:sz="6" w:space="0" w:color="auto"/>
              <w:left w:val="single" w:sz="6" w:space="0" w:color="auto"/>
            </w:tcBorders>
            <w:vAlign w:val="center"/>
          </w:tcPr>
          <w:p>
            <w:pPr>
              <w:rPr>
                <w:b/>
                <w:sz w:val="21"/>
              </w:rPr>
            </w:pPr>
            <w:r>
              <w:rPr>
                <w:b/>
                <w:sz w:val="21"/>
              </w:rPr>
              <w:t xml:space="preserve">Implantation non isolée </w:t>
            </w:r>
          </w:p>
          <w:p>
            <w:pPr>
              <w:rPr>
                <w:b/>
                <w:sz w:val="21"/>
              </w:rPr>
            </w:pPr>
            <w:r>
              <w:rPr>
                <w:b/>
                <w:sz w:val="21"/>
              </w:rPr>
              <w:t>80%</w:t>
            </w:r>
          </w:p>
        </w:tc>
        <w:tc>
          <w:tcPr>
            <w:tcW w:w="694" w:type="dxa"/>
            <w:tcBorders>
              <w:top w:val="single" w:sz="6" w:space="0" w:color="auto"/>
              <w:left w:val="single" w:sz="6" w:space="0" w:color="auto"/>
            </w:tcBorders>
            <w:vAlign w:val="center"/>
          </w:tcPr>
          <w:p>
            <w:pPr>
              <w:jc w:val="center"/>
              <w:rPr>
                <w:sz w:val="21"/>
              </w:rPr>
            </w:pPr>
            <w:r>
              <w:rPr>
                <w:sz w:val="21"/>
              </w:rPr>
              <w:t>10</w:t>
            </w:r>
          </w:p>
        </w:tc>
        <w:tc>
          <w:tcPr>
            <w:tcW w:w="809" w:type="dxa"/>
            <w:tcBorders>
              <w:top w:val="single" w:sz="6" w:space="0" w:color="auto"/>
              <w:left w:val="single" w:sz="6" w:space="0" w:color="auto"/>
            </w:tcBorders>
            <w:vAlign w:val="center"/>
          </w:tcPr>
          <w:p>
            <w:pPr>
              <w:jc w:val="center"/>
              <w:rPr>
                <w:sz w:val="21"/>
              </w:rPr>
            </w:pPr>
            <w:r>
              <w:rPr>
                <w:sz w:val="21"/>
              </w:rPr>
              <w:t>10</w:t>
            </w:r>
          </w:p>
        </w:tc>
        <w:tc>
          <w:tcPr>
            <w:tcW w:w="1066" w:type="dxa"/>
            <w:tcBorders>
              <w:top w:val="single" w:sz="6" w:space="0" w:color="auto"/>
              <w:left w:val="single" w:sz="6" w:space="0" w:color="auto"/>
            </w:tcBorders>
            <w:vAlign w:val="center"/>
          </w:tcPr>
          <w:p>
            <w:pPr>
              <w:jc w:val="center"/>
              <w:rPr>
                <w:sz w:val="21"/>
              </w:rPr>
            </w:pPr>
            <w:r>
              <w:rPr>
                <w:sz w:val="21"/>
              </w:rPr>
              <w:t>16(8)</w:t>
            </w:r>
          </w:p>
        </w:tc>
        <w:tc>
          <w:tcPr>
            <w:tcW w:w="678" w:type="dxa"/>
            <w:tcBorders>
              <w:top w:val="single" w:sz="6" w:space="0" w:color="auto"/>
              <w:left w:val="single" w:sz="6" w:space="0" w:color="auto"/>
            </w:tcBorders>
            <w:vAlign w:val="center"/>
          </w:tcPr>
          <w:p>
            <w:pPr>
              <w:jc w:val="center"/>
              <w:rPr>
                <w:sz w:val="21"/>
              </w:rPr>
            </w:pPr>
            <w:r>
              <w:rPr>
                <w:sz w:val="21"/>
              </w:rPr>
              <w:t>16</w:t>
            </w:r>
          </w:p>
        </w:tc>
        <w:tc>
          <w:tcPr>
            <w:tcW w:w="841" w:type="dxa"/>
            <w:tcBorders>
              <w:top w:val="single" w:sz="6" w:space="0" w:color="auto"/>
              <w:left w:val="single" w:sz="6" w:space="0" w:color="auto"/>
            </w:tcBorders>
            <w:vAlign w:val="center"/>
          </w:tcPr>
          <w:p>
            <w:pPr>
              <w:jc w:val="center"/>
              <w:rPr>
                <w:sz w:val="21"/>
              </w:rPr>
            </w:pPr>
            <w:r>
              <w:rPr>
                <w:sz w:val="21"/>
              </w:rPr>
              <w:t>20</w:t>
            </w:r>
          </w:p>
        </w:tc>
        <w:tc>
          <w:tcPr>
            <w:tcW w:w="1023" w:type="dxa"/>
            <w:tcBorders>
              <w:top w:val="single" w:sz="6" w:space="0" w:color="auto"/>
              <w:left w:val="single" w:sz="6" w:space="0" w:color="auto"/>
            </w:tcBorders>
            <w:vAlign w:val="center"/>
          </w:tcPr>
          <w:p>
            <w:pPr>
              <w:jc w:val="center"/>
              <w:rPr>
                <w:sz w:val="21"/>
              </w:rPr>
            </w:pPr>
            <w:r>
              <w:rPr>
                <w:sz w:val="21"/>
              </w:rPr>
              <w:t>32(13)</w:t>
            </w:r>
          </w:p>
        </w:tc>
        <w:tc>
          <w:tcPr>
            <w:tcW w:w="651" w:type="dxa"/>
            <w:tcBorders>
              <w:top w:val="single" w:sz="6" w:space="0" w:color="auto"/>
              <w:left w:val="single" w:sz="6" w:space="0" w:color="auto"/>
            </w:tcBorders>
            <w:vAlign w:val="center"/>
          </w:tcPr>
          <w:p>
            <w:pPr>
              <w:jc w:val="center"/>
              <w:rPr>
                <w:sz w:val="21"/>
              </w:rPr>
            </w:pPr>
            <w:r>
              <w:rPr>
                <w:sz w:val="21"/>
              </w:rPr>
              <w:t>16</w:t>
            </w:r>
          </w:p>
        </w:tc>
        <w:tc>
          <w:tcPr>
            <w:tcW w:w="775" w:type="dxa"/>
            <w:tcBorders>
              <w:top w:val="single" w:sz="6" w:space="0" w:color="auto"/>
              <w:left w:val="single" w:sz="6" w:space="0" w:color="auto"/>
            </w:tcBorders>
            <w:vAlign w:val="center"/>
          </w:tcPr>
          <w:p>
            <w:pPr>
              <w:jc w:val="center"/>
              <w:rPr>
                <w:sz w:val="21"/>
              </w:rPr>
            </w:pPr>
            <w:r>
              <w:rPr>
                <w:sz w:val="21"/>
              </w:rPr>
              <w:t>20</w:t>
            </w:r>
          </w:p>
        </w:tc>
        <w:tc>
          <w:tcPr>
            <w:tcW w:w="1040" w:type="dxa"/>
            <w:tcBorders>
              <w:top w:val="single" w:sz="6" w:space="0" w:color="auto"/>
              <w:left w:val="single" w:sz="6" w:space="0" w:color="auto"/>
              <w:right w:val="single" w:sz="6" w:space="0" w:color="auto"/>
            </w:tcBorders>
            <w:vAlign w:val="center"/>
          </w:tcPr>
          <w:p>
            <w:pPr>
              <w:jc w:val="center"/>
              <w:rPr>
                <w:sz w:val="21"/>
              </w:rPr>
            </w:pPr>
            <w:r>
              <w:rPr>
                <w:sz w:val="21"/>
              </w:rPr>
              <w:t>32(13)</w:t>
            </w:r>
          </w:p>
        </w:tc>
      </w:tr>
      <w:tr>
        <w:trPr>
          <w:cantSplit/>
          <w:trHeight w:hRule="exact" w:val="851"/>
          <w:jc w:val="center"/>
        </w:trPr>
        <w:tc>
          <w:tcPr>
            <w:tcW w:w="1899" w:type="dxa"/>
            <w:tcBorders>
              <w:top w:val="single" w:sz="6" w:space="0" w:color="auto"/>
              <w:left w:val="single" w:sz="6" w:space="0" w:color="auto"/>
              <w:bottom w:val="single" w:sz="6" w:space="0" w:color="auto"/>
            </w:tcBorders>
            <w:vAlign w:val="center"/>
          </w:tcPr>
          <w:p>
            <w:pPr>
              <w:rPr>
                <w:b/>
                <w:sz w:val="21"/>
              </w:rPr>
            </w:pPr>
            <w:r>
              <w:rPr>
                <w:b/>
                <w:sz w:val="21"/>
              </w:rPr>
              <w:t xml:space="preserve">Implantation isolée </w:t>
            </w:r>
          </w:p>
          <w:p>
            <w:pPr>
              <w:rPr>
                <w:b/>
                <w:sz w:val="21"/>
              </w:rPr>
            </w:pPr>
            <w:r>
              <w:rPr>
                <w:b/>
                <w:sz w:val="21"/>
              </w:rPr>
              <w:t xml:space="preserve">80 % </w:t>
            </w:r>
          </w:p>
        </w:tc>
        <w:tc>
          <w:tcPr>
            <w:tcW w:w="694" w:type="dxa"/>
            <w:tcBorders>
              <w:top w:val="single" w:sz="6" w:space="0" w:color="auto"/>
              <w:left w:val="single" w:sz="6" w:space="0" w:color="auto"/>
              <w:bottom w:val="single" w:sz="6" w:space="0" w:color="auto"/>
            </w:tcBorders>
            <w:vAlign w:val="center"/>
          </w:tcPr>
          <w:p>
            <w:pPr>
              <w:jc w:val="center"/>
              <w:rPr>
                <w:sz w:val="21"/>
              </w:rPr>
            </w:pPr>
            <w:r>
              <w:rPr>
                <w:sz w:val="21"/>
              </w:rPr>
              <w:t>10</w:t>
            </w:r>
          </w:p>
        </w:tc>
        <w:tc>
          <w:tcPr>
            <w:tcW w:w="809" w:type="dxa"/>
            <w:tcBorders>
              <w:top w:val="single" w:sz="6" w:space="0" w:color="auto"/>
              <w:left w:val="single" w:sz="6" w:space="0" w:color="auto"/>
              <w:bottom w:val="single" w:sz="6" w:space="0" w:color="auto"/>
            </w:tcBorders>
            <w:vAlign w:val="center"/>
          </w:tcPr>
          <w:p>
            <w:pPr>
              <w:jc w:val="center"/>
              <w:rPr>
                <w:sz w:val="21"/>
              </w:rPr>
            </w:pPr>
            <w:r>
              <w:rPr>
                <w:sz w:val="21"/>
              </w:rPr>
              <w:t>10</w:t>
            </w:r>
          </w:p>
        </w:tc>
        <w:tc>
          <w:tcPr>
            <w:tcW w:w="1066" w:type="dxa"/>
            <w:tcBorders>
              <w:top w:val="single" w:sz="6" w:space="0" w:color="auto"/>
              <w:left w:val="single" w:sz="6" w:space="0" w:color="auto"/>
              <w:bottom w:val="single" w:sz="6" w:space="0" w:color="auto"/>
            </w:tcBorders>
            <w:vAlign w:val="center"/>
          </w:tcPr>
          <w:p>
            <w:pPr>
              <w:jc w:val="center"/>
              <w:rPr>
                <w:sz w:val="21"/>
              </w:rPr>
            </w:pPr>
            <w:r>
              <w:rPr>
                <w:sz w:val="21"/>
              </w:rPr>
              <w:t>16(</w:t>
            </w:r>
            <w:smartTag w:uri="urn:schemas-microsoft-com:office:smarttags" w:element="metricconverter">
              <w:smartTagPr>
                <w:attr w:name="ProductID" w:val="6 m"/>
              </w:smartTagPr>
              <w:r>
                <w:rPr>
                  <w:sz w:val="21"/>
                </w:rPr>
                <w:t>6 m</w:t>
              </w:r>
            </w:smartTag>
            <w:r>
              <w:rPr>
                <w:sz w:val="21"/>
              </w:rPr>
              <w:t>.</w:t>
            </w:r>
          </w:p>
          <w:p>
            <w:pPr>
              <w:jc w:val="center"/>
              <w:rPr>
                <w:sz w:val="21"/>
              </w:rPr>
            </w:pPr>
            <w:r>
              <w:rPr>
                <w:sz w:val="21"/>
              </w:rPr>
              <w:t>et 8 p.)</w:t>
            </w:r>
          </w:p>
        </w:tc>
        <w:tc>
          <w:tcPr>
            <w:tcW w:w="678"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841"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1023" w:type="dxa"/>
            <w:tcBorders>
              <w:top w:val="single" w:sz="6" w:space="0" w:color="auto"/>
              <w:left w:val="single" w:sz="6" w:space="0" w:color="auto"/>
              <w:bottom w:val="single" w:sz="6" w:space="0" w:color="auto"/>
            </w:tcBorders>
            <w:vAlign w:val="center"/>
          </w:tcPr>
          <w:p>
            <w:pPr>
              <w:jc w:val="center"/>
              <w:rPr>
                <w:sz w:val="21"/>
              </w:rPr>
            </w:pPr>
            <w:r>
              <w:rPr>
                <w:sz w:val="21"/>
              </w:rPr>
              <w:t>20(10)</w:t>
            </w:r>
          </w:p>
        </w:tc>
        <w:tc>
          <w:tcPr>
            <w:tcW w:w="651"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775" w:type="dxa"/>
            <w:tcBorders>
              <w:top w:val="single" w:sz="6" w:space="0" w:color="auto"/>
              <w:left w:val="single" w:sz="6" w:space="0" w:color="auto"/>
              <w:bottom w:val="single" w:sz="6" w:space="0" w:color="auto"/>
            </w:tcBorders>
            <w:vAlign w:val="center"/>
          </w:tcPr>
          <w:p>
            <w:pPr>
              <w:jc w:val="center"/>
              <w:rPr>
                <w:sz w:val="21"/>
              </w:rPr>
            </w:pPr>
            <w:r>
              <w:rPr>
                <w:sz w:val="21"/>
              </w:rPr>
              <w:t>12</w:t>
            </w:r>
          </w:p>
        </w:tc>
        <w:tc>
          <w:tcPr>
            <w:tcW w:w="1040" w:type="dxa"/>
            <w:tcBorders>
              <w:top w:val="single" w:sz="6" w:space="0" w:color="auto"/>
              <w:left w:val="single" w:sz="6" w:space="0" w:color="auto"/>
              <w:bottom w:val="single" w:sz="6" w:space="0" w:color="auto"/>
              <w:right w:val="single" w:sz="6" w:space="0" w:color="auto"/>
            </w:tcBorders>
            <w:vAlign w:val="center"/>
          </w:tcPr>
          <w:p>
            <w:pPr>
              <w:jc w:val="center"/>
              <w:rPr>
                <w:sz w:val="21"/>
              </w:rPr>
            </w:pPr>
            <w:r>
              <w:rPr>
                <w:sz w:val="21"/>
              </w:rPr>
              <w:t>20(10)</w:t>
            </w:r>
          </w:p>
        </w:tc>
      </w:tr>
    </w:tbl>
    <w:p>
      <w:bookmarkStart w:id="819" w:name="_3.1.2.2._Fermeture_et"/>
      <w:bookmarkStart w:id="820" w:name="_Toc110930717"/>
      <w:bookmarkStart w:id="821" w:name="_Toc165786035"/>
      <w:bookmarkStart w:id="822" w:name="_Toc167618992"/>
      <w:bookmarkStart w:id="823" w:name="_Toc170010412"/>
      <w:bookmarkStart w:id="824" w:name="_Toc172713846"/>
      <w:bookmarkStart w:id="825" w:name="_Toc295932016"/>
      <w:bookmarkEnd w:id="819"/>
    </w:p>
    <w:p>
      <w:pPr>
        <w:pStyle w:val="Titre4"/>
      </w:pPr>
      <w:bookmarkStart w:id="826" w:name="_3.1.2.2._Fermeture_et_1"/>
      <w:bookmarkStart w:id="827" w:name="_Toc423420035"/>
      <w:bookmarkStart w:id="828" w:name="_Toc450645242"/>
      <w:bookmarkStart w:id="829" w:name="_Toc453942478"/>
      <w:bookmarkStart w:id="830" w:name="_Toc454888095"/>
      <w:bookmarkStart w:id="831" w:name="_Toc486241757"/>
      <w:bookmarkEnd w:id="826"/>
      <w:r>
        <w:t>3.1.2.2. Fermeture et sursis éventuels</w:t>
      </w:r>
      <w:bookmarkEnd w:id="820"/>
      <w:bookmarkEnd w:id="821"/>
      <w:bookmarkEnd w:id="822"/>
      <w:bookmarkEnd w:id="823"/>
      <w:bookmarkEnd w:id="824"/>
      <w:bookmarkEnd w:id="825"/>
      <w:bookmarkEnd w:id="827"/>
      <w:bookmarkEnd w:id="828"/>
      <w:bookmarkEnd w:id="829"/>
      <w:bookmarkEnd w:id="830"/>
      <w:bookmarkEnd w:id="831"/>
    </w:p>
    <w:p>
      <w:pPr>
        <w:rPr>
          <w:sz w:val="16"/>
          <w:szCs w:val="16"/>
        </w:rPr>
      </w:pPr>
    </w:p>
    <w:p>
      <w:pPr>
        <w:jc w:val="both"/>
        <w:rPr>
          <w:spacing w:val="-2"/>
        </w:rPr>
      </w:pPr>
      <w:r>
        <w:rPr>
          <w:spacing w:val="-2"/>
        </w:rPr>
        <w:t>L’école, l’implantation ou le niveau qui n’atteint pas les 100% des normes de rationalisation (voir tableau des normes à 100%) à la date du 30 septembre de l’année scolaire en cours, est</w:t>
      </w:r>
    </w:p>
    <w:p>
      <w:pPr>
        <w:pStyle w:val="En-tte"/>
        <w:tabs>
          <w:tab w:val="clear" w:pos="4536"/>
          <w:tab w:val="clear" w:pos="9072"/>
        </w:tabs>
        <w:rPr>
          <w:sz w:val="16"/>
          <w:szCs w:val="16"/>
        </w:rPr>
      </w:pPr>
    </w:p>
    <w:p>
      <w:pPr>
        <w:numPr>
          <w:ilvl w:val="0"/>
          <w:numId w:val="21"/>
        </w:numPr>
        <w:tabs>
          <w:tab w:val="clear" w:pos="1004"/>
        </w:tabs>
        <w:ind w:left="539"/>
      </w:pPr>
      <w:r>
        <w:t xml:space="preserve">dans les communes ayant une densité de population </w:t>
      </w:r>
      <w:r>
        <w:rPr>
          <w:b/>
          <w:i/>
          <w:u w:val="single"/>
        </w:rPr>
        <w:t>égale ou supérieure à 75</w:t>
      </w:r>
      <w:r>
        <w:t xml:space="preserve"> </w:t>
      </w:r>
      <w:r>
        <w:rPr>
          <w:b/>
          <w:i/>
          <w:u w:val="single"/>
        </w:rPr>
        <w:t>hab/km</w:t>
      </w:r>
      <w:r>
        <w:rPr>
          <w:b/>
          <w:i/>
          <w:u w:val="single"/>
          <w:vertAlign w:val="superscript"/>
        </w:rPr>
        <w:t>2 </w:t>
      </w:r>
      <w:r>
        <w:t>:</w:t>
      </w:r>
    </w:p>
    <w:p>
      <w:pPr>
        <w:ind w:left="179"/>
        <w:rPr>
          <w:sz w:val="4"/>
          <w:szCs w:val="4"/>
        </w:rPr>
      </w:pPr>
    </w:p>
    <w:p>
      <w:pPr>
        <w:numPr>
          <w:ilvl w:val="1"/>
          <w:numId w:val="21"/>
        </w:numPr>
        <w:tabs>
          <w:tab w:val="clear" w:pos="1724"/>
        </w:tabs>
        <w:spacing w:before="80"/>
        <w:ind w:left="1259"/>
        <w:jc w:val="both"/>
      </w:pPr>
      <w:r>
        <w:t xml:space="preserve">en sursis jusqu’au 31 août suivant si les normes sont atteintes à 80% du minimum requis (voir tableau des normes à 80% supra). Elle peut cependant être rouverte l’année scolaire suivante si elle satisfait aux normes de rationalisation à 100%. </w:t>
      </w:r>
    </w:p>
    <w:p>
      <w:pPr>
        <w:spacing w:before="80"/>
        <w:ind w:left="899"/>
        <w:jc w:val="both"/>
        <w:rPr>
          <w:sz w:val="2"/>
          <w:szCs w:val="2"/>
        </w:rPr>
      </w:pPr>
    </w:p>
    <w:p>
      <w:pPr>
        <w:numPr>
          <w:ilvl w:val="1"/>
          <w:numId w:val="21"/>
        </w:numPr>
        <w:tabs>
          <w:tab w:val="clear" w:pos="1724"/>
        </w:tabs>
        <w:spacing w:before="80"/>
        <w:ind w:left="1259"/>
        <w:jc w:val="both"/>
      </w:pPr>
      <w:r>
        <w:t>fermé(e) le 1</w:t>
      </w:r>
      <w:r>
        <w:rPr>
          <w:vertAlign w:val="superscript"/>
        </w:rPr>
        <w:t>er</w:t>
      </w:r>
      <w:r>
        <w:t xml:space="preserve"> octobre de l’année en cours si les normes sont inférieures à 80 % du minimum requis (voir tableau des normes à 80% supra).</w:t>
      </w:r>
    </w:p>
    <w:p>
      <w:pPr>
        <w:pStyle w:val="Paragraphedeliste"/>
      </w:pPr>
    </w:p>
    <w:p>
      <w:pPr>
        <w:spacing w:before="80"/>
        <w:jc w:val="both"/>
        <w:rPr>
          <w:sz w:val="4"/>
          <w:szCs w:val="4"/>
        </w:rPr>
      </w:pPr>
    </w:p>
    <w:p>
      <w:pPr>
        <w:numPr>
          <w:ilvl w:val="2"/>
          <w:numId w:val="18"/>
        </w:numPr>
        <w:tabs>
          <w:tab w:val="clear" w:pos="2160"/>
        </w:tabs>
        <w:ind w:left="539"/>
        <w:jc w:val="both"/>
      </w:pPr>
      <w:r>
        <w:t xml:space="preserve">dans les communes ayant une densité de population </w:t>
      </w:r>
      <w:r>
        <w:rPr>
          <w:b/>
          <w:i/>
          <w:u w:val="single"/>
        </w:rPr>
        <w:t>inférieure à 75 hab/km</w:t>
      </w:r>
      <w:r>
        <w:rPr>
          <w:b/>
          <w:i/>
          <w:u w:val="single"/>
          <w:vertAlign w:val="superscript"/>
        </w:rPr>
        <w:t>2</w:t>
      </w:r>
      <w:r>
        <w:t>,</w:t>
      </w:r>
    </w:p>
    <w:p>
      <w:pPr>
        <w:ind w:left="179"/>
        <w:jc w:val="both"/>
        <w:rPr>
          <w:sz w:val="2"/>
          <w:szCs w:val="2"/>
        </w:rPr>
      </w:pPr>
    </w:p>
    <w:p>
      <w:pPr>
        <w:numPr>
          <w:ilvl w:val="3"/>
          <w:numId w:val="18"/>
        </w:numPr>
        <w:tabs>
          <w:tab w:val="clear" w:pos="2880"/>
          <w:tab w:val="left" w:pos="900"/>
        </w:tabs>
        <w:spacing w:before="120"/>
        <w:ind w:left="899" w:hanging="357"/>
        <w:jc w:val="both"/>
      </w:pPr>
      <w:r>
        <w:t xml:space="preserve">si les normes sont atteintes à 80 % du minimum requis (voir tableau supra) : </w:t>
      </w:r>
    </w:p>
    <w:p>
      <w:pPr>
        <w:numPr>
          <w:ilvl w:val="0"/>
          <w:numId w:val="22"/>
        </w:numPr>
        <w:tabs>
          <w:tab w:val="left" w:pos="1260"/>
        </w:tabs>
        <w:spacing w:before="80"/>
        <w:ind w:left="1259" w:hanging="357"/>
        <w:jc w:val="both"/>
      </w:pPr>
      <w:r>
        <w:t>maintenu(e) sans restriction si les élèves qui y sont inscrits et qui permettent d’atteindre ces 80 % ne trouvent pas une école ou une implantation du même réseau, plus proche de leur domicile.</w:t>
      </w:r>
    </w:p>
    <w:p>
      <w:pPr>
        <w:numPr>
          <w:ilvl w:val="1"/>
          <w:numId w:val="21"/>
        </w:numPr>
        <w:tabs>
          <w:tab w:val="clear" w:pos="1724"/>
          <w:tab w:val="left" w:pos="1260"/>
          <w:tab w:val="num" w:pos="1440"/>
        </w:tabs>
        <w:spacing w:before="80"/>
        <w:ind w:left="1259" w:hanging="357"/>
        <w:jc w:val="both"/>
      </w:pPr>
      <w:r>
        <w:t>en sursis jusqu’au 31 août suivant si les élèves qui y sont inscrits trouvent une école ou une implantation du même réseau plus proche de leur domicile. Elle peut être cependant rouverte l’année scolaire suivante si elle satisfait aux normes de rationalisation à 100%.</w:t>
      </w:r>
    </w:p>
    <w:p>
      <w:pPr>
        <w:numPr>
          <w:ilvl w:val="2"/>
          <w:numId w:val="21"/>
        </w:numPr>
        <w:tabs>
          <w:tab w:val="clear" w:pos="2444"/>
          <w:tab w:val="left" w:pos="900"/>
        </w:tabs>
        <w:spacing w:before="120"/>
        <w:ind w:left="899" w:hanging="357"/>
        <w:jc w:val="both"/>
      </w:pPr>
      <w:r>
        <w:t>si les normes sont inférieures à 80 % du minimum requis (voir tableau supra):</w:t>
      </w:r>
    </w:p>
    <w:p>
      <w:pPr>
        <w:numPr>
          <w:ilvl w:val="3"/>
          <w:numId w:val="21"/>
        </w:numPr>
        <w:tabs>
          <w:tab w:val="clear" w:pos="3164"/>
        </w:tabs>
        <w:spacing w:before="80"/>
        <w:ind w:left="1259" w:hanging="357"/>
        <w:jc w:val="both"/>
      </w:pPr>
      <w:r>
        <w:t>fermé(e) le 1</w:t>
      </w:r>
      <w:r>
        <w:rPr>
          <w:vertAlign w:val="superscript"/>
        </w:rPr>
        <w:t>er</w:t>
      </w:r>
      <w:r>
        <w:t xml:space="preserve"> octobre de l’année en cours.</w:t>
      </w:r>
    </w:p>
    <w:p>
      <w:pPr>
        <w:numPr>
          <w:ilvl w:val="4"/>
          <w:numId w:val="21"/>
        </w:numPr>
        <w:tabs>
          <w:tab w:val="clear" w:pos="3884"/>
          <w:tab w:val="left" w:pos="900"/>
        </w:tabs>
        <w:spacing w:before="120"/>
        <w:ind w:left="899" w:hanging="357"/>
        <w:jc w:val="both"/>
      </w:pPr>
      <w:r>
        <w:t xml:space="preserve">s’il s’agit d’une école ou implantation fondamentale de libre choix, située à plus de </w:t>
      </w:r>
      <w:smartTag w:uri="urn:schemas-microsoft-com:office:smarttags" w:element="metricconverter">
        <w:smartTagPr>
          <w:attr w:name="ProductID" w:val="8 km"/>
        </w:smartTagPr>
        <w:r>
          <w:t>8 km</w:t>
        </w:r>
      </w:smartTag>
      <w:r>
        <w:t xml:space="preserve"> de l’école ou implantation maternelle, primaire ou fondamentale la plus proche:</w:t>
      </w:r>
    </w:p>
    <w:p>
      <w:pPr>
        <w:numPr>
          <w:ilvl w:val="5"/>
          <w:numId w:val="21"/>
        </w:numPr>
        <w:tabs>
          <w:tab w:val="clear" w:pos="4604"/>
        </w:tabs>
        <w:spacing w:before="80"/>
        <w:ind w:left="1259" w:hanging="357"/>
        <w:jc w:val="both"/>
      </w:pPr>
      <w:r>
        <w:t>maintenu(e) sans restriction pour autant qu’elle compte au moins 16 élèves dont au moins 6 en maternelle et 10 en primaire.</w:t>
      </w:r>
    </w:p>
    <w:p>
      <w:pPr>
        <w:tabs>
          <w:tab w:val="left" w:pos="900"/>
        </w:tabs>
        <w:autoSpaceDE w:val="0"/>
        <w:autoSpaceDN w:val="0"/>
        <w:adjustRightInd w:val="0"/>
        <w:ind w:left="543"/>
        <w:jc w:val="both"/>
        <w:rPr>
          <w:szCs w:val="16"/>
        </w:rPr>
      </w:pPr>
      <w:bookmarkStart w:id="832" w:name="_Toc110930718"/>
      <w:bookmarkStart w:id="833" w:name="_Toc165786036"/>
      <w:bookmarkStart w:id="834" w:name="_Toc167618993"/>
      <w:bookmarkStart w:id="835" w:name="_Toc170010413"/>
      <w:bookmarkStart w:id="836" w:name="_Toc172713847"/>
    </w:p>
    <w:p>
      <w:pPr>
        <w:pStyle w:val="Titre4"/>
      </w:pPr>
      <w:bookmarkStart w:id="837" w:name="_Toc295932017"/>
      <w:bookmarkStart w:id="838" w:name="_Toc423420036"/>
      <w:bookmarkStart w:id="839" w:name="_Toc450645243"/>
      <w:bookmarkStart w:id="840" w:name="_Toc453942479"/>
      <w:bookmarkStart w:id="841" w:name="_Toc454888096"/>
      <w:bookmarkStart w:id="842" w:name="_Toc486241758"/>
      <w:r>
        <w:t>3.1.2.3. Restructurations</w:t>
      </w:r>
      <w:bookmarkEnd w:id="832"/>
      <w:bookmarkEnd w:id="833"/>
      <w:bookmarkEnd w:id="834"/>
      <w:bookmarkEnd w:id="835"/>
      <w:bookmarkEnd w:id="836"/>
      <w:bookmarkEnd w:id="837"/>
      <w:bookmarkEnd w:id="838"/>
      <w:bookmarkEnd w:id="839"/>
      <w:bookmarkEnd w:id="840"/>
      <w:bookmarkEnd w:id="841"/>
      <w:bookmarkEnd w:id="842"/>
    </w:p>
    <w:p>
      <w:pPr>
        <w:pStyle w:val="Notedebasdepage"/>
        <w:rPr>
          <w:sz w:val="16"/>
          <w:szCs w:val="16"/>
        </w:rPr>
      </w:pPr>
    </w:p>
    <w:p>
      <w:pPr>
        <w:jc w:val="both"/>
        <w:rPr>
          <w:szCs w:val="22"/>
        </w:rPr>
      </w:pPr>
      <w:r>
        <w:rPr>
          <w:szCs w:val="22"/>
        </w:rPr>
        <w:t>Les pouvoirs organisateurs peuvent restructurer, du 1</w:t>
      </w:r>
      <w:r>
        <w:rPr>
          <w:szCs w:val="22"/>
          <w:vertAlign w:val="superscript"/>
        </w:rPr>
        <w:t>er</w:t>
      </w:r>
      <w:r>
        <w:rPr>
          <w:szCs w:val="22"/>
        </w:rPr>
        <w:t xml:space="preserve"> au 30 septembre de chaque année scolaire, une ou plusieurs de leurs écoles, existant au 30 juin 1984, après avoir pris l’avis des organes de concertation.</w:t>
      </w:r>
    </w:p>
    <w:p>
      <w:pPr>
        <w:pStyle w:val="Notedebasdepage"/>
      </w:pPr>
    </w:p>
    <w:p>
      <w:pPr>
        <w:pStyle w:val="Corpsdetexte2"/>
        <w:rPr>
          <w:szCs w:val="22"/>
        </w:rPr>
      </w:pPr>
      <w:r>
        <w:rPr>
          <w:szCs w:val="22"/>
        </w:rPr>
        <w:t>Les normes de rationalisation sont applicables dans les cas de restructuration décrits ci-après pour autant que ni le nombre d'écoles ni le nombre d'implantations existant au 30 juin 1984 ne soient augmentés. Ces nombres peuvent toutefois diminuer si l'une ou l'autre école ou implantation est supprimée lors de la restructuration.</w:t>
      </w:r>
    </w:p>
    <w:p>
      <w:pPr>
        <w:jc w:val="both"/>
        <w:rPr>
          <w:i/>
          <w:sz w:val="12"/>
          <w:szCs w:val="12"/>
        </w:rPr>
      </w:pPr>
    </w:p>
    <w:p>
      <w:pPr>
        <w:jc w:val="both"/>
        <w:rPr>
          <w:szCs w:val="22"/>
        </w:rPr>
      </w:pPr>
      <w:r>
        <w:rPr>
          <w:b/>
          <w:szCs w:val="22"/>
        </w:rPr>
        <w:t>Par restructuration</w:t>
      </w:r>
      <w:r>
        <w:rPr>
          <w:rStyle w:val="Appelnotedebasdep"/>
          <w:b/>
          <w:szCs w:val="22"/>
        </w:rPr>
        <w:footnoteReference w:id="44"/>
      </w:r>
      <w:r>
        <w:rPr>
          <w:szCs w:val="22"/>
        </w:rPr>
        <w:t xml:space="preserve">, il y a lieu d'entendre, notamment, l’un des </w:t>
      </w:r>
      <w:r>
        <w:rPr>
          <w:szCs w:val="22"/>
          <w:u w:val="single"/>
        </w:rPr>
        <w:t>4 cas suivants</w:t>
      </w:r>
      <w:r>
        <w:rPr>
          <w:szCs w:val="22"/>
        </w:rPr>
        <w:t>:</w:t>
      </w:r>
    </w:p>
    <w:p>
      <w:pPr>
        <w:jc w:val="both"/>
        <w:rPr>
          <w:sz w:val="4"/>
          <w:szCs w:val="4"/>
        </w:rPr>
      </w:pPr>
    </w:p>
    <w:p>
      <w:pPr>
        <w:numPr>
          <w:ilvl w:val="0"/>
          <w:numId w:val="25"/>
        </w:numPr>
        <w:spacing w:after="120"/>
        <w:ind w:left="356" w:hanging="357"/>
        <w:jc w:val="both"/>
        <w:rPr>
          <w:szCs w:val="22"/>
        </w:rPr>
      </w:pPr>
      <w:r>
        <w:rPr>
          <w:szCs w:val="22"/>
        </w:rPr>
        <w:t>Le transfert d'une implantation à un endroit où un établissement d'enseignement s'avère nécessaire. Cela n'exclut pas la possibilité de rendre isolée une implantation non isolée.</w:t>
      </w:r>
    </w:p>
    <w:p>
      <w:pPr>
        <w:numPr>
          <w:ilvl w:val="0"/>
          <w:numId w:val="25"/>
        </w:numPr>
        <w:spacing w:after="120"/>
        <w:ind w:left="356" w:hanging="357"/>
        <w:jc w:val="both"/>
        <w:rPr>
          <w:szCs w:val="22"/>
        </w:rPr>
      </w:pPr>
      <w:r>
        <w:rPr>
          <w:szCs w:val="22"/>
        </w:rPr>
        <w:t>Le transfert d'une implantation complète d'une école sous la direction d'une autre école du même Pouvoir organisateur.</w:t>
      </w:r>
    </w:p>
    <w:p>
      <w:pPr>
        <w:pStyle w:val="Corpsdetexte2"/>
        <w:numPr>
          <w:ilvl w:val="0"/>
          <w:numId w:val="25"/>
        </w:numPr>
        <w:spacing w:after="120"/>
        <w:ind w:left="356" w:hanging="357"/>
        <w:rPr>
          <w:szCs w:val="22"/>
        </w:rPr>
      </w:pPr>
      <w:r>
        <w:rPr>
          <w:szCs w:val="22"/>
        </w:rPr>
        <w:t>La réouverture d'une école et/ou d’une implantation dans la mesure où le nombre d'écoles ou d'implantations existant au 30 juin 1984 n'est pas augmenté. Celles-ci ne doivent pas nécessairement être du même niveau que celles existant au moment de la fermeture, ni être établies dans les anciens locaux.</w:t>
      </w:r>
    </w:p>
    <w:p>
      <w:pPr>
        <w:numPr>
          <w:ilvl w:val="0"/>
          <w:numId w:val="25"/>
        </w:numPr>
        <w:ind w:left="359"/>
        <w:jc w:val="both"/>
        <w:rPr>
          <w:szCs w:val="22"/>
        </w:rPr>
      </w:pPr>
      <w:r>
        <w:rPr>
          <w:szCs w:val="22"/>
        </w:rPr>
        <w:t>Le transfert, de commun accord, d'écoles ou d'implantations entre pouvoirs organisateurs dont le nombre global d'écoles ou d'implantations est au plus égal à celui existant au 30 juin 1984. Ce transfert ne peut pas modifier le caractère d'une des écoles. Une réouverture ultérieure d'implantations par le Pouvoir organisateur cédant ne pourrait se réaliser que si le nombre global d'implantations existant au 30 juin 1984 dans les deux pouvoirs organisateurs concernés n'est pas dépassé et si les normes de rationalisation sont atteintes.</w:t>
      </w:r>
    </w:p>
    <w:p>
      <w:pPr>
        <w:jc w:val="both"/>
        <w:rPr>
          <w:szCs w:val="22"/>
        </w:rPr>
      </w:pPr>
    </w:p>
    <w:p>
      <w:pPr>
        <w:pStyle w:val="Titre4"/>
      </w:pPr>
      <w:bookmarkStart w:id="843" w:name="_Toc110930719"/>
      <w:bookmarkStart w:id="844" w:name="_Toc165786037"/>
      <w:bookmarkStart w:id="845" w:name="_Toc167618994"/>
      <w:bookmarkStart w:id="846" w:name="_Toc170010414"/>
      <w:bookmarkStart w:id="847" w:name="_Toc172713848"/>
      <w:bookmarkStart w:id="848" w:name="_Toc295932018"/>
      <w:r>
        <w:br w:type="page"/>
      </w:r>
      <w:bookmarkStart w:id="849" w:name="_Toc423420037"/>
      <w:bookmarkStart w:id="850" w:name="_Toc450645244"/>
      <w:bookmarkStart w:id="851" w:name="_Toc453942480"/>
      <w:bookmarkStart w:id="852" w:name="_Toc454888097"/>
      <w:bookmarkStart w:id="853" w:name="_Toc486241759"/>
      <w:r>
        <w:t>3.1.2.4. Fusion d’écoles</w:t>
      </w:r>
      <w:bookmarkEnd w:id="843"/>
      <w:bookmarkEnd w:id="844"/>
      <w:bookmarkEnd w:id="845"/>
      <w:bookmarkEnd w:id="846"/>
      <w:bookmarkEnd w:id="847"/>
      <w:bookmarkEnd w:id="848"/>
      <w:bookmarkEnd w:id="849"/>
      <w:bookmarkEnd w:id="850"/>
      <w:bookmarkEnd w:id="851"/>
      <w:bookmarkEnd w:id="852"/>
      <w:bookmarkEnd w:id="853"/>
    </w:p>
    <w:p>
      <w:pPr>
        <w:jc w:val="both"/>
        <w:rPr>
          <w:sz w:val="16"/>
          <w:szCs w:val="16"/>
        </w:rPr>
      </w:pPr>
    </w:p>
    <w:p>
      <w:pPr>
        <w:jc w:val="both"/>
        <w:rPr>
          <w:szCs w:val="22"/>
        </w:rPr>
      </w:pPr>
      <w:r>
        <w:rPr>
          <w:szCs w:val="22"/>
        </w:rPr>
        <w:t xml:space="preserve">Par </w:t>
      </w:r>
      <w:r>
        <w:rPr>
          <w:b/>
          <w:szCs w:val="22"/>
        </w:rPr>
        <w:t>fusion d’écoles</w:t>
      </w:r>
      <w:r>
        <w:rPr>
          <w:szCs w:val="22"/>
        </w:rPr>
        <w:t>, il y a lieu d’entendre:</w:t>
      </w:r>
    </w:p>
    <w:p>
      <w:pPr>
        <w:numPr>
          <w:ilvl w:val="0"/>
          <w:numId w:val="19"/>
        </w:numPr>
        <w:ind w:left="719" w:hanging="376"/>
        <w:jc w:val="both"/>
        <w:rPr>
          <w:szCs w:val="22"/>
        </w:rPr>
      </w:pPr>
      <w:r>
        <w:rPr>
          <w:szCs w:val="22"/>
        </w:rPr>
        <w:t xml:space="preserve">Soit, la réunion en une nouvelle école, sous la direction d’un seul directeur, de deux ou plusieurs écoles qui sont supprimées simultanément: </w:t>
      </w:r>
      <w:r>
        <w:rPr>
          <w:szCs w:val="22"/>
          <w:u w:val="single"/>
        </w:rPr>
        <w:t>fusion égalitaire</w:t>
      </w:r>
      <w:r>
        <w:rPr>
          <w:szCs w:val="22"/>
        </w:rPr>
        <w:t>.</w:t>
      </w:r>
    </w:p>
    <w:p>
      <w:pPr>
        <w:numPr>
          <w:ilvl w:val="0"/>
          <w:numId w:val="19"/>
        </w:numPr>
        <w:ind w:left="719" w:hanging="376"/>
        <w:jc w:val="both"/>
        <w:rPr>
          <w:szCs w:val="22"/>
          <w:u w:val="single"/>
        </w:rPr>
      </w:pPr>
      <w:r>
        <w:rPr>
          <w:szCs w:val="22"/>
        </w:rPr>
        <w:t xml:space="preserve">Soit la réunion de deux ou plusieurs écoles, sous la direction d’un seul directeur, lorsqu’une des écoles continue d’exister et absorbe la ou les autres écoles: </w:t>
      </w:r>
      <w:r>
        <w:rPr>
          <w:szCs w:val="22"/>
          <w:u w:val="single"/>
        </w:rPr>
        <w:t>fusion par absorption.</w:t>
      </w:r>
    </w:p>
    <w:p>
      <w:pPr>
        <w:jc w:val="both"/>
        <w:rPr>
          <w:sz w:val="8"/>
          <w:szCs w:val="8"/>
        </w:rPr>
      </w:pPr>
    </w:p>
    <w:p>
      <w:pPr>
        <w:jc w:val="both"/>
        <w:rPr>
          <w:szCs w:val="22"/>
        </w:rPr>
      </w:pPr>
      <w:r>
        <w:rPr>
          <w:szCs w:val="22"/>
        </w:rPr>
        <w:t>Une fusion d’écoles peut être décidée par le(s) pouvoir(s) organisateur(s) à tout moment de l’année. Toutefois, la fusion doit avoir lieu entre le 1</w:t>
      </w:r>
      <w:r>
        <w:rPr>
          <w:szCs w:val="22"/>
          <w:vertAlign w:val="superscript"/>
        </w:rPr>
        <w:t>er</w:t>
      </w:r>
      <w:r>
        <w:rPr>
          <w:szCs w:val="22"/>
        </w:rPr>
        <w:t xml:space="preserve"> et le 30 septembre de l’année scolaire en cours et entrer en vigueur au plus tard le 1</w:t>
      </w:r>
      <w:r>
        <w:rPr>
          <w:szCs w:val="22"/>
          <w:vertAlign w:val="superscript"/>
        </w:rPr>
        <w:t>er</w:t>
      </w:r>
      <w:r>
        <w:rPr>
          <w:szCs w:val="22"/>
        </w:rPr>
        <w:t xml:space="preserve"> octobre. Toute décision de fusion prise après le 30 septembre ne peut avoir d’effets pendant l’année scolaire en cours.</w:t>
      </w:r>
    </w:p>
    <w:p>
      <w:pPr>
        <w:jc w:val="both"/>
        <w:rPr>
          <w:sz w:val="8"/>
          <w:szCs w:val="8"/>
        </w:rPr>
      </w:pPr>
    </w:p>
    <w:p>
      <w:pPr>
        <w:pStyle w:val="Corpsdetexte"/>
        <w:rPr>
          <w:spacing w:val="0"/>
          <w:szCs w:val="22"/>
        </w:rPr>
      </w:pPr>
      <w:r>
        <w:rPr>
          <w:spacing w:val="0"/>
          <w:szCs w:val="22"/>
        </w:rPr>
        <w:t>L’école résultant d’une fusion reste soumise aux règles de rationalisation et non de programmation.</w:t>
      </w:r>
    </w:p>
    <w:p>
      <w:pPr>
        <w:rPr>
          <w:szCs w:val="22"/>
        </w:rPr>
      </w:pPr>
    </w:p>
    <w:p>
      <w:pPr>
        <w:rPr>
          <w:szCs w:val="22"/>
        </w:rPr>
      </w:pPr>
    </w:p>
    <w:p>
      <w:pPr>
        <w:pStyle w:val="Titre3"/>
      </w:pPr>
      <w:bookmarkStart w:id="854" w:name="Section3_1_3"/>
      <w:bookmarkStart w:id="855" w:name="_Toc295932019"/>
      <w:bookmarkStart w:id="856" w:name="_Toc295913755"/>
      <w:bookmarkStart w:id="857" w:name="_Toc423420038"/>
      <w:bookmarkStart w:id="858" w:name="_Toc450645245"/>
      <w:bookmarkStart w:id="859" w:name="_Toc453942481"/>
      <w:bookmarkStart w:id="860" w:name="_Toc454888098"/>
      <w:bookmarkStart w:id="861" w:name="_Toc486241760"/>
      <w:r>
        <w:t xml:space="preserve">3.1.3. </w:t>
      </w:r>
      <w:bookmarkEnd w:id="854"/>
      <w:r>
        <w:t>Première demande d’admission aux subventions d'une nouvelle école ou d’une nouvelle implantation isolée</w:t>
      </w:r>
      <w:bookmarkEnd w:id="855"/>
      <w:bookmarkEnd w:id="856"/>
      <w:bookmarkEnd w:id="857"/>
      <w:bookmarkEnd w:id="858"/>
      <w:bookmarkEnd w:id="859"/>
      <w:bookmarkEnd w:id="860"/>
      <w:bookmarkEnd w:id="861"/>
    </w:p>
    <w:p>
      <w:pPr>
        <w:rPr>
          <w:szCs w:val="22"/>
          <w:highlight w:val="yellow"/>
        </w:rPr>
      </w:pPr>
    </w:p>
    <w:p>
      <w:pPr>
        <w:pStyle w:val="Titre4"/>
      </w:pPr>
      <w:bookmarkStart w:id="862" w:name="_3.1.3.1._Les_conditions"/>
      <w:bookmarkStart w:id="863" w:name="Section3_1_3_1"/>
      <w:bookmarkStart w:id="864" w:name="_Toc110930721"/>
      <w:bookmarkStart w:id="865" w:name="_Toc165786039"/>
      <w:bookmarkStart w:id="866" w:name="_Toc167618996"/>
      <w:bookmarkStart w:id="867" w:name="_Toc170010416"/>
      <w:bookmarkStart w:id="868" w:name="_Toc172713850"/>
      <w:bookmarkStart w:id="869" w:name="_Toc295932020"/>
      <w:bookmarkStart w:id="870" w:name="_Toc423420039"/>
      <w:bookmarkStart w:id="871" w:name="_Toc450645246"/>
      <w:bookmarkStart w:id="872" w:name="_Toc453942482"/>
      <w:bookmarkStart w:id="873" w:name="_Toc454888099"/>
      <w:bookmarkStart w:id="874" w:name="_Toc486241761"/>
      <w:bookmarkEnd w:id="862"/>
      <w:r>
        <w:t>3.1.3.1</w:t>
      </w:r>
      <w:bookmarkEnd w:id="863"/>
      <w:r>
        <w:t>. Les conditions d’admission aux subventions</w:t>
      </w:r>
      <w:r>
        <w:rPr>
          <w:rStyle w:val="Appelnotedebasdep"/>
          <w:b w:val="0"/>
          <w:sz w:val="23"/>
        </w:rPr>
        <w:footnoteReference w:id="45"/>
      </w:r>
      <w:bookmarkEnd w:id="864"/>
      <w:bookmarkEnd w:id="865"/>
      <w:bookmarkEnd w:id="866"/>
      <w:bookmarkEnd w:id="867"/>
      <w:bookmarkEnd w:id="868"/>
      <w:bookmarkEnd w:id="869"/>
      <w:bookmarkEnd w:id="870"/>
      <w:bookmarkEnd w:id="871"/>
      <w:bookmarkEnd w:id="872"/>
      <w:bookmarkEnd w:id="873"/>
      <w:bookmarkEnd w:id="874"/>
    </w:p>
    <w:p>
      <w:pPr>
        <w:ind w:left="719"/>
        <w:jc w:val="both"/>
        <w:rPr>
          <w:sz w:val="16"/>
          <w:szCs w:val="16"/>
        </w:rPr>
      </w:pPr>
    </w:p>
    <w:p>
      <w:pPr>
        <w:ind w:left="708"/>
        <w:jc w:val="both"/>
      </w:pPr>
      <w:r>
        <w:t>Une nouvelle école ou une nouvelle implantation isolée peut être créée ou admise aux subventions et maintenue aux conditions suivantes:</w:t>
      </w:r>
    </w:p>
    <w:p>
      <w:pPr>
        <w:numPr>
          <w:ilvl w:val="0"/>
          <w:numId w:val="24"/>
        </w:numPr>
        <w:spacing w:before="60"/>
        <w:ind w:left="1259" w:hanging="357"/>
        <w:jc w:val="both"/>
      </w:pPr>
      <w:r>
        <w:t xml:space="preserve">Etre située à au moins 2 kms de toute autre implantation ou école du même réseau, organisée sur le territoire de la même commune. </w:t>
      </w:r>
    </w:p>
    <w:p>
      <w:pPr>
        <w:numPr>
          <w:ilvl w:val="0"/>
          <w:numId w:val="24"/>
        </w:numPr>
        <w:spacing w:before="60"/>
        <w:ind w:left="1259" w:hanging="357"/>
        <w:jc w:val="both"/>
      </w:pPr>
      <w:r>
        <w:t xml:space="preserve">Adopter la structure d’enseignement définie par les lois et décrets. </w:t>
      </w:r>
    </w:p>
    <w:p>
      <w:pPr>
        <w:numPr>
          <w:ilvl w:val="0"/>
          <w:numId w:val="24"/>
        </w:numPr>
        <w:spacing w:before="60"/>
        <w:ind w:left="1259" w:hanging="357"/>
        <w:jc w:val="both"/>
      </w:pPr>
      <w:r>
        <w:t xml:space="preserve">Respecter un programme approuvé par le Gouvernement. </w:t>
      </w:r>
    </w:p>
    <w:p>
      <w:pPr>
        <w:numPr>
          <w:ilvl w:val="0"/>
          <w:numId w:val="24"/>
        </w:numPr>
        <w:spacing w:before="60"/>
        <w:ind w:left="1259" w:hanging="357"/>
        <w:jc w:val="both"/>
      </w:pPr>
      <w:r>
        <w:t>Respecter les dispositions fixées par les décrets:</w:t>
      </w:r>
    </w:p>
    <w:p>
      <w:pPr>
        <w:numPr>
          <w:ilvl w:val="1"/>
          <w:numId w:val="24"/>
        </w:numPr>
        <w:ind w:left="1978" w:hanging="357"/>
        <w:jc w:val="both"/>
      </w:pPr>
      <w:r>
        <w:t xml:space="preserve">du 24/07/1997 (Décret définissant les missions prioritaires de l’enseignement fondamental et de l’enseignement secondaire et organisant les structures propres à les atteindre) (voir également les </w:t>
      </w:r>
      <w:hyperlink w:anchor="_Chapitre_1.1._Objectifs_" w:history="1">
        <w:r>
          <w:rPr>
            <w:rStyle w:val="Lienhypertexte"/>
            <w:color w:val="auto"/>
          </w:rPr>
          <w:t>chapitres 1.1.</w:t>
        </w:r>
      </w:hyperlink>
      <w:r>
        <w:t xml:space="preserve"> et </w:t>
      </w:r>
      <w:hyperlink w:anchor="_Chapitre_1.2._Ecole_" w:history="1">
        <w:r>
          <w:rPr>
            <w:rStyle w:val="Lienhypertexte"/>
            <w:color w:val="auto"/>
          </w:rPr>
          <w:t>1.2.</w:t>
        </w:r>
      </w:hyperlink>
      <w:r>
        <w:t>) ;</w:t>
      </w:r>
    </w:p>
    <w:p>
      <w:pPr>
        <w:numPr>
          <w:ilvl w:val="1"/>
          <w:numId w:val="24"/>
        </w:numPr>
        <w:ind w:left="1978" w:hanging="357"/>
        <w:jc w:val="both"/>
      </w:pPr>
      <w:r>
        <w:t>du 20/12/2001 relatif à la promotion de la santé à l’école ;</w:t>
      </w:r>
    </w:p>
    <w:p>
      <w:pPr>
        <w:numPr>
          <w:ilvl w:val="1"/>
          <w:numId w:val="24"/>
        </w:numPr>
        <w:ind w:left="1978" w:hanging="357"/>
        <w:jc w:val="both"/>
      </w:pPr>
      <w:r>
        <w:t>du 30/04/2009 organisant un encadrement différencié au sein des établissements scolaires de la Communauté française afin d’assurer à chaque élève des chances égales d’émancipation sociale dans un environnement pédagogique de qualité ;</w:t>
      </w:r>
    </w:p>
    <w:p>
      <w:pPr>
        <w:numPr>
          <w:ilvl w:val="1"/>
          <w:numId w:val="24"/>
        </w:numPr>
        <w:ind w:left="1978" w:hanging="357"/>
        <w:jc w:val="both"/>
      </w:pPr>
      <w:r>
        <w:t>du 21/11/2013 organisant divers dispositifs scolaires favorisant le bien-être des jeunes à l’école, l’accrochage scolaire, la prévention de la violence à l’école et l’accompagnement des démarches d’orientation scolaire.</w:t>
      </w:r>
    </w:p>
    <w:p>
      <w:pPr>
        <w:numPr>
          <w:ilvl w:val="0"/>
          <w:numId w:val="24"/>
        </w:numPr>
        <w:spacing w:before="60"/>
        <w:ind w:left="1259" w:hanging="357"/>
        <w:jc w:val="both"/>
      </w:pPr>
      <w:r>
        <w:t xml:space="preserve">Se soumettre au contrôle et à l’inspection organisée par </w:t>
      </w:r>
      <w:smartTag w:uri="urn:schemas-microsoft-com:office:smarttags" w:element="PersonName">
        <w:smartTagPr>
          <w:attr w:name="ProductID" w:val="la Communaut￩"/>
        </w:smartTagPr>
        <w:r>
          <w:t>la Communauté</w:t>
        </w:r>
      </w:smartTag>
      <w:r>
        <w:t xml:space="preserve"> française organisée par le décret du 08/03/2007 relatif au service général de l’inspection, au service de conseil et de soutien pédagogiques de l’enseignement organisé par </w:t>
      </w:r>
      <w:smartTag w:uri="urn:schemas-microsoft-com:office:smarttags" w:element="PersonName">
        <w:smartTagPr>
          <w:attr w:name="ProductID" w:val="la Communaut￩"/>
        </w:smartTagPr>
        <w:r>
          <w:t>la Communauté</w:t>
        </w:r>
      </w:smartTag>
      <w:r>
        <w:t xml:space="preserve"> française, aux cellules de conseil et de soutien pédagogiques de l’enseignement subventionné par </w:t>
      </w:r>
      <w:smartTag w:uri="urn:schemas-microsoft-com:office:smarttags" w:element="PersonName">
        <w:smartTagPr>
          <w:attr w:name="ProductID" w:val="la Communaut￩"/>
        </w:smartTagPr>
        <w:r>
          <w:t>la Communauté</w:t>
        </w:r>
      </w:smartTag>
      <w:r>
        <w:t xml:space="preserve"> française et au statut des membres du personnel du service général de l’inspection et des conseillers pédagogiques.</w:t>
      </w:r>
    </w:p>
    <w:p>
      <w:pPr>
        <w:numPr>
          <w:ilvl w:val="0"/>
          <w:numId w:val="24"/>
        </w:numPr>
        <w:spacing w:before="60"/>
        <w:ind w:left="1259" w:hanging="357"/>
        <w:jc w:val="both"/>
      </w:pPr>
      <w:r>
        <w:t>Bénéficier, si l’établissement n’est pas affilié à un organe de représentation et de coordination des Pouvoirs organisateurs, de services de conseil et de soutien pédagogiques externes, en vertu d’une convention passée au plus tard 4 mois après la création de l’établissement avec le Service de conseil et de soutien pédagogiques ou avec une des Cellules de conseil et de soutien pédagogiques visés par le décret du 08/03/2007 précité. Seul le Service de conseil et de soutien pédagogique ne peut refuser de signer la convention.</w:t>
      </w:r>
    </w:p>
    <w:p>
      <w:pPr>
        <w:numPr>
          <w:ilvl w:val="0"/>
          <w:numId w:val="24"/>
        </w:numPr>
        <w:spacing w:before="60"/>
        <w:ind w:left="1259" w:hanging="357"/>
        <w:jc w:val="both"/>
      </w:pPr>
      <w:r>
        <w:t>Etre organisée par une personne morale qui en assume toute la responsabilité et qui ne bénéficie pas directement ou indirectement pour le fonctionnement, les frais de personnel et/ou les bâtiments, de financement en provenance d’un Etat étranger n’appartenant pas à l’Union européenne ou d’institution relevant d’un Etat étranger n’appartenant pas à l’Union européenne.</w:t>
      </w:r>
    </w:p>
    <w:p>
      <w:pPr>
        <w:spacing w:before="60"/>
        <w:ind w:left="1259"/>
        <w:jc w:val="both"/>
      </w:pPr>
      <w:r>
        <w:t>Les personnes physiques qui composent la personne morale, doivent :</w:t>
      </w:r>
    </w:p>
    <w:p>
      <w:pPr>
        <w:numPr>
          <w:ilvl w:val="0"/>
          <w:numId w:val="173"/>
        </w:numPr>
        <w:ind w:left="1763" w:hanging="357"/>
        <w:jc w:val="both"/>
      </w:pPr>
      <w:r>
        <w:t>être de conduite irréprochable ;</w:t>
      </w:r>
    </w:p>
    <w:p>
      <w:pPr>
        <w:numPr>
          <w:ilvl w:val="0"/>
          <w:numId w:val="173"/>
        </w:numPr>
        <w:ind w:left="1763" w:hanging="357"/>
        <w:jc w:val="both"/>
      </w:pPr>
      <w:r>
        <w:t>jouir des droits civils et politiques.</w:t>
      </w:r>
    </w:p>
    <w:p>
      <w:pPr>
        <w:numPr>
          <w:ilvl w:val="0"/>
          <w:numId w:val="24"/>
        </w:numPr>
        <w:spacing w:before="60"/>
        <w:ind w:left="1259" w:hanging="357"/>
        <w:jc w:val="both"/>
      </w:pPr>
      <w:r>
        <w:t>Compter, par établissement, par implantation et par niveau, au moins les nombres minimums d’élèves tels que définis par l’arrêté royal du 02/08/1984 portant rationalisation et programmation de l’enseignement maternel et primaire ordinaire (voir sections</w:t>
      </w:r>
      <w:r>
        <w:rPr>
          <w:color w:val="00B050"/>
        </w:rPr>
        <w:t xml:space="preserve"> </w:t>
      </w:r>
      <w:hyperlink w:anchor="Section3_1_2_1" w:history="1">
        <w:r>
          <w:rPr>
            <w:rStyle w:val="Lienhypertexte"/>
          </w:rPr>
          <w:t>3.1.2.1.</w:t>
        </w:r>
      </w:hyperlink>
      <w:r>
        <w:rPr>
          <w:color w:val="00B050"/>
        </w:rPr>
        <w:t xml:space="preserve"> </w:t>
      </w:r>
      <w:r>
        <w:t>et</w:t>
      </w:r>
      <w:r>
        <w:rPr>
          <w:color w:val="00B050"/>
        </w:rPr>
        <w:t xml:space="preserve"> </w:t>
      </w:r>
      <w:hyperlink w:anchor="Section3_1_3_2" w:history="1">
        <w:r>
          <w:rPr>
            <w:rStyle w:val="Lienhypertexte"/>
          </w:rPr>
          <w:t>3.1.3.2</w:t>
        </w:r>
      </w:hyperlink>
      <w:r>
        <w:t>)</w:t>
      </w:r>
      <w:r>
        <w:rPr>
          <w:color w:val="00B050"/>
        </w:rPr>
        <w:t>.</w:t>
      </w:r>
    </w:p>
    <w:p>
      <w:pPr>
        <w:numPr>
          <w:ilvl w:val="0"/>
          <w:numId w:val="24"/>
        </w:numPr>
        <w:spacing w:before="60"/>
        <w:ind w:left="1259" w:hanging="357"/>
        <w:jc w:val="both"/>
      </w:pPr>
      <w:r>
        <w:t>Etre établie dans des locaux répondant à des conditions de sécurité, d’hygiène et de salubrité.</w:t>
      </w:r>
    </w:p>
    <w:p>
      <w:pPr>
        <w:numPr>
          <w:ilvl w:val="0"/>
          <w:numId w:val="24"/>
        </w:numPr>
        <w:spacing w:before="60"/>
        <w:ind w:left="1259" w:hanging="357"/>
        <w:jc w:val="both"/>
      </w:pPr>
      <w:r>
        <w:t xml:space="preserve">Disposer du matériel didactique et de l’équipement scolaire répondant aux nécessités pédagogiques (voir également les </w:t>
      </w:r>
      <w:hyperlink w:anchor="_Chapitre_1.1._Objectifs_" w:history="1">
        <w:r>
          <w:rPr>
            <w:rStyle w:val="Lienhypertexte"/>
            <w:color w:val="auto"/>
          </w:rPr>
          <w:t>chapitres 1.1</w:t>
        </w:r>
      </w:hyperlink>
      <w:r>
        <w:t xml:space="preserve">. et </w:t>
      </w:r>
      <w:hyperlink w:anchor="_Chapitre_1.2._Ecole_" w:history="1">
        <w:r>
          <w:rPr>
            <w:rStyle w:val="Lienhypertexte"/>
            <w:color w:val="auto"/>
          </w:rPr>
          <w:t>1.2.</w:t>
        </w:r>
      </w:hyperlink>
      <w:r>
        <w:t>)</w:t>
      </w:r>
    </w:p>
    <w:p>
      <w:pPr>
        <w:numPr>
          <w:ilvl w:val="0"/>
          <w:numId w:val="24"/>
        </w:numPr>
        <w:spacing w:before="60"/>
        <w:ind w:left="1259" w:hanging="357"/>
        <w:jc w:val="both"/>
      </w:pPr>
      <w:r>
        <w:t>Former un ensemble pédagogique situé dans un même complexe de bâtiments ou, en tout cas, dans une même commune ou agglomération, le tout sauf dérogation accordée par le Gouvernement dans des cas exceptionnels.</w:t>
      </w:r>
    </w:p>
    <w:p>
      <w:pPr>
        <w:spacing w:before="60"/>
        <w:ind w:left="1259"/>
        <w:jc w:val="both"/>
      </w:pPr>
      <w:r>
        <w:t xml:space="preserve">L’obligation d’être situé dans une même commune ou agglomération n’est pas imposée à un ensemble pédagogique placé sous la direction d’un même chef d’établissement et issu d’une fusion ou d’une restructuration d’écoles dûment autorisée par le Gouvernement. </w:t>
      </w:r>
    </w:p>
    <w:p>
      <w:pPr>
        <w:numPr>
          <w:ilvl w:val="0"/>
          <w:numId w:val="24"/>
        </w:numPr>
        <w:spacing w:before="60"/>
        <w:ind w:left="1259" w:hanging="357"/>
        <w:jc w:val="both"/>
      </w:pPr>
      <w:r>
        <w:t>Disposer d’un personnel susceptible de ne pas mettre en danger la santé des élèves (voir à ce sujet l’article 28 de la Loi du 29/05/1959 modifiant certaines dispositions de la législation de l’enseignement).</w:t>
      </w:r>
    </w:p>
    <w:p>
      <w:pPr>
        <w:numPr>
          <w:ilvl w:val="0"/>
          <w:numId w:val="24"/>
        </w:numPr>
        <w:spacing w:before="60"/>
        <w:ind w:left="1258" w:hanging="357"/>
        <w:jc w:val="both"/>
      </w:pPr>
      <w:r>
        <w:t xml:space="preserve">Se soumettre au régime des congés tel qu’il est organisé par application de l’article 7 de </w:t>
      </w:r>
      <w:smartTag w:uri="urn:schemas-microsoft-com:office:smarttags" w:element="PersonName">
        <w:smartTagPr>
          <w:attr w:name="ProductID" w:val="la Loi"/>
        </w:smartTagPr>
        <w:r>
          <w:t>la Loi</w:t>
        </w:r>
      </w:smartTag>
      <w:r>
        <w:t xml:space="preserve"> du 29/05/1959.</w:t>
      </w:r>
    </w:p>
    <w:p>
      <w:pPr>
        <w:ind w:left="901"/>
        <w:jc w:val="both"/>
        <w:rPr>
          <w:szCs w:val="22"/>
        </w:rPr>
      </w:pPr>
    </w:p>
    <w:p>
      <w:pPr>
        <w:ind w:left="901"/>
        <w:jc w:val="both"/>
        <w:rPr>
          <w:i/>
          <w:iCs/>
        </w:rPr>
      </w:pPr>
      <w:r>
        <w:rPr>
          <w:i/>
          <w:iCs/>
        </w:rPr>
        <w:t xml:space="preserve">Une dérogation à la condition de distance d’au moins </w:t>
      </w:r>
      <w:smartTag w:uri="urn:schemas-microsoft-com:office:smarttags" w:element="metricconverter">
        <w:smartTagPr>
          <w:attr w:name="ProductID" w:val="2 km"/>
        </w:smartTagPr>
        <w:r>
          <w:rPr>
            <w:i/>
            <w:iCs/>
          </w:rPr>
          <w:t>2 km</w:t>
        </w:r>
      </w:smartTag>
      <w:r>
        <w:rPr>
          <w:i/>
          <w:iCs/>
        </w:rPr>
        <w:t xml:space="preserve"> peut être accordée par le Gouvernement, lorsque les écoles et implantations existantes sur le territoire de la commune sont dans l’impossibilité d’accueillir des élèves supplémentaires et qu’au moins une des 2 conditions suivantes est remplie: </w:t>
      </w:r>
    </w:p>
    <w:p>
      <w:pPr>
        <w:numPr>
          <w:ilvl w:val="0"/>
          <w:numId w:val="80"/>
        </w:numPr>
        <w:tabs>
          <w:tab w:val="clear" w:pos="1623"/>
          <w:tab w:val="left" w:pos="1620"/>
        </w:tabs>
        <w:spacing w:before="60"/>
        <w:ind w:left="1619"/>
        <w:jc w:val="both"/>
        <w:rPr>
          <w:i/>
          <w:iCs/>
          <w:spacing w:val="-2"/>
        </w:rPr>
      </w:pPr>
      <w:r>
        <w:rPr>
          <w:i/>
          <w:iCs/>
          <w:spacing w:val="-2"/>
        </w:rPr>
        <w:t xml:space="preserve">La </w:t>
      </w:r>
      <w:r>
        <w:rPr>
          <w:i/>
          <w:iCs/>
          <w:spacing w:val="-2"/>
          <w:u w:val="single"/>
        </w:rPr>
        <w:t>population scolaire maternelle et primaire totale</w:t>
      </w:r>
      <w:r>
        <w:rPr>
          <w:i/>
          <w:iCs/>
          <w:spacing w:val="-2"/>
        </w:rPr>
        <w:t xml:space="preserve"> de l’ensemble des écoles situées sur le territoire de la commune, tous réseaux confondus, a augmenté d’au moins 10%, au moment de la demande de dérogation, par rapport à la situation au 15 janvier 5 ans auparavant, et la croissance de cette population scolaire a été maintenue de manière continue au cours des 3 années scolaires précédant la demande. </w:t>
      </w:r>
    </w:p>
    <w:p>
      <w:pPr>
        <w:numPr>
          <w:ilvl w:val="0"/>
          <w:numId w:val="80"/>
        </w:numPr>
        <w:tabs>
          <w:tab w:val="clear" w:pos="1623"/>
          <w:tab w:val="left" w:pos="1620"/>
        </w:tabs>
        <w:spacing w:before="60"/>
        <w:ind w:left="1619"/>
        <w:jc w:val="both"/>
        <w:rPr>
          <w:i/>
          <w:iCs/>
        </w:rPr>
      </w:pPr>
      <w:r>
        <w:rPr>
          <w:i/>
          <w:iCs/>
        </w:rPr>
        <w:t xml:space="preserve">La </w:t>
      </w:r>
      <w:r>
        <w:rPr>
          <w:i/>
          <w:iCs/>
          <w:u w:val="single"/>
        </w:rPr>
        <w:t>population totale</w:t>
      </w:r>
      <w:r>
        <w:rPr>
          <w:i/>
          <w:iCs/>
        </w:rPr>
        <w:t xml:space="preserve"> de la commune a augmenté d’au moins 15%,</w:t>
      </w:r>
      <w:r>
        <w:rPr>
          <w:i/>
          <w:iCs/>
          <w:spacing w:val="-2"/>
        </w:rPr>
        <w:t xml:space="preserve"> au moment de la demande de dérogation,</w:t>
      </w:r>
      <w:r>
        <w:rPr>
          <w:i/>
          <w:iCs/>
        </w:rPr>
        <w:t xml:space="preserve"> par rapport à la situation 10 ans auparavant.</w:t>
      </w:r>
    </w:p>
    <w:p>
      <w:pPr>
        <w:ind w:left="1258"/>
        <w:jc w:val="both"/>
        <w:rPr>
          <w:i/>
          <w:iCs/>
          <w:sz w:val="8"/>
          <w:szCs w:val="8"/>
        </w:rPr>
      </w:pPr>
    </w:p>
    <w:p>
      <w:pPr>
        <w:tabs>
          <w:tab w:val="left" w:pos="1620"/>
        </w:tabs>
        <w:ind w:left="901"/>
        <w:jc w:val="both"/>
        <w:rPr>
          <w:i/>
          <w:iCs/>
        </w:rPr>
      </w:pPr>
      <w:r>
        <w:rPr>
          <w:i/>
          <w:iCs/>
        </w:rPr>
        <w:t>La demande de dérogation, dûment motivée, sera introduite en même temps que l’</w:t>
      </w:r>
      <w:hyperlink w:anchor="Annexe_31A" w:history="1">
        <w:r>
          <w:rPr>
            <w:rStyle w:val="Lienhypertexte"/>
            <w:i/>
            <w:iCs/>
            <w:color w:val="auto"/>
          </w:rPr>
          <w:t>annexe 3.1.</w:t>
        </w:r>
      </w:hyperlink>
      <w:r>
        <w:rPr>
          <w:i/>
          <w:iCs/>
          <w:u w:val="single"/>
        </w:rPr>
        <w:t>A</w:t>
      </w:r>
      <w:r>
        <w:rPr>
          <w:i/>
          <w:iCs/>
        </w:rPr>
        <w:t xml:space="preserve"> (voir </w:t>
      </w:r>
      <w:hyperlink w:anchor="_3.1.3.3._Introduction_de" w:history="1">
        <w:r>
          <w:rPr>
            <w:rStyle w:val="Lienhypertexte"/>
            <w:i/>
            <w:iCs/>
            <w:color w:val="auto"/>
          </w:rPr>
          <w:t>section 3.1.3.3.</w:t>
        </w:r>
      </w:hyperlink>
      <w:r>
        <w:rPr>
          <w:i/>
          <w:iCs/>
        </w:rPr>
        <w:t xml:space="preserve"> ci-après).</w:t>
      </w:r>
    </w:p>
    <w:p>
      <w:pPr>
        <w:tabs>
          <w:tab w:val="left" w:pos="1620"/>
        </w:tabs>
        <w:ind w:left="901"/>
        <w:jc w:val="both"/>
        <w:rPr>
          <w:i/>
          <w:iCs/>
        </w:rPr>
      </w:pPr>
    </w:p>
    <w:p>
      <w:pPr>
        <w:tabs>
          <w:tab w:val="left" w:pos="1620"/>
        </w:tabs>
        <w:ind w:left="901"/>
        <w:jc w:val="both"/>
        <w:rPr>
          <w:i/>
          <w:iCs/>
        </w:rPr>
      </w:pPr>
    </w:p>
    <w:p>
      <w:pPr>
        <w:tabs>
          <w:tab w:val="left" w:pos="1620"/>
        </w:tabs>
        <w:ind w:left="901"/>
        <w:jc w:val="both"/>
        <w:rPr>
          <w:i/>
          <w:iCs/>
        </w:rPr>
      </w:pPr>
    </w:p>
    <w:p>
      <w:pPr>
        <w:tabs>
          <w:tab w:val="left" w:pos="1620"/>
        </w:tabs>
        <w:ind w:left="901"/>
        <w:jc w:val="both"/>
        <w:rPr>
          <w:i/>
          <w:iCs/>
        </w:rPr>
      </w:pPr>
    </w:p>
    <w:p>
      <w:pPr>
        <w:tabs>
          <w:tab w:val="left" w:pos="1620"/>
        </w:tabs>
        <w:ind w:left="901"/>
        <w:jc w:val="both"/>
        <w:rPr>
          <w:i/>
          <w:iCs/>
        </w:rPr>
      </w:pPr>
    </w:p>
    <w:p>
      <w:pPr>
        <w:tabs>
          <w:tab w:val="left" w:pos="1620"/>
        </w:tabs>
        <w:ind w:left="901"/>
        <w:jc w:val="both"/>
        <w:rPr>
          <w:i/>
          <w:iCs/>
        </w:rPr>
      </w:pPr>
    </w:p>
    <w:p>
      <w:pPr>
        <w:tabs>
          <w:tab w:val="left" w:pos="1620"/>
        </w:tabs>
        <w:ind w:left="901"/>
        <w:jc w:val="both"/>
        <w:rPr>
          <w:i/>
          <w:iCs/>
        </w:rPr>
      </w:pPr>
    </w:p>
    <w:p>
      <w:pPr>
        <w:tabs>
          <w:tab w:val="left" w:pos="1620"/>
        </w:tabs>
        <w:ind w:left="901"/>
        <w:jc w:val="both"/>
        <w:rPr>
          <w:i/>
          <w:iCs/>
        </w:rPr>
      </w:pPr>
    </w:p>
    <w:p>
      <w:pPr>
        <w:tabs>
          <w:tab w:val="left" w:pos="1620"/>
        </w:tabs>
        <w:ind w:left="901"/>
        <w:jc w:val="both"/>
        <w:rPr>
          <w:i/>
          <w:iCs/>
        </w:rPr>
      </w:pPr>
    </w:p>
    <w:p>
      <w:pPr>
        <w:tabs>
          <w:tab w:val="left" w:pos="1620"/>
        </w:tabs>
        <w:ind w:left="901"/>
        <w:jc w:val="both"/>
        <w:rPr>
          <w:i/>
          <w:iCs/>
        </w:rPr>
      </w:pPr>
    </w:p>
    <w:p>
      <w:pPr>
        <w:pStyle w:val="Titre4"/>
      </w:pPr>
      <w:bookmarkStart w:id="875" w:name="_3.1.3.2._Les_normes"/>
      <w:bookmarkStart w:id="876" w:name="Section3_1_3_2"/>
      <w:bookmarkStart w:id="877" w:name="_Toc110930722"/>
      <w:bookmarkStart w:id="878" w:name="_Toc165786040"/>
      <w:bookmarkStart w:id="879" w:name="_Toc167618997"/>
      <w:bookmarkStart w:id="880" w:name="_Toc170010417"/>
      <w:bookmarkStart w:id="881" w:name="_Toc172713851"/>
      <w:bookmarkStart w:id="882" w:name="_Toc295932021"/>
      <w:bookmarkStart w:id="883" w:name="_Toc423420040"/>
      <w:bookmarkStart w:id="884" w:name="_Toc450645247"/>
      <w:bookmarkStart w:id="885" w:name="_Toc453942483"/>
      <w:bookmarkStart w:id="886" w:name="_Toc454888100"/>
      <w:bookmarkStart w:id="887" w:name="_Toc486241762"/>
      <w:bookmarkEnd w:id="875"/>
      <w:r>
        <w:t>3.1.3.2.</w:t>
      </w:r>
      <w:bookmarkEnd w:id="876"/>
      <w:r>
        <w:t xml:space="preserve"> Les normes de création (programmation</w:t>
      </w:r>
      <w:bookmarkEnd w:id="877"/>
      <w:bookmarkEnd w:id="878"/>
      <w:bookmarkEnd w:id="879"/>
      <w:bookmarkEnd w:id="880"/>
      <w:bookmarkEnd w:id="881"/>
      <w:bookmarkEnd w:id="882"/>
      <w:r>
        <w:t>)</w:t>
      </w:r>
      <w:bookmarkEnd w:id="883"/>
      <w:bookmarkEnd w:id="884"/>
      <w:bookmarkEnd w:id="885"/>
      <w:bookmarkEnd w:id="886"/>
      <w:bookmarkEnd w:id="887"/>
    </w:p>
    <w:p>
      <w:pPr>
        <w:ind w:left="283"/>
        <w:jc w:val="both"/>
        <w:rPr>
          <w:sz w:val="16"/>
          <w:szCs w:val="16"/>
        </w:rPr>
      </w:pPr>
    </w:p>
    <w:p>
      <w:pPr>
        <w:jc w:val="both"/>
        <w:rPr>
          <w:szCs w:val="22"/>
        </w:rPr>
      </w:pPr>
      <w:r>
        <w:rPr>
          <w:szCs w:val="22"/>
        </w:rPr>
        <w:t>Les normes de création sont une des conditions à remplir pour pouvoir créer une nouvelle école ou une nouvelle implantation. Elles définissent les minima de population à atteindre au 30 septembre de l’année en cours.</w:t>
      </w:r>
    </w:p>
    <w:p>
      <w:pPr>
        <w:jc w:val="both"/>
        <w:rPr>
          <w:sz w:val="16"/>
          <w:szCs w:val="16"/>
        </w:rPr>
      </w:pPr>
    </w:p>
    <w:tbl>
      <w:tblPr>
        <w:tblW w:w="0" w:type="auto"/>
        <w:jc w:val="center"/>
        <w:tblLayout w:type="fixed"/>
        <w:tblCellMar>
          <w:left w:w="120" w:type="dxa"/>
          <w:right w:w="120" w:type="dxa"/>
        </w:tblCellMar>
        <w:tblLook w:val="0000" w:firstRow="0" w:lastRow="0" w:firstColumn="0" w:lastColumn="0" w:noHBand="0" w:noVBand="0"/>
      </w:tblPr>
      <w:tblGrid>
        <w:gridCol w:w="2210"/>
        <w:gridCol w:w="2601"/>
        <w:gridCol w:w="2418"/>
        <w:gridCol w:w="2395"/>
      </w:tblGrid>
      <w:tr>
        <w:trPr>
          <w:cantSplit/>
          <w:trHeight w:val="398"/>
          <w:jc w:val="center"/>
        </w:trPr>
        <w:tc>
          <w:tcPr>
            <w:tcW w:w="9624" w:type="dxa"/>
            <w:gridSpan w:val="4"/>
            <w:tcBorders>
              <w:top w:val="single" w:sz="6" w:space="0" w:color="auto"/>
              <w:left w:val="single" w:sz="6" w:space="0" w:color="auto"/>
              <w:bottom w:val="single" w:sz="6" w:space="0" w:color="auto"/>
              <w:right w:val="single" w:sz="4" w:space="0" w:color="auto"/>
            </w:tcBorders>
            <w:shd w:val="pct10" w:color="auto" w:fill="auto"/>
            <w:vAlign w:val="center"/>
          </w:tcPr>
          <w:p>
            <w:pPr>
              <w:jc w:val="center"/>
              <w:rPr>
                <w:b/>
                <w:szCs w:val="22"/>
              </w:rPr>
            </w:pPr>
            <w:r>
              <w:rPr>
                <w:b/>
                <w:szCs w:val="22"/>
              </w:rPr>
              <w:t>NORMES DE CREATION</w:t>
            </w:r>
          </w:p>
        </w:tc>
      </w:tr>
      <w:tr>
        <w:trPr>
          <w:cantSplit/>
          <w:trHeight w:val="697"/>
          <w:jc w:val="center"/>
        </w:trPr>
        <w:tc>
          <w:tcPr>
            <w:tcW w:w="2210" w:type="dxa"/>
            <w:tcBorders>
              <w:top w:val="single" w:sz="6" w:space="0" w:color="auto"/>
              <w:left w:val="single" w:sz="6" w:space="0" w:color="auto"/>
              <w:bottom w:val="single" w:sz="6" w:space="0" w:color="auto"/>
            </w:tcBorders>
            <w:shd w:val="pct10" w:color="auto" w:fill="auto"/>
            <w:vAlign w:val="center"/>
          </w:tcPr>
          <w:p>
            <w:pPr>
              <w:jc w:val="center"/>
              <w:rPr>
                <w:b/>
                <w:sz w:val="23"/>
                <w:highlight w:val="red"/>
              </w:rPr>
            </w:pPr>
          </w:p>
        </w:tc>
        <w:tc>
          <w:tcPr>
            <w:tcW w:w="2601" w:type="dxa"/>
            <w:tcBorders>
              <w:top w:val="single" w:sz="6" w:space="0" w:color="auto"/>
              <w:left w:val="single" w:sz="6" w:space="0" w:color="auto"/>
              <w:bottom w:val="single" w:sz="6" w:space="0" w:color="auto"/>
            </w:tcBorders>
            <w:shd w:val="pct10" w:color="auto" w:fill="auto"/>
            <w:vAlign w:val="center"/>
          </w:tcPr>
          <w:p>
            <w:pPr>
              <w:jc w:val="center"/>
              <w:rPr>
                <w:b/>
                <w:szCs w:val="22"/>
              </w:rPr>
            </w:pPr>
            <w:r>
              <w:rPr>
                <w:b/>
                <w:szCs w:val="22"/>
              </w:rPr>
              <w:t>Communes de       moins de 75 Hab/km²</w:t>
            </w:r>
          </w:p>
        </w:tc>
        <w:tc>
          <w:tcPr>
            <w:tcW w:w="2418" w:type="dxa"/>
            <w:tcBorders>
              <w:top w:val="single" w:sz="6" w:space="0" w:color="auto"/>
              <w:left w:val="single" w:sz="6" w:space="0" w:color="auto"/>
              <w:bottom w:val="single" w:sz="6" w:space="0" w:color="auto"/>
            </w:tcBorders>
            <w:shd w:val="pct10" w:color="auto" w:fill="auto"/>
            <w:vAlign w:val="center"/>
          </w:tcPr>
          <w:p>
            <w:pPr>
              <w:jc w:val="center"/>
              <w:rPr>
                <w:b/>
                <w:szCs w:val="22"/>
              </w:rPr>
            </w:pPr>
            <w:r>
              <w:rPr>
                <w:b/>
                <w:szCs w:val="22"/>
              </w:rPr>
              <w:t>Communes de        75 à 500 Hab/km²</w:t>
            </w:r>
          </w:p>
        </w:tc>
        <w:tc>
          <w:tcPr>
            <w:tcW w:w="2395" w:type="dxa"/>
            <w:tcBorders>
              <w:top w:val="single" w:sz="6" w:space="0" w:color="auto"/>
              <w:left w:val="single" w:sz="6" w:space="0" w:color="auto"/>
              <w:bottom w:val="single" w:sz="6" w:space="0" w:color="auto"/>
              <w:right w:val="single" w:sz="6" w:space="0" w:color="auto"/>
            </w:tcBorders>
            <w:shd w:val="pct10" w:color="auto" w:fill="auto"/>
            <w:vAlign w:val="center"/>
          </w:tcPr>
          <w:p>
            <w:pPr>
              <w:jc w:val="center"/>
              <w:rPr>
                <w:szCs w:val="22"/>
              </w:rPr>
            </w:pPr>
            <w:r>
              <w:rPr>
                <w:b/>
                <w:szCs w:val="22"/>
              </w:rPr>
              <w:t xml:space="preserve">Communes de </w:t>
            </w:r>
            <w:r>
              <w:rPr>
                <w:b/>
                <w:szCs w:val="22"/>
              </w:rPr>
              <w:br/>
              <w:t>+ de 500 Hab/km²</w:t>
            </w:r>
          </w:p>
        </w:tc>
      </w:tr>
      <w:tr>
        <w:trPr>
          <w:cantSplit/>
          <w:trHeight w:val="1243"/>
          <w:jc w:val="center"/>
        </w:trPr>
        <w:tc>
          <w:tcPr>
            <w:tcW w:w="2210" w:type="dxa"/>
            <w:tcBorders>
              <w:top w:val="single" w:sz="6" w:space="0" w:color="auto"/>
              <w:left w:val="single" w:sz="6" w:space="0" w:color="auto"/>
              <w:bottom w:val="single" w:sz="6" w:space="0" w:color="auto"/>
            </w:tcBorders>
            <w:vAlign w:val="center"/>
          </w:tcPr>
          <w:p>
            <w:pPr>
              <w:jc w:val="center"/>
              <w:rPr>
                <w:szCs w:val="22"/>
              </w:rPr>
            </w:pPr>
            <w:r>
              <w:rPr>
                <w:szCs w:val="22"/>
              </w:rPr>
              <w:t>Année de création</w:t>
            </w:r>
          </w:p>
          <w:p>
            <w:pPr>
              <w:jc w:val="center"/>
              <w:rPr>
                <w:szCs w:val="22"/>
              </w:rPr>
            </w:pPr>
            <w:r>
              <w:rPr>
                <w:szCs w:val="22"/>
              </w:rPr>
              <w:t>2</w:t>
            </w:r>
            <w:r>
              <w:rPr>
                <w:szCs w:val="22"/>
                <w:vertAlign w:val="superscript"/>
              </w:rPr>
              <w:t>ème</w:t>
            </w:r>
            <w:r>
              <w:rPr>
                <w:szCs w:val="22"/>
              </w:rPr>
              <w:t xml:space="preserve"> année</w:t>
            </w:r>
          </w:p>
          <w:p>
            <w:pPr>
              <w:jc w:val="center"/>
              <w:rPr>
                <w:szCs w:val="22"/>
              </w:rPr>
            </w:pPr>
            <w:r>
              <w:rPr>
                <w:szCs w:val="22"/>
              </w:rPr>
              <w:t>3</w:t>
            </w:r>
            <w:r>
              <w:rPr>
                <w:szCs w:val="22"/>
                <w:vertAlign w:val="superscript"/>
              </w:rPr>
              <w:t>ème</w:t>
            </w:r>
            <w:r>
              <w:rPr>
                <w:szCs w:val="22"/>
              </w:rPr>
              <w:t xml:space="preserve"> année</w:t>
            </w:r>
          </w:p>
          <w:p>
            <w:pPr>
              <w:jc w:val="center"/>
              <w:rPr>
                <w:sz w:val="23"/>
                <w:highlight w:val="red"/>
              </w:rPr>
            </w:pPr>
            <w:r>
              <w:rPr>
                <w:szCs w:val="22"/>
              </w:rPr>
              <w:t>4</w:t>
            </w:r>
            <w:r>
              <w:rPr>
                <w:szCs w:val="22"/>
                <w:vertAlign w:val="superscript"/>
              </w:rPr>
              <w:t>ème</w:t>
            </w:r>
            <w:r>
              <w:rPr>
                <w:szCs w:val="22"/>
              </w:rPr>
              <w:t xml:space="preserve"> année</w:t>
            </w:r>
          </w:p>
        </w:tc>
        <w:tc>
          <w:tcPr>
            <w:tcW w:w="2601" w:type="dxa"/>
            <w:tcBorders>
              <w:top w:val="single" w:sz="6" w:space="0" w:color="auto"/>
              <w:left w:val="single" w:sz="6" w:space="0" w:color="auto"/>
              <w:bottom w:val="single" w:sz="6" w:space="0" w:color="auto"/>
            </w:tcBorders>
            <w:vAlign w:val="center"/>
          </w:tcPr>
          <w:p>
            <w:pPr>
              <w:jc w:val="center"/>
              <w:rPr>
                <w:szCs w:val="22"/>
              </w:rPr>
            </w:pPr>
            <w:r>
              <w:rPr>
                <w:szCs w:val="22"/>
              </w:rPr>
              <w:t>25</w:t>
            </w:r>
          </w:p>
          <w:p>
            <w:pPr>
              <w:jc w:val="center"/>
              <w:rPr>
                <w:szCs w:val="22"/>
              </w:rPr>
            </w:pPr>
            <w:r>
              <w:rPr>
                <w:szCs w:val="22"/>
              </w:rPr>
              <w:t>40</w:t>
            </w:r>
          </w:p>
          <w:p>
            <w:pPr>
              <w:jc w:val="center"/>
              <w:rPr>
                <w:szCs w:val="22"/>
              </w:rPr>
            </w:pPr>
            <w:r>
              <w:rPr>
                <w:szCs w:val="22"/>
              </w:rPr>
              <w:t>55</w:t>
            </w:r>
          </w:p>
          <w:p>
            <w:pPr>
              <w:jc w:val="center"/>
              <w:rPr>
                <w:szCs w:val="22"/>
              </w:rPr>
            </w:pPr>
            <w:r>
              <w:rPr>
                <w:szCs w:val="22"/>
              </w:rPr>
              <w:t>70</w:t>
            </w:r>
          </w:p>
        </w:tc>
        <w:tc>
          <w:tcPr>
            <w:tcW w:w="2418" w:type="dxa"/>
            <w:tcBorders>
              <w:top w:val="single" w:sz="6" w:space="0" w:color="auto"/>
              <w:left w:val="single" w:sz="6" w:space="0" w:color="auto"/>
              <w:bottom w:val="single" w:sz="6" w:space="0" w:color="auto"/>
            </w:tcBorders>
            <w:vAlign w:val="center"/>
          </w:tcPr>
          <w:p>
            <w:pPr>
              <w:jc w:val="center"/>
              <w:rPr>
                <w:szCs w:val="22"/>
              </w:rPr>
            </w:pPr>
            <w:r>
              <w:rPr>
                <w:szCs w:val="22"/>
              </w:rPr>
              <w:t>37</w:t>
            </w:r>
          </w:p>
          <w:p>
            <w:pPr>
              <w:jc w:val="center"/>
              <w:rPr>
                <w:szCs w:val="22"/>
              </w:rPr>
            </w:pPr>
            <w:r>
              <w:rPr>
                <w:szCs w:val="22"/>
              </w:rPr>
              <w:t>60</w:t>
            </w:r>
          </w:p>
          <w:p>
            <w:pPr>
              <w:jc w:val="center"/>
              <w:rPr>
                <w:szCs w:val="22"/>
              </w:rPr>
            </w:pPr>
            <w:r>
              <w:rPr>
                <w:szCs w:val="22"/>
              </w:rPr>
              <w:t>82</w:t>
            </w:r>
          </w:p>
          <w:p>
            <w:pPr>
              <w:jc w:val="center"/>
              <w:rPr>
                <w:szCs w:val="22"/>
              </w:rPr>
            </w:pPr>
            <w:r>
              <w:rPr>
                <w:szCs w:val="22"/>
              </w:rPr>
              <w:t>105</w:t>
            </w:r>
          </w:p>
        </w:tc>
        <w:tc>
          <w:tcPr>
            <w:tcW w:w="2395" w:type="dxa"/>
            <w:tcBorders>
              <w:top w:val="single" w:sz="6" w:space="0" w:color="auto"/>
              <w:left w:val="single" w:sz="6" w:space="0" w:color="auto"/>
              <w:bottom w:val="single" w:sz="6" w:space="0" w:color="auto"/>
              <w:right w:val="single" w:sz="6" w:space="0" w:color="auto"/>
            </w:tcBorders>
            <w:vAlign w:val="center"/>
          </w:tcPr>
          <w:p>
            <w:pPr>
              <w:jc w:val="center"/>
              <w:rPr>
                <w:szCs w:val="22"/>
              </w:rPr>
            </w:pPr>
            <w:r>
              <w:rPr>
                <w:szCs w:val="22"/>
              </w:rPr>
              <w:t>50</w:t>
            </w:r>
          </w:p>
          <w:p>
            <w:pPr>
              <w:jc w:val="center"/>
              <w:rPr>
                <w:szCs w:val="22"/>
              </w:rPr>
            </w:pPr>
            <w:r>
              <w:rPr>
                <w:szCs w:val="22"/>
              </w:rPr>
              <w:t>80</w:t>
            </w:r>
          </w:p>
          <w:p>
            <w:pPr>
              <w:jc w:val="center"/>
              <w:rPr>
                <w:szCs w:val="22"/>
              </w:rPr>
            </w:pPr>
            <w:r>
              <w:rPr>
                <w:szCs w:val="22"/>
              </w:rPr>
              <w:t>110</w:t>
            </w:r>
          </w:p>
          <w:p>
            <w:pPr>
              <w:jc w:val="center"/>
              <w:rPr>
                <w:szCs w:val="22"/>
              </w:rPr>
            </w:pPr>
            <w:r>
              <w:rPr>
                <w:szCs w:val="22"/>
              </w:rPr>
              <w:t>140</w:t>
            </w:r>
          </w:p>
        </w:tc>
      </w:tr>
    </w:tbl>
    <w:p>
      <w:pPr>
        <w:jc w:val="both"/>
        <w:rPr>
          <w:sz w:val="16"/>
          <w:szCs w:val="16"/>
        </w:rPr>
      </w:pPr>
    </w:p>
    <w:p>
      <w:pPr>
        <w:jc w:val="both"/>
        <w:rPr>
          <w:b/>
        </w:rPr>
      </w:pPr>
      <w:r>
        <w:rPr>
          <w:b/>
        </w:rPr>
        <w:t>La norme générale de création est la norme de la 4</w:t>
      </w:r>
      <w:r>
        <w:rPr>
          <w:b/>
          <w:vertAlign w:val="superscript"/>
        </w:rPr>
        <w:t>e</w:t>
      </w:r>
      <w:r>
        <w:rPr>
          <w:b/>
        </w:rPr>
        <w:t xml:space="preserve"> année de création.</w:t>
      </w:r>
    </w:p>
    <w:p>
      <w:pPr>
        <w:pStyle w:val="Corpsdetexte"/>
      </w:pPr>
    </w:p>
    <w:p>
      <w:pPr>
        <w:pStyle w:val="Corpsdetexte"/>
      </w:pPr>
      <w:r>
        <w:t>Les minima de population s'entendent, lorsque l'école ou l'implantation est fondamentale, par l'addition des élèves des niveaux maternel et primaire.</w:t>
      </w:r>
    </w:p>
    <w:p>
      <w:pPr>
        <w:jc w:val="both"/>
      </w:pPr>
    </w:p>
    <w:p>
      <w:pPr>
        <w:numPr>
          <w:ilvl w:val="0"/>
          <w:numId w:val="23"/>
        </w:numPr>
        <w:ind w:left="359"/>
        <w:jc w:val="both"/>
        <w:rPr>
          <w:u w:val="single"/>
        </w:rPr>
      </w:pPr>
      <w:r>
        <w:rPr>
          <w:i/>
          <w:u w:val="single"/>
        </w:rPr>
        <w:t xml:space="preserve">Durée de la phase de création (de 4 à 7 ans) </w:t>
      </w:r>
      <w:r>
        <w:rPr>
          <w:u w:val="single"/>
        </w:rPr>
        <w:t>:</w:t>
      </w:r>
    </w:p>
    <w:p>
      <w:pPr>
        <w:pStyle w:val="Retraitcorpsdetexte3"/>
        <w:ind w:left="359"/>
      </w:pPr>
      <w:r>
        <w:rPr>
          <w:i/>
        </w:rPr>
        <w:t xml:space="preserve">maintien de la norme générale de création (70, 105 ou 140 - voir tableau supra) pendant 4 années consécutives. Durant cette période, aucune fusion ni restructuration de l’école ou l’implantation ne peut être réalisée. </w:t>
      </w:r>
    </w:p>
    <w:p>
      <w:pPr>
        <w:pStyle w:val="Retraitcorpsdetexte3"/>
        <w:ind w:left="359"/>
        <w:rPr>
          <w:i/>
        </w:rPr>
      </w:pPr>
    </w:p>
    <w:p>
      <w:pPr>
        <w:pStyle w:val="Retraitcorpsdetexte3"/>
        <w:ind w:left="359"/>
        <w:rPr>
          <w:b/>
          <w:i/>
        </w:rPr>
      </w:pPr>
      <w:r>
        <w:rPr>
          <w:b/>
          <w:i/>
          <w:u w:val="single"/>
        </w:rPr>
        <w:t>Exemple 1 :</w:t>
      </w:r>
      <w:r>
        <w:rPr>
          <w:i/>
        </w:rPr>
        <w:t xml:space="preserve"> l’école atteint la norme générale dès la 1</w:t>
      </w:r>
      <w:r>
        <w:rPr>
          <w:i/>
          <w:vertAlign w:val="superscript"/>
        </w:rPr>
        <w:t>ère</w:t>
      </w:r>
      <w:r>
        <w:rPr>
          <w:i/>
        </w:rPr>
        <w:t xml:space="preserve"> année de création</w:t>
      </w:r>
    </w:p>
    <w:p>
      <w:pPr>
        <w:pStyle w:val="Retraitcorpsdetexte3"/>
        <w:ind w:left="359"/>
        <w:rPr>
          <w:i/>
        </w:rPr>
      </w:pPr>
    </w:p>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0"/>
        <w:gridCol w:w="604"/>
        <w:gridCol w:w="4463"/>
      </w:tblGrid>
      <w:tr>
        <w:tc>
          <w:tcPr>
            <w:tcW w:w="4464" w:type="dxa"/>
            <w:gridSpan w:val="2"/>
            <w:shd w:val="clear" w:color="auto" w:fill="D9D9D9"/>
          </w:tcPr>
          <w:p>
            <w:pPr>
              <w:pStyle w:val="Retraitcorpsdetexte3"/>
              <w:ind w:left="0"/>
              <w:jc w:val="center"/>
              <w:rPr>
                <w:b/>
              </w:rPr>
            </w:pPr>
            <w:r>
              <w:rPr>
                <w:b/>
              </w:rPr>
              <w:t>Normes de création</w:t>
            </w:r>
          </w:p>
          <w:p>
            <w:pPr>
              <w:pStyle w:val="Retraitcorpsdetexte3"/>
              <w:ind w:left="0"/>
              <w:jc w:val="center"/>
              <w:rPr>
                <w:b/>
              </w:rPr>
            </w:pPr>
            <w:r>
              <w:rPr>
                <w:b/>
              </w:rPr>
              <w:t>(+ de 500 hab/km</w:t>
            </w:r>
            <w:r>
              <w:rPr>
                <w:b/>
                <w:vertAlign w:val="superscript"/>
              </w:rPr>
              <w:t>2</w:t>
            </w:r>
            <w:r>
              <w:rPr>
                <w:b/>
              </w:rPr>
              <w:t>)</w:t>
            </w:r>
          </w:p>
        </w:tc>
        <w:tc>
          <w:tcPr>
            <w:tcW w:w="4463" w:type="dxa"/>
            <w:shd w:val="clear" w:color="auto" w:fill="D9D9D9"/>
          </w:tcPr>
          <w:p>
            <w:pPr>
              <w:pStyle w:val="Retraitcorpsdetexte3"/>
              <w:ind w:left="0"/>
              <w:jc w:val="center"/>
              <w:rPr>
                <w:b/>
              </w:rPr>
            </w:pPr>
            <w:r>
              <w:rPr>
                <w:b/>
              </w:rPr>
              <w:t xml:space="preserve">Population de la nouvelle </w:t>
            </w:r>
          </w:p>
          <w:p>
            <w:pPr>
              <w:pStyle w:val="Retraitcorpsdetexte3"/>
              <w:ind w:left="0"/>
              <w:jc w:val="center"/>
              <w:rPr>
                <w:b/>
              </w:rPr>
            </w:pPr>
            <w:r>
              <w:rPr>
                <w:b/>
              </w:rPr>
              <w:t>école au 30/09</w:t>
            </w:r>
          </w:p>
        </w:tc>
      </w:tr>
      <w:tr>
        <w:tc>
          <w:tcPr>
            <w:tcW w:w="3860" w:type="dxa"/>
          </w:tcPr>
          <w:p>
            <w:pPr>
              <w:pStyle w:val="Retraitcorpsdetexte3"/>
              <w:ind w:left="0"/>
            </w:pPr>
            <w:r>
              <w:t>Année de création</w:t>
            </w:r>
          </w:p>
        </w:tc>
        <w:tc>
          <w:tcPr>
            <w:tcW w:w="604" w:type="dxa"/>
          </w:tcPr>
          <w:p>
            <w:pPr>
              <w:pStyle w:val="Retraitcorpsdetexte3"/>
              <w:ind w:left="0"/>
            </w:pPr>
            <w:r>
              <w:t>50</w:t>
            </w:r>
          </w:p>
        </w:tc>
        <w:tc>
          <w:tcPr>
            <w:tcW w:w="4463" w:type="dxa"/>
          </w:tcPr>
          <w:p>
            <w:pPr>
              <w:pStyle w:val="Retraitcorpsdetexte3"/>
              <w:ind w:left="0"/>
              <w:jc w:val="right"/>
              <w:rPr>
                <w:b/>
              </w:rPr>
            </w:pPr>
            <w:r>
              <w:rPr>
                <w:b/>
              </w:rPr>
              <w:t>142</w:t>
            </w:r>
          </w:p>
        </w:tc>
      </w:tr>
      <w:tr>
        <w:tc>
          <w:tcPr>
            <w:tcW w:w="3860" w:type="dxa"/>
          </w:tcPr>
          <w:p>
            <w:pPr>
              <w:pStyle w:val="Retraitcorpsdetexte3"/>
              <w:ind w:left="0"/>
            </w:pPr>
            <w:r>
              <w:t>2</w:t>
            </w:r>
            <w:r>
              <w:rPr>
                <w:vertAlign w:val="superscript"/>
              </w:rPr>
              <w:t>e</w:t>
            </w:r>
            <w:r>
              <w:t xml:space="preserve"> année</w:t>
            </w:r>
          </w:p>
        </w:tc>
        <w:tc>
          <w:tcPr>
            <w:tcW w:w="604" w:type="dxa"/>
          </w:tcPr>
          <w:p>
            <w:pPr>
              <w:pStyle w:val="Retraitcorpsdetexte3"/>
              <w:ind w:left="0"/>
            </w:pPr>
            <w:r>
              <w:t>80</w:t>
            </w:r>
          </w:p>
        </w:tc>
        <w:tc>
          <w:tcPr>
            <w:tcW w:w="4463" w:type="dxa"/>
          </w:tcPr>
          <w:p>
            <w:pPr>
              <w:pStyle w:val="Retraitcorpsdetexte3"/>
              <w:ind w:left="0"/>
              <w:jc w:val="right"/>
              <w:rPr>
                <w:b/>
              </w:rPr>
            </w:pPr>
            <w:r>
              <w:rPr>
                <w:b/>
              </w:rPr>
              <w:t>145</w:t>
            </w:r>
          </w:p>
        </w:tc>
      </w:tr>
      <w:tr>
        <w:tc>
          <w:tcPr>
            <w:tcW w:w="3860" w:type="dxa"/>
          </w:tcPr>
          <w:p>
            <w:pPr>
              <w:pStyle w:val="Retraitcorpsdetexte3"/>
              <w:ind w:left="0"/>
            </w:pPr>
            <w:r>
              <w:t>3</w:t>
            </w:r>
            <w:r>
              <w:rPr>
                <w:vertAlign w:val="superscript"/>
              </w:rPr>
              <w:t>e</w:t>
            </w:r>
            <w:r>
              <w:t xml:space="preserve"> année</w:t>
            </w:r>
          </w:p>
        </w:tc>
        <w:tc>
          <w:tcPr>
            <w:tcW w:w="604" w:type="dxa"/>
          </w:tcPr>
          <w:p>
            <w:pPr>
              <w:pStyle w:val="Retraitcorpsdetexte3"/>
              <w:ind w:left="0"/>
            </w:pPr>
            <w:r>
              <w:t>110</w:t>
            </w:r>
          </w:p>
        </w:tc>
        <w:tc>
          <w:tcPr>
            <w:tcW w:w="4463" w:type="dxa"/>
          </w:tcPr>
          <w:p>
            <w:pPr>
              <w:pStyle w:val="Retraitcorpsdetexte3"/>
              <w:ind w:left="0"/>
              <w:jc w:val="right"/>
              <w:rPr>
                <w:b/>
              </w:rPr>
            </w:pPr>
            <w:r>
              <w:rPr>
                <w:b/>
              </w:rPr>
              <w:t>148</w:t>
            </w:r>
          </w:p>
        </w:tc>
      </w:tr>
      <w:tr>
        <w:tc>
          <w:tcPr>
            <w:tcW w:w="3860" w:type="dxa"/>
          </w:tcPr>
          <w:p>
            <w:pPr>
              <w:pStyle w:val="Retraitcorpsdetexte3"/>
              <w:ind w:left="0"/>
            </w:pPr>
            <w:r>
              <w:t>4</w:t>
            </w:r>
            <w:r>
              <w:rPr>
                <w:vertAlign w:val="superscript"/>
              </w:rPr>
              <w:t>e</w:t>
            </w:r>
            <w:r>
              <w:t xml:space="preserve"> année</w:t>
            </w:r>
          </w:p>
        </w:tc>
        <w:tc>
          <w:tcPr>
            <w:tcW w:w="604" w:type="dxa"/>
          </w:tcPr>
          <w:p>
            <w:pPr>
              <w:pStyle w:val="Retraitcorpsdetexte3"/>
              <w:ind w:left="0"/>
              <w:rPr>
                <w:b/>
              </w:rPr>
            </w:pPr>
            <w:r>
              <w:rPr>
                <w:b/>
              </w:rPr>
              <w:t>140</w:t>
            </w:r>
          </w:p>
        </w:tc>
        <w:tc>
          <w:tcPr>
            <w:tcW w:w="4463" w:type="dxa"/>
          </w:tcPr>
          <w:p>
            <w:pPr>
              <w:pStyle w:val="Retraitcorpsdetexte3"/>
              <w:ind w:left="0"/>
              <w:jc w:val="right"/>
              <w:rPr>
                <w:b/>
              </w:rPr>
            </w:pPr>
            <w:r>
              <w:rPr>
                <w:b/>
              </w:rPr>
              <w:t>141</w:t>
            </w:r>
          </w:p>
        </w:tc>
      </w:tr>
    </w:tbl>
    <w:p>
      <w:pPr>
        <w:pStyle w:val="Retraitcorpsdetexte3"/>
        <w:ind w:left="359"/>
        <w:rPr>
          <w:i/>
        </w:rPr>
      </w:pPr>
    </w:p>
    <w:p>
      <w:pPr>
        <w:pStyle w:val="Retraitcorpsdetexte3"/>
        <w:ind w:left="359"/>
        <w:rPr>
          <w:i/>
        </w:rPr>
      </w:pPr>
      <w:r>
        <w:rPr>
          <w:b/>
          <w:i/>
          <w:u w:val="single"/>
        </w:rPr>
        <w:t>Exemple 2 :</w:t>
      </w:r>
      <w:r>
        <w:rPr>
          <w:i/>
        </w:rPr>
        <w:t xml:space="preserve"> l’école atteint la norme générale, pour la 1</w:t>
      </w:r>
      <w:r>
        <w:rPr>
          <w:i/>
          <w:vertAlign w:val="superscript"/>
        </w:rPr>
        <w:t>ère</w:t>
      </w:r>
      <w:r>
        <w:rPr>
          <w:i/>
        </w:rPr>
        <w:t xml:space="preserve"> fois, à la 4</w:t>
      </w:r>
      <w:r>
        <w:rPr>
          <w:i/>
          <w:vertAlign w:val="superscript"/>
        </w:rPr>
        <w:t>e</w:t>
      </w:r>
      <w:r>
        <w:rPr>
          <w:i/>
        </w:rPr>
        <w:t xml:space="preserve"> année de création</w:t>
      </w:r>
    </w:p>
    <w:p>
      <w:pPr>
        <w:pStyle w:val="Retraitcorpsdetexte3"/>
        <w:ind w:left="359"/>
        <w:rPr>
          <w:i/>
        </w:rPr>
      </w:pPr>
    </w:p>
    <w:tbl>
      <w:tblPr>
        <w:tblW w:w="0" w:type="auto"/>
        <w:tblInd w:w="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0"/>
        <w:gridCol w:w="599"/>
        <w:gridCol w:w="4468"/>
      </w:tblGrid>
      <w:tr>
        <w:tc>
          <w:tcPr>
            <w:tcW w:w="4459" w:type="dxa"/>
            <w:gridSpan w:val="2"/>
            <w:shd w:val="clear" w:color="auto" w:fill="D9D9D9"/>
          </w:tcPr>
          <w:p>
            <w:pPr>
              <w:pStyle w:val="Retraitcorpsdetexte3"/>
              <w:ind w:left="0"/>
              <w:jc w:val="center"/>
              <w:rPr>
                <w:b/>
              </w:rPr>
            </w:pPr>
            <w:r>
              <w:rPr>
                <w:b/>
              </w:rPr>
              <w:t>Normes de création</w:t>
            </w:r>
          </w:p>
          <w:p>
            <w:pPr>
              <w:pStyle w:val="Retraitcorpsdetexte3"/>
              <w:ind w:left="0"/>
              <w:jc w:val="center"/>
              <w:rPr>
                <w:b/>
              </w:rPr>
            </w:pPr>
            <w:r>
              <w:rPr>
                <w:b/>
              </w:rPr>
              <w:t>(+ de 500 hab/km</w:t>
            </w:r>
            <w:r>
              <w:rPr>
                <w:b/>
                <w:vertAlign w:val="superscript"/>
              </w:rPr>
              <w:t>2</w:t>
            </w:r>
            <w:r>
              <w:rPr>
                <w:b/>
              </w:rPr>
              <w:t>)</w:t>
            </w:r>
          </w:p>
        </w:tc>
        <w:tc>
          <w:tcPr>
            <w:tcW w:w="4468" w:type="dxa"/>
            <w:shd w:val="clear" w:color="auto" w:fill="D9D9D9"/>
          </w:tcPr>
          <w:p>
            <w:pPr>
              <w:pStyle w:val="Retraitcorpsdetexte3"/>
              <w:ind w:left="0"/>
              <w:jc w:val="center"/>
              <w:rPr>
                <w:b/>
              </w:rPr>
            </w:pPr>
            <w:r>
              <w:rPr>
                <w:b/>
              </w:rPr>
              <w:t xml:space="preserve">Population de la nouvelle </w:t>
            </w:r>
          </w:p>
          <w:p>
            <w:pPr>
              <w:pStyle w:val="Retraitcorpsdetexte3"/>
              <w:ind w:left="0"/>
              <w:jc w:val="center"/>
            </w:pPr>
            <w:r>
              <w:rPr>
                <w:b/>
              </w:rPr>
              <w:t>école au 30/09</w:t>
            </w:r>
          </w:p>
        </w:tc>
      </w:tr>
      <w:tr>
        <w:tc>
          <w:tcPr>
            <w:tcW w:w="3860" w:type="dxa"/>
          </w:tcPr>
          <w:p>
            <w:pPr>
              <w:pStyle w:val="Retraitcorpsdetexte3"/>
              <w:ind w:left="0"/>
            </w:pPr>
            <w:r>
              <w:t>Année de création</w:t>
            </w:r>
          </w:p>
        </w:tc>
        <w:tc>
          <w:tcPr>
            <w:tcW w:w="599" w:type="dxa"/>
          </w:tcPr>
          <w:p>
            <w:pPr>
              <w:pStyle w:val="Retraitcorpsdetexte3"/>
              <w:ind w:left="0"/>
            </w:pPr>
            <w:r>
              <w:t>50</w:t>
            </w:r>
          </w:p>
        </w:tc>
        <w:tc>
          <w:tcPr>
            <w:tcW w:w="4468" w:type="dxa"/>
          </w:tcPr>
          <w:p>
            <w:pPr>
              <w:pStyle w:val="Retraitcorpsdetexte3"/>
              <w:ind w:left="0"/>
              <w:jc w:val="right"/>
            </w:pPr>
            <w:r>
              <w:t>60</w:t>
            </w:r>
          </w:p>
        </w:tc>
      </w:tr>
      <w:tr>
        <w:tc>
          <w:tcPr>
            <w:tcW w:w="3860" w:type="dxa"/>
          </w:tcPr>
          <w:p>
            <w:pPr>
              <w:pStyle w:val="Retraitcorpsdetexte3"/>
              <w:ind w:left="0"/>
            </w:pPr>
            <w:r>
              <w:t>2</w:t>
            </w:r>
            <w:r>
              <w:rPr>
                <w:vertAlign w:val="superscript"/>
              </w:rPr>
              <w:t>e</w:t>
            </w:r>
            <w:r>
              <w:t xml:space="preserve"> année</w:t>
            </w:r>
          </w:p>
        </w:tc>
        <w:tc>
          <w:tcPr>
            <w:tcW w:w="599" w:type="dxa"/>
          </w:tcPr>
          <w:p>
            <w:pPr>
              <w:pStyle w:val="Retraitcorpsdetexte3"/>
              <w:ind w:left="0"/>
            </w:pPr>
            <w:r>
              <w:t>80</w:t>
            </w:r>
          </w:p>
        </w:tc>
        <w:tc>
          <w:tcPr>
            <w:tcW w:w="4468" w:type="dxa"/>
          </w:tcPr>
          <w:p>
            <w:pPr>
              <w:pStyle w:val="Retraitcorpsdetexte3"/>
              <w:ind w:left="0"/>
              <w:jc w:val="right"/>
            </w:pPr>
            <w:r>
              <w:t>90</w:t>
            </w:r>
          </w:p>
        </w:tc>
      </w:tr>
      <w:tr>
        <w:tc>
          <w:tcPr>
            <w:tcW w:w="3860" w:type="dxa"/>
          </w:tcPr>
          <w:p>
            <w:pPr>
              <w:pStyle w:val="Retraitcorpsdetexte3"/>
              <w:ind w:left="0"/>
            </w:pPr>
            <w:r>
              <w:t>3</w:t>
            </w:r>
            <w:r>
              <w:rPr>
                <w:vertAlign w:val="superscript"/>
              </w:rPr>
              <w:t>e</w:t>
            </w:r>
            <w:r>
              <w:t xml:space="preserve"> année</w:t>
            </w:r>
          </w:p>
        </w:tc>
        <w:tc>
          <w:tcPr>
            <w:tcW w:w="599" w:type="dxa"/>
          </w:tcPr>
          <w:p>
            <w:pPr>
              <w:pStyle w:val="Retraitcorpsdetexte3"/>
              <w:ind w:left="0"/>
            </w:pPr>
            <w:r>
              <w:t>110</w:t>
            </w:r>
          </w:p>
        </w:tc>
        <w:tc>
          <w:tcPr>
            <w:tcW w:w="4468" w:type="dxa"/>
          </w:tcPr>
          <w:p>
            <w:pPr>
              <w:pStyle w:val="Retraitcorpsdetexte3"/>
              <w:ind w:left="0"/>
              <w:jc w:val="right"/>
            </w:pPr>
            <w:r>
              <w:t>120</w:t>
            </w:r>
          </w:p>
        </w:tc>
      </w:tr>
      <w:tr>
        <w:tc>
          <w:tcPr>
            <w:tcW w:w="3860" w:type="dxa"/>
          </w:tcPr>
          <w:p>
            <w:pPr>
              <w:pStyle w:val="Retraitcorpsdetexte3"/>
              <w:ind w:left="0"/>
            </w:pPr>
            <w:r>
              <w:t>4</w:t>
            </w:r>
            <w:r>
              <w:rPr>
                <w:vertAlign w:val="superscript"/>
              </w:rPr>
              <w:t>e</w:t>
            </w:r>
            <w:r>
              <w:t xml:space="preserve"> année</w:t>
            </w:r>
          </w:p>
        </w:tc>
        <w:tc>
          <w:tcPr>
            <w:tcW w:w="599" w:type="dxa"/>
          </w:tcPr>
          <w:p>
            <w:pPr>
              <w:pStyle w:val="Retraitcorpsdetexte3"/>
              <w:ind w:left="0"/>
              <w:rPr>
                <w:b/>
              </w:rPr>
            </w:pPr>
            <w:r>
              <w:rPr>
                <w:b/>
              </w:rPr>
              <w:t>140</w:t>
            </w:r>
          </w:p>
        </w:tc>
        <w:tc>
          <w:tcPr>
            <w:tcW w:w="4468" w:type="dxa"/>
          </w:tcPr>
          <w:p>
            <w:pPr>
              <w:pStyle w:val="Retraitcorpsdetexte3"/>
              <w:ind w:left="0"/>
              <w:jc w:val="right"/>
              <w:rPr>
                <w:b/>
              </w:rPr>
            </w:pPr>
            <w:r>
              <w:rPr>
                <w:b/>
              </w:rPr>
              <w:t>140</w:t>
            </w:r>
          </w:p>
        </w:tc>
      </w:tr>
      <w:tr>
        <w:tc>
          <w:tcPr>
            <w:tcW w:w="3860" w:type="dxa"/>
          </w:tcPr>
          <w:p>
            <w:pPr>
              <w:pStyle w:val="Retraitcorpsdetexte3"/>
              <w:ind w:left="0"/>
            </w:pPr>
            <w:r>
              <w:t>5</w:t>
            </w:r>
            <w:r>
              <w:rPr>
                <w:vertAlign w:val="superscript"/>
              </w:rPr>
              <w:t>e</w:t>
            </w:r>
            <w:r>
              <w:t xml:space="preserve"> année</w:t>
            </w:r>
          </w:p>
        </w:tc>
        <w:tc>
          <w:tcPr>
            <w:tcW w:w="599" w:type="dxa"/>
          </w:tcPr>
          <w:p>
            <w:pPr>
              <w:pStyle w:val="Retraitcorpsdetexte3"/>
              <w:ind w:left="0"/>
              <w:rPr>
                <w:b/>
              </w:rPr>
            </w:pPr>
            <w:r>
              <w:rPr>
                <w:b/>
              </w:rPr>
              <w:t>140</w:t>
            </w:r>
          </w:p>
        </w:tc>
        <w:tc>
          <w:tcPr>
            <w:tcW w:w="4468" w:type="dxa"/>
          </w:tcPr>
          <w:p>
            <w:pPr>
              <w:pStyle w:val="Retraitcorpsdetexte3"/>
              <w:ind w:left="0"/>
              <w:jc w:val="right"/>
              <w:rPr>
                <w:b/>
              </w:rPr>
            </w:pPr>
            <w:r>
              <w:rPr>
                <w:b/>
              </w:rPr>
              <w:t>145</w:t>
            </w:r>
          </w:p>
        </w:tc>
      </w:tr>
      <w:tr>
        <w:tc>
          <w:tcPr>
            <w:tcW w:w="3860" w:type="dxa"/>
          </w:tcPr>
          <w:p>
            <w:pPr>
              <w:pStyle w:val="Retraitcorpsdetexte3"/>
              <w:ind w:left="0"/>
            </w:pPr>
            <w:r>
              <w:t>6</w:t>
            </w:r>
            <w:r>
              <w:rPr>
                <w:vertAlign w:val="superscript"/>
              </w:rPr>
              <w:t>e</w:t>
            </w:r>
            <w:r>
              <w:t xml:space="preserve"> année</w:t>
            </w:r>
          </w:p>
        </w:tc>
        <w:tc>
          <w:tcPr>
            <w:tcW w:w="599" w:type="dxa"/>
          </w:tcPr>
          <w:p>
            <w:pPr>
              <w:pStyle w:val="Retraitcorpsdetexte3"/>
              <w:ind w:left="0"/>
              <w:rPr>
                <w:b/>
              </w:rPr>
            </w:pPr>
            <w:r>
              <w:rPr>
                <w:b/>
              </w:rPr>
              <w:t>140</w:t>
            </w:r>
          </w:p>
        </w:tc>
        <w:tc>
          <w:tcPr>
            <w:tcW w:w="4468" w:type="dxa"/>
          </w:tcPr>
          <w:p>
            <w:pPr>
              <w:pStyle w:val="Retraitcorpsdetexte3"/>
              <w:ind w:left="0"/>
              <w:jc w:val="right"/>
              <w:rPr>
                <w:b/>
              </w:rPr>
            </w:pPr>
            <w:r>
              <w:rPr>
                <w:b/>
              </w:rPr>
              <w:t>148</w:t>
            </w:r>
          </w:p>
        </w:tc>
      </w:tr>
      <w:tr>
        <w:tc>
          <w:tcPr>
            <w:tcW w:w="3860" w:type="dxa"/>
          </w:tcPr>
          <w:p>
            <w:pPr>
              <w:pStyle w:val="Retraitcorpsdetexte3"/>
              <w:ind w:left="0"/>
            </w:pPr>
            <w:r>
              <w:t>7</w:t>
            </w:r>
            <w:r>
              <w:rPr>
                <w:vertAlign w:val="superscript"/>
              </w:rPr>
              <w:t>e</w:t>
            </w:r>
            <w:r>
              <w:t xml:space="preserve"> année</w:t>
            </w:r>
          </w:p>
        </w:tc>
        <w:tc>
          <w:tcPr>
            <w:tcW w:w="599" w:type="dxa"/>
          </w:tcPr>
          <w:p>
            <w:pPr>
              <w:pStyle w:val="Retraitcorpsdetexte3"/>
              <w:ind w:left="0"/>
              <w:rPr>
                <w:b/>
              </w:rPr>
            </w:pPr>
            <w:r>
              <w:rPr>
                <w:b/>
              </w:rPr>
              <w:t>140</w:t>
            </w:r>
          </w:p>
        </w:tc>
        <w:tc>
          <w:tcPr>
            <w:tcW w:w="4468" w:type="dxa"/>
          </w:tcPr>
          <w:p>
            <w:pPr>
              <w:pStyle w:val="Retraitcorpsdetexte3"/>
              <w:ind w:left="0"/>
              <w:jc w:val="right"/>
              <w:rPr>
                <w:b/>
              </w:rPr>
            </w:pPr>
            <w:r>
              <w:rPr>
                <w:b/>
              </w:rPr>
              <w:t>142</w:t>
            </w:r>
          </w:p>
        </w:tc>
      </w:tr>
    </w:tbl>
    <w:p>
      <w:pPr>
        <w:pStyle w:val="Retraitcorpsdetexte3"/>
        <w:ind w:left="359"/>
        <w:rPr>
          <w:i/>
        </w:rPr>
      </w:pPr>
    </w:p>
    <w:p>
      <w:pPr>
        <w:pStyle w:val="Retraitcorpsdetexte3"/>
        <w:ind w:left="359"/>
        <w:rPr>
          <w:i/>
          <w:sz w:val="4"/>
          <w:szCs w:val="4"/>
        </w:rPr>
      </w:pPr>
    </w:p>
    <w:p>
      <w:pPr>
        <w:pStyle w:val="Corpsdetexte2"/>
        <w:ind w:left="359"/>
        <w:rPr>
          <w:sz w:val="4"/>
          <w:szCs w:val="4"/>
        </w:rPr>
      </w:pPr>
    </w:p>
    <w:p>
      <w:pPr>
        <w:pStyle w:val="Corpsdetexte2"/>
        <w:numPr>
          <w:ilvl w:val="0"/>
          <w:numId w:val="23"/>
        </w:numPr>
        <w:ind w:left="359"/>
        <w:rPr>
          <w:i/>
        </w:rPr>
      </w:pPr>
      <w:r>
        <w:rPr>
          <w:i/>
        </w:rPr>
        <w:t>L’échelle de traitement du directeur est octroyée:</w:t>
      </w:r>
    </w:p>
    <w:p>
      <w:pPr>
        <w:pStyle w:val="Corpsdetexte2"/>
        <w:ind w:left="359"/>
      </w:pPr>
      <w:r>
        <w:t>à partir du 1er octobre de l'année pendant laquelle la population scolaire atteint, à la date du 30 septembre et pour la 3</w:t>
      </w:r>
      <w:r>
        <w:rPr>
          <w:vertAlign w:val="superscript"/>
        </w:rPr>
        <w:t>e</w:t>
      </w:r>
      <w:r>
        <w:t xml:space="preserve"> fois consécutive, la norme générale de création (donc au plus tôt après 2 ans et 1 mois et au plus tard 5 ans et 1 mois).</w:t>
      </w:r>
    </w:p>
    <w:p>
      <w:pPr>
        <w:pStyle w:val="Titre4"/>
      </w:pPr>
      <w:bookmarkStart w:id="888" w:name="_3.1.3.3._Introduction_de"/>
      <w:bookmarkStart w:id="889" w:name="_Toc110930723"/>
      <w:bookmarkStart w:id="890" w:name="_Toc165786041"/>
      <w:bookmarkStart w:id="891" w:name="_Toc167618998"/>
      <w:bookmarkStart w:id="892" w:name="_Toc170010418"/>
      <w:bookmarkStart w:id="893" w:name="_Toc172713852"/>
      <w:bookmarkStart w:id="894" w:name="_Toc295932022"/>
      <w:bookmarkStart w:id="895" w:name="_Toc423420041"/>
      <w:bookmarkStart w:id="896" w:name="_Toc450645248"/>
      <w:bookmarkStart w:id="897" w:name="_Toc453942484"/>
      <w:bookmarkStart w:id="898" w:name="_Toc454888101"/>
      <w:bookmarkStart w:id="899" w:name="_Toc486241763"/>
      <w:bookmarkEnd w:id="888"/>
      <w:r>
        <w:t>3.1.3.3. Introduction de la demande</w:t>
      </w:r>
      <w:bookmarkEnd w:id="889"/>
      <w:bookmarkEnd w:id="890"/>
      <w:bookmarkEnd w:id="891"/>
      <w:bookmarkEnd w:id="892"/>
      <w:bookmarkEnd w:id="893"/>
      <w:bookmarkEnd w:id="894"/>
      <w:bookmarkEnd w:id="895"/>
      <w:bookmarkEnd w:id="896"/>
      <w:bookmarkEnd w:id="897"/>
      <w:bookmarkEnd w:id="898"/>
      <w:bookmarkEnd w:id="899"/>
    </w:p>
    <w:p>
      <w:pPr>
        <w:jc w:val="both"/>
        <w:rPr>
          <w:sz w:val="16"/>
          <w:szCs w:val="16"/>
        </w:rPr>
      </w:pPr>
    </w:p>
    <w:p>
      <w:pPr>
        <w:jc w:val="both"/>
        <w:rPr>
          <w:szCs w:val="22"/>
        </w:rPr>
      </w:pPr>
      <w:r>
        <w:rPr>
          <w:szCs w:val="22"/>
        </w:rPr>
        <w:t xml:space="preserve">Le formulaire de première demande d’admission aux subventions est disponible dans la </w:t>
      </w:r>
      <w:hyperlink r:id="rId97" w:history="1">
        <w:r>
          <w:rPr>
            <w:rStyle w:val="Lienhypertexte"/>
            <w:color w:val="auto"/>
            <w:szCs w:val="22"/>
          </w:rPr>
          <w:t>circulaire n° 5997 du 21/12/2016</w:t>
        </w:r>
      </w:hyperlink>
      <w:r>
        <w:rPr>
          <w:szCs w:val="22"/>
        </w:rPr>
        <w:t xml:space="preserve">. </w:t>
      </w:r>
    </w:p>
    <w:p>
      <w:pPr>
        <w:jc w:val="both"/>
        <w:rPr>
          <w:szCs w:val="22"/>
        </w:rPr>
      </w:pPr>
    </w:p>
    <w:p>
      <w:pPr>
        <w:pStyle w:val="Titre4"/>
      </w:pPr>
      <w:bookmarkStart w:id="900" w:name="_Toc110930724"/>
      <w:bookmarkStart w:id="901" w:name="_Toc165786042"/>
      <w:bookmarkStart w:id="902" w:name="_Toc167618999"/>
      <w:bookmarkStart w:id="903" w:name="_Toc170010419"/>
      <w:bookmarkStart w:id="904" w:name="_Toc172713853"/>
      <w:bookmarkStart w:id="905" w:name="_Toc295932023"/>
      <w:bookmarkStart w:id="906" w:name="_Toc423420042"/>
      <w:bookmarkStart w:id="907" w:name="_Toc450645249"/>
      <w:bookmarkStart w:id="908" w:name="_Toc453942485"/>
      <w:bookmarkStart w:id="909" w:name="_Toc454888102"/>
      <w:bookmarkStart w:id="910" w:name="_Toc486241764"/>
      <w:r>
        <w:t>3.1.3.4. Promotion de l’école fondamentale</w:t>
      </w:r>
      <w:bookmarkEnd w:id="900"/>
      <w:bookmarkEnd w:id="901"/>
      <w:bookmarkEnd w:id="902"/>
      <w:bookmarkEnd w:id="903"/>
      <w:bookmarkEnd w:id="904"/>
      <w:bookmarkEnd w:id="905"/>
      <w:bookmarkEnd w:id="906"/>
      <w:bookmarkEnd w:id="907"/>
      <w:bookmarkEnd w:id="908"/>
      <w:bookmarkEnd w:id="909"/>
      <w:bookmarkEnd w:id="910"/>
    </w:p>
    <w:p>
      <w:pPr>
        <w:jc w:val="both"/>
        <w:rPr>
          <w:sz w:val="16"/>
          <w:szCs w:val="16"/>
        </w:rPr>
      </w:pPr>
    </w:p>
    <w:p>
      <w:pPr>
        <w:pStyle w:val="Corpsdetexte3"/>
        <w:rPr>
          <w:b w:val="0"/>
        </w:rPr>
      </w:pPr>
      <w:r>
        <w:rPr>
          <w:b w:val="0"/>
        </w:rPr>
        <w:t xml:space="preserve">Toute école ou implantation maternelle ou primaire peut devenir une école ou implantation fondamentale à condition d’atteindre à la date du 30 septembre les normes de rationalisation à 100% (par école, implantation et niveaux: </w:t>
      </w:r>
      <w:hyperlink w:anchor="_3.1.2.1.__Normes" w:history="1">
        <w:r>
          <w:rPr>
            <w:rStyle w:val="Lienhypertexte"/>
            <w:b w:val="0"/>
            <w:color w:val="auto"/>
          </w:rPr>
          <w:t>voir section 3.1.2.1.</w:t>
        </w:r>
      </w:hyperlink>
      <w:r>
        <w:rPr>
          <w:b w:val="0"/>
        </w:rPr>
        <w:t>).</w:t>
      </w:r>
    </w:p>
    <w:p>
      <w:pPr>
        <w:pStyle w:val="Titre3"/>
        <w:rPr>
          <w:spacing w:val="-8"/>
        </w:rPr>
      </w:pPr>
      <w:bookmarkStart w:id="911" w:name="_3.1.4._Densités_de"/>
      <w:bookmarkEnd w:id="911"/>
      <w:r>
        <w:br w:type="page"/>
      </w:r>
      <w:bookmarkStart w:id="912" w:name="section3_1_4"/>
      <w:bookmarkStart w:id="913" w:name="_Toc295932024"/>
      <w:bookmarkStart w:id="914" w:name="_Toc295913756"/>
      <w:bookmarkStart w:id="915" w:name="_Toc423420043"/>
      <w:bookmarkStart w:id="916" w:name="_Toc450645250"/>
      <w:bookmarkStart w:id="917" w:name="_Toc453942486"/>
      <w:bookmarkStart w:id="918" w:name="_Toc454888103"/>
      <w:bookmarkStart w:id="919" w:name="_Toc486241765"/>
      <w:r>
        <w:t xml:space="preserve">3.1.4. </w:t>
      </w:r>
      <w:bookmarkEnd w:id="912"/>
      <w:r>
        <w:t>Densités de population par commune</w:t>
      </w:r>
      <w:r>
        <w:rPr>
          <w:u w:val="none"/>
        </w:rPr>
        <w:t xml:space="preserve"> </w:t>
      </w:r>
      <w:r>
        <w:rPr>
          <w:spacing w:val="-8"/>
          <w:u w:val="none"/>
        </w:rPr>
        <w:t>(01/01/2015)</w:t>
      </w:r>
      <w:bookmarkEnd w:id="913"/>
      <w:bookmarkEnd w:id="914"/>
      <w:bookmarkEnd w:id="915"/>
      <w:bookmarkEnd w:id="916"/>
      <w:bookmarkEnd w:id="917"/>
      <w:bookmarkEnd w:id="918"/>
      <w:bookmarkEnd w:id="919"/>
    </w:p>
    <w:p>
      <w:pPr>
        <w:ind w:left="1439" w:hanging="1440"/>
        <w:jc w:val="both"/>
        <w:rPr>
          <w:sz w:val="18"/>
        </w:rPr>
      </w:pP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0"/>
        <w:gridCol w:w="1153"/>
        <w:gridCol w:w="2909"/>
        <w:gridCol w:w="1260"/>
      </w:tblGrid>
      <w:tr>
        <w:trPr>
          <w:trHeight w:val="662"/>
          <w:tblHeader/>
          <w:jc w:val="center"/>
        </w:trPr>
        <w:tc>
          <w:tcPr>
            <w:tcW w:w="2990" w:type="dxa"/>
            <w:tcBorders>
              <w:left w:val="single" w:sz="4" w:space="0" w:color="auto"/>
            </w:tcBorders>
            <w:vAlign w:val="center"/>
          </w:tcPr>
          <w:p>
            <w:pPr>
              <w:jc w:val="center"/>
              <w:rPr>
                <w:rFonts w:eastAsia="Arial Unicode MS" w:cs="Arial"/>
                <w:b/>
                <w:sz w:val="20"/>
                <w:szCs w:val="20"/>
              </w:rPr>
            </w:pPr>
            <w:r>
              <w:rPr>
                <w:rFonts w:cs="Arial"/>
                <w:b/>
                <w:sz w:val="20"/>
                <w:szCs w:val="20"/>
              </w:rPr>
              <w:t>COMMUNE</w:t>
            </w:r>
          </w:p>
        </w:tc>
        <w:tc>
          <w:tcPr>
            <w:tcW w:w="1153" w:type="dxa"/>
            <w:vAlign w:val="center"/>
          </w:tcPr>
          <w:p>
            <w:pPr>
              <w:jc w:val="center"/>
              <w:rPr>
                <w:rFonts w:eastAsia="Arial Unicode MS" w:cs="Arial"/>
                <w:b/>
                <w:sz w:val="20"/>
                <w:szCs w:val="20"/>
              </w:rPr>
            </w:pPr>
            <w:r>
              <w:rPr>
                <w:rFonts w:cs="Arial"/>
                <w:b/>
                <w:sz w:val="20"/>
                <w:szCs w:val="20"/>
              </w:rPr>
              <w:t>DENSITÉ</w:t>
            </w:r>
            <w:r>
              <w:rPr>
                <w:rFonts w:cs="Arial"/>
                <w:b/>
                <w:sz w:val="20"/>
                <w:szCs w:val="20"/>
              </w:rPr>
              <w:br/>
              <w:t>01/01/2015</w:t>
            </w:r>
          </w:p>
        </w:tc>
        <w:tc>
          <w:tcPr>
            <w:tcW w:w="2909" w:type="dxa"/>
            <w:vAlign w:val="center"/>
          </w:tcPr>
          <w:p>
            <w:pPr>
              <w:jc w:val="center"/>
              <w:rPr>
                <w:rFonts w:cs="Arial"/>
                <w:b/>
                <w:sz w:val="20"/>
                <w:szCs w:val="20"/>
              </w:rPr>
            </w:pPr>
            <w:r>
              <w:rPr>
                <w:rFonts w:cs="Arial"/>
                <w:b/>
                <w:sz w:val="20"/>
                <w:szCs w:val="20"/>
              </w:rPr>
              <w:t>COMMUNE</w:t>
            </w:r>
          </w:p>
        </w:tc>
        <w:tc>
          <w:tcPr>
            <w:tcW w:w="1260" w:type="dxa"/>
            <w:vAlign w:val="center"/>
          </w:tcPr>
          <w:p>
            <w:pPr>
              <w:jc w:val="center"/>
              <w:rPr>
                <w:rFonts w:cs="Arial"/>
                <w:b/>
                <w:sz w:val="20"/>
                <w:szCs w:val="20"/>
              </w:rPr>
            </w:pPr>
            <w:r>
              <w:rPr>
                <w:rFonts w:cs="Arial"/>
                <w:b/>
                <w:sz w:val="20"/>
                <w:szCs w:val="20"/>
              </w:rPr>
              <w:t>DENSITÉ</w:t>
            </w:r>
            <w:r>
              <w:rPr>
                <w:rFonts w:cs="Arial"/>
                <w:b/>
                <w:sz w:val="20"/>
                <w:szCs w:val="20"/>
              </w:rPr>
              <w:br/>
              <w:t>01/01/2015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AISEAU-PRESLES</w:t>
            </w:r>
          </w:p>
        </w:tc>
        <w:tc>
          <w:tcPr>
            <w:tcW w:w="1153" w:type="dxa"/>
          </w:tcPr>
          <w:p>
            <w:pPr>
              <w:rPr>
                <w:sz w:val="20"/>
                <w:szCs w:val="20"/>
              </w:rPr>
            </w:pPr>
            <w:r>
              <w:rPr>
                <w:sz w:val="20"/>
                <w:szCs w:val="20"/>
              </w:rPr>
              <w:t>487</w:t>
            </w:r>
          </w:p>
        </w:tc>
        <w:tc>
          <w:tcPr>
            <w:tcW w:w="2909" w:type="dxa"/>
            <w:vAlign w:val="center"/>
          </w:tcPr>
          <w:p>
            <w:pPr>
              <w:ind w:left="110"/>
              <w:rPr>
                <w:rFonts w:eastAsia="Arial Unicode MS" w:cs="Arial"/>
                <w:sz w:val="20"/>
                <w:szCs w:val="20"/>
                <w:lang w:val="en-GB"/>
              </w:rPr>
            </w:pPr>
            <w:r>
              <w:rPr>
                <w:rFonts w:cs="Arial"/>
                <w:sz w:val="20"/>
                <w:szCs w:val="20"/>
                <w:lang w:val="en-GB"/>
              </w:rPr>
              <w:t>CHAUMONT-GISTOUX</w:t>
            </w:r>
          </w:p>
        </w:tc>
        <w:tc>
          <w:tcPr>
            <w:tcW w:w="1260" w:type="dxa"/>
          </w:tcPr>
          <w:p>
            <w:pPr>
              <w:rPr>
                <w:sz w:val="20"/>
                <w:szCs w:val="20"/>
              </w:rPr>
            </w:pPr>
            <w:r>
              <w:rPr>
                <w:sz w:val="20"/>
                <w:szCs w:val="20"/>
              </w:rPr>
              <w:t>244</w:t>
            </w:r>
          </w:p>
        </w:tc>
      </w:tr>
      <w:tr>
        <w:trPr>
          <w:trHeight w:val="227"/>
          <w:jc w:val="center"/>
        </w:trPr>
        <w:tc>
          <w:tcPr>
            <w:tcW w:w="2990" w:type="dxa"/>
            <w:tcBorders>
              <w:left w:val="single" w:sz="4" w:space="0" w:color="auto"/>
            </w:tcBorders>
            <w:vAlign w:val="center"/>
          </w:tcPr>
          <w:p>
            <w:pPr>
              <w:pStyle w:val="Notedebasdepage"/>
              <w:ind w:left="98"/>
              <w:rPr>
                <w:rFonts w:eastAsia="Arial Unicode MS" w:cs="Arial"/>
                <w:lang w:val="en-GB"/>
              </w:rPr>
            </w:pPr>
            <w:r>
              <w:rPr>
                <w:rFonts w:cs="Arial"/>
                <w:lang w:val="en-GB"/>
              </w:rPr>
              <w:t>AMAY</w:t>
            </w:r>
          </w:p>
        </w:tc>
        <w:tc>
          <w:tcPr>
            <w:tcW w:w="1153" w:type="dxa"/>
          </w:tcPr>
          <w:p>
            <w:pPr>
              <w:rPr>
                <w:sz w:val="20"/>
                <w:szCs w:val="20"/>
              </w:rPr>
            </w:pPr>
            <w:r>
              <w:rPr>
                <w:sz w:val="20"/>
                <w:szCs w:val="20"/>
              </w:rPr>
              <w:t>511</w:t>
            </w:r>
          </w:p>
        </w:tc>
        <w:tc>
          <w:tcPr>
            <w:tcW w:w="2909" w:type="dxa"/>
            <w:vAlign w:val="center"/>
          </w:tcPr>
          <w:p>
            <w:pPr>
              <w:ind w:left="110"/>
              <w:rPr>
                <w:rFonts w:eastAsia="Arial Unicode MS" w:cs="Arial"/>
                <w:sz w:val="20"/>
                <w:szCs w:val="20"/>
                <w:lang w:val="en-GB"/>
              </w:rPr>
            </w:pPr>
            <w:r>
              <w:rPr>
                <w:rFonts w:cs="Arial"/>
                <w:sz w:val="20"/>
                <w:szCs w:val="20"/>
                <w:lang w:val="en-GB"/>
              </w:rPr>
              <w:t>CHIEVRES</w:t>
            </w:r>
          </w:p>
        </w:tc>
        <w:tc>
          <w:tcPr>
            <w:tcW w:w="1260" w:type="dxa"/>
          </w:tcPr>
          <w:p>
            <w:pPr>
              <w:rPr>
                <w:sz w:val="20"/>
                <w:szCs w:val="20"/>
              </w:rPr>
            </w:pPr>
            <w:r>
              <w:rPr>
                <w:sz w:val="20"/>
                <w:szCs w:val="20"/>
              </w:rPr>
              <w:t>146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ANDENNE</w:t>
            </w:r>
          </w:p>
        </w:tc>
        <w:tc>
          <w:tcPr>
            <w:tcW w:w="1153" w:type="dxa"/>
          </w:tcPr>
          <w:p>
            <w:pPr>
              <w:rPr>
                <w:sz w:val="20"/>
                <w:szCs w:val="20"/>
              </w:rPr>
            </w:pPr>
            <w:r>
              <w:rPr>
                <w:sz w:val="20"/>
                <w:szCs w:val="20"/>
              </w:rPr>
              <w:t>303</w:t>
            </w:r>
          </w:p>
        </w:tc>
        <w:tc>
          <w:tcPr>
            <w:tcW w:w="2909" w:type="dxa"/>
            <w:vAlign w:val="center"/>
          </w:tcPr>
          <w:p>
            <w:pPr>
              <w:ind w:left="110"/>
              <w:rPr>
                <w:rFonts w:eastAsia="Arial Unicode MS" w:cs="Arial"/>
                <w:sz w:val="20"/>
                <w:szCs w:val="20"/>
                <w:lang w:val="en-GB"/>
              </w:rPr>
            </w:pPr>
            <w:r>
              <w:rPr>
                <w:rFonts w:cs="Arial"/>
                <w:sz w:val="20"/>
                <w:szCs w:val="20"/>
                <w:lang w:val="en-GB"/>
              </w:rPr>
              <w:t>CHIMAY</w:t>
            </w:r>
          </w:p>
        </w:tc>
        <w:tc>
          <w:tcPr>
            <w:tcW w:w="1260" w:type="dxa"/>
          </w:tcPr>
          <w:p>
            <w:pPr>
              <w:rPr>
                <w:sz w:val="20"/>
                <w:szCs w:val="20"/>
              </w:rPr>
            </w:pPr>
            <w:r>
              <w:rPr>
                <w:sz w:val="20"/>
                <w:szCs w:val="20"/>
              </w:rPr>
              <w:t>50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ANDERLECHT</w:t>
            </w:r>
          </w:p>
        </w:tc>
        <w:tc>
          <w:tcPr>
            <w:tcW w:w="1153" w:type="dxa"/>
          </w:tcPr>
          <w:p>
            <w:pPr>
              <w:rPr>
                <w:sz w:val="20"/>
                <w:szCs w:val="20"/>
              </w:rPr>
            </w:pPr>
            <w:r>
              <w:rPr>
                <w:sz w:val="20"/>
                <w:szCs w:val="20"/>
              </w:rPr>
              <w:t>6556</w:t>
            </w:r>
          </w:p>
        </w:tc>
        <w:tc>
          <w:tcPr>
            <w:tcW w:w="2909" w:type="dxa"/>
            <w:vAlign w:val="center"/>
          </w:tcPr>
          <w:p>
            <w:pPr>
              <w:ind w:left="110"/>
              <w:rPr>
                <w:rFonts w:eastAsia="Arial Unicode MS" w:cs="Arial"/>
                <w:sz w:val="20"/>
                <w:szCs w:val="20"/>
                <w:lang w:val="en-GB"/>
              </w:rPr>
            </w:pPr>
            <w:r>
              <w:rPr>
                <w:rFonts w:cs="Arial"/>
                <w:sz w:val="20"/>
                <w:szCs w:val="20"/>
                <w:lang w:val="en-GB"/>
              </w:rPr>
              <w:t>CHINY</w:t>
            </w:r>
          </w:p>
        </w:tc>
        <w:tc>
          <w:tcPr>
            <w:tcW w:w="1260" w:type="dxa"/>
          </w:tcPr>
          <w:p>
            <w:pPr>
              <w:rPr>
                <w:sz w:val="20"/>
                <w:szCs w:val="20"/>
              </w:rPr>
            </w:pPr>
            <w:r>
              <w:rPr>
                <w:sz w:val="20"/>
                <w:szCs w:val="20"/>
              </w:rPr>
              <w:t>46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ANDERLUES</w:t>
            </w:r>
          </w:p>
        </w:tc>
        <w:tc>
          <w:tcPr>
            <w:tcW w:w="1153" w:type="dxa"/>
          </w:tcPr>
          <w:p>
            <w:pPr>
              <w:rPr>
                <w:sz w:val="20"/>
                <w:szCs w:val="20"/>
              </w:rPr>
            </w:pPr>
            <w:r>
              <w:rPr>
                <w:sz w:val="20"/>
                <w:szCs w:val="20"/>
              </w:rPr>
              <w:t>702</w:t>
            </w:r>
          </w:p>
        </w:tc>
        <w:tc>
          <w:tcPr>
            <w:tcW w:w="2909" w:type="dxa"/>
            <w:vAlign w:val="center"/>
          </w:tcPr>
          <w:p>
            <w:pPr>
              <w:ind w:left="110"/>
              <w:rPr>
                <w:rFonts w:eastAsia="Arial Unicode MS" w:cs="Arial"/>
                <w:sz w:val="20"/>
                <w:szCs w:val="20"/>
                <w:lang w:val="en-GB"/>
              </w:rPr>
            </w:pPr>
            <w:r>
              <w:rPr>
                <w:rFonts w:cs="Arial"/>
                <w:sz w:val="20"/>
                <w:szCs w:val="20"/>
                <w:lang w:val="en-GB"/>
              </w:rPr>
              <w:t>CINEY</w:t>
            </w:r>
          </w:p>
        </w:tc>
        <w:tc>
          <w:tcPr>
            <w:tcW w:w="1260" w:type="dxa"/>
          </w:tcPr>
          <w:p>
            <w:pPr>
              <w:rPr>
                <w:sz w:val="20"/>
                <w:szCs w:val="20"/>
              </w:rPr>
            </w:pPr>
            <w:r>
              <w:rPr>
                <w:sz w:val="20"/>
                <w:szCs w:val="20"/>
              </w:rPr>
              <w:t>109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ANHEE</w:t>
            </w:r>
          </w:p>
        </w:tc>
        <w:tc>
          <w:tcPr>
            <w:tcW w:w="1153" w:type="dxa"/>
          </w:tcPr>
          <w:p>
            <w:pPr>
              <w:rPr>
                <w:sz w:val="20"/>
                <w:szCs w:val="20"/>
              </w:rPr>
            </w:pPr>
            <w:r>
              <w:rPr>
                <w:sz w:val="20"/>
                <w:szCs w:val="20"/>
              </w:rPr>
              <w:t>108</w:t>
            </w:r>
          </w:p>
        </w:tc>
        <w:tc>
          <w:tcPr>
            <w:tcW w:w="2909" w:type="dxa"/>
            <w:vAlign w:val="center"/>
          </w:tcPr>
          <w:p>
            <w:pPr>
              <w:ind w:left="110"/>
              <w:rPr>
                <w:rFonts w:eastAsia="Arial Unicode MS" w:cs="Arial"/>
                <w:sz w:val="20"/>
                <w:szCs w:val="20"/>
              </w:rPr>
            </w:pPr>
            <w:r>
              <w:rPr>
                <w:rFonts w:cs="Arial"/>
                <w:sz w:val="20"/>
                <w:szCs w:val="20"/>
              </w:rPr>
              <w:t>CLAVIER</w:t>
            </w:r>
          </w:p>
        </w:tc>
        <w:tc>
          <w:tcPr>
            <w:tcW w:w="1260" w:type="dxa"/>
          </w:tcPr>
          <w:p>
            <w:pPr>
              <w:rPr>
                <w:sz w:val="20"/>
                <w:szCs w:val="20"/>
              </w:rPr>
            </w:pPr>
            <w:r>
              <w:rPr>
                <w:sz w:val="20"/>
                <w:szCs w:val="20"/>
              </w:rPr>
              <w:t>57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ANS</w:t>
            </w:r>
          </w:p>
        </w:tc>
        <w:tc>
          <w:tcPr>
            <w:tcW w:w="1153" w:type="dxa"/>
          </w:tcPr>
          <w:p>
            <w:pPr>
              <w:rPr>
                <w:sz w:val="20"/>
                <w:szCs w:val="20"/>
              </w:rPr>
            </w:pPr>
            <w:r>
              <w:rPr>
                <w:sz w:val="20"/>
                <w:szCs w:val="20"/>
              </w:rPr>
              <w:t>1210</w:t>
            </w:r>
          </w:p>
        </w:tc>
        <w:tc>
          <w:tcPr>
            <w:tcW w:w="2909" w:type="dxa"/>
            <w:vAlign w:val="center"/>
          </w:tcPr>
          <w:p>
            <w:pPr>
              <w:ind w:left="110"/>
              <w:rPr>
                <w:rFonts w:eastAsia="Arial Unicode MS" w:cs="Arial"/>
                <w:sz w:val="20"/>
                <w:szCs w:val="20"/>
              </w:rPr>
            </w:pPr>
            <w:r>
              <w:rPr>
                <w:rFonts w:cs="Arial"/>
                <w:sz w:val="20"/>
                <w:szCs w:val="20"/>
              </w:rPr>
              <w:t>COLFONTAINE</w:t>
            </w:r>
          </w:p>
        </w:tc>
        <w:tc>
          <w:tcPr>
            <w:tcW w:w="1260" w:type="dxa"/>
          </w:tcPr>
          <w:p>
            <w:pPr>
              <w:rPr>
                <w:sz w:val="20"/>
                <w:szCs w:val="20"/>
              </w:rPr>
            </w:pPr>
            <w:r>
              <w:rPr>
                <w:sz w:val="20"/>
                <w:szCs w:val="20"/>
              </w:rPr>
              <w:t>1517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ANTHISNES</w:t>
            </w:r>
          </w:p>
        </w:tc>
        <w:tc>
          <w:tcPr>
            <w:tcW w:w="1153" w:type="dxa"/>
          </w:tcPr>
          <w:p>
            <w:pPr>
              <w:rPr>
                <w:sz w:val="20"/>
                <w:szCs w:val="20"/>
              </w:rPr>
            </w:pPr>
            <w:r>
              <w:rPr>
                <w:sz w:val="20"/>
                <w:szCs w:val="20"/>
              </w:rPr>
              <w:t>111</w:t>
            </w:r>
          </w:p>
        </w:tc>
        <w:tc>
          <w:tcPr>
            <w:tcW w:w="2909" w:type="dxa"/>
            <w:vAlign w:val="center"/>
          </w:tcPr>
          <w:p>
            <w:pPr>
              <w:ind w:left="110"/>
              <w:rPr>
                <w:rFonts w:eastAsia="Arial Unicode MS" w:cs="Arial"/>
                <w:sz w:val="20"/>
                <w:szCs w:val="20"/>
              </w:rPr>
            </w:pPr>
            <w:r>
              <w:rPr>
                <w:rFonts w:cs="Arial"/>
                <w:sz w:val="20"/>
                <w:szCs w:val="20"/>
              </w:rPr>
              <w:t>COMBLAIN-AU-PONT</w:t>
            </w:r>
          </w:p>
        </w:tc>
        <w:tc>
          <w:tcPr>
            <w:tcW w:w="1260" w:type="dxa"/>
          </w:tcPr>
          <w:p>
            <w:pPr>
              <w:rPr>
                <w:sz w:val="20"/>
                <w:szCs w:val="20"/>
              </w:rPr>
            </w:pPr>
            <w:r>
              <w:rPr>
                <w:sz w:val="20"/>
                <w:szCs w:val="20"/>
              </w:rPr>
              <w:t>235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ANTOING</w:t>
            </w:r>
          </w:p>
        </w:tc>
        <w:tc>
          <w:tcPr>
            <w:tcW w:w="1153" w:type="dxa"/>
          </w:tcPr>
          <w:p>
            <w:pPr>
              <w:rPr>
                <w:sz w:val="20"/>
                <w:szCs w:val="20"/>
              </w:rPr>
            </w:pPr>
            <w:r>
              <w:rPr>
                <w:sz w:val="20"/>
                <w:szCs w:val="20"/>
              </w:rPr>
              <w:t>249</w:t>
            </w:r>
          </w:p>
        </w:tc>
        <w:tc>
          <w:tcPr>
            <w:tcW w:w="2909" w:type="dxa"/>
            <w:vAlign w:val="center"/>
          </w:tcPr>
          <w:p>
            <w:pPr>
              <w:ind w:left="110"/>
              <w:rPr>
                <w:rFonts w:eastAsia="Arial Unicode MS" w:cs="Arial"/>
                <w:sz w:val="20"/>
                <w:szCs w:val="20"/>
                <w:lang w:val="en-GB"/>
              </w:rPr>
            </w:pPr>
            <w:r>
              <w:rPr>
                <w:rFonts w:cs="Arial"/>
                <w:sz w:val="20"/>
                <w:szCs w:val="20"/>
                <w:lang w:val="en-GB"/>
              </w:rPr>
              <w:t>COMINES-WARNETON</w:t>
            </w:r>
          </w:p>
        </w:tc>
        <w:tc>
          <w:tcPr>
            <w:tcW w:w="1260" w:type="dxa"/>
          </w:tcPr>
          <w:p>
            <w:pPr>
              <w:rPr>
                <w:sz w:val="20"/>
                <w:szCs w:val="20"/>
              </w:rPr>
            </w:pPr>
            <w:r>
              <w:rPr>
                <w:sz w:val="20"/>
                <w:szCs w:val="20"/>
              </w:rPr>
              <w:t>297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ARLON</w:t>
            </w:r>
          </w:p>
        </w:tc>
        <w:tc>
          <w:tcPr>
            <w:tcW w:w="1153" w:type="dxa"/>
          </w:tcPr>
          <w:p>
            <w:pPr>
              <w:rPr>
                <w:sz w:val="20"/>
                <w:szCs w:val="20"/>
              </w:rPr>
            </w:pPr>
            <w:r>
              <w:rPr>
                <w:sz w:val="20"/>
                <w:szCs w:val="20"/>
              </w:rPr>
              <w:t>245</w:t>
            </w:r>
          </w:p>
        </w:tc>
        <w:tc>
          <w:tcPr>
            <w:tcW w:w="2909" w:type="dxa"/>
            <w:vAlign w:val="center"/>
          </w:tcPr>
          <w:p>
            <w:pPr>
              <w:ind w:left="110"/>
              <w:rPr>
                <w:rFonts w:eastAsia="Arial Unicode MS" w:cs="Arial"/>
                <w:sz w:val="20"/>
                <w:szCs w:val="20"/>
              </w:rPr>
            </w:pPr>
            <w:r>
              <w:rPr>
                <w:rFonts w:cs="Arial"/>
                <w:sz w:val="20"/>
                <w:szCs w:val="20"/>
              </w:rPr>
              <w:t>COURCELLES</w:t>
            </w:r>
          </w:p>
        </w:tc>
        <w:tc>
          <w:tcPr>
            <w:tcW w:w="1260" w:type="dxa"/>
          </w:tcPr>
          <w:p>
            <w:pPr>
              <w:rPr>
                <w:sz w:val="20"/>
                <w:szCs w:val="20"/>
              </w:rPr>
            </w:pPr>
            <w:r>
              <w:rPr>
                <w:sz w:val="20"/>
                <w:szCs w:val="20"/>
              </w:rPr>
              <w:t>700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ASSESSE</w:t>
            </w:r>
          </w:p>
        </w:tc>
        <w:tc>
          <w:tcPr>
            <w:tcW w:w="1153" w:type="dxa"/>
          </w:tcPr>
          <w:p>
            <w:pPr>
              <w:rPr>
                <w:sz w:val="20"/>
                <w:szCs w:val="20"/>
              </w:rPr>
            </w:pPr>
            <w:r>
              <w:rPr>
                <w:sz w:val="20"/>
                <w:szCs w:val="20"/>
              </w:rPr>
              <w:t>88</w:t>
            </w:r>
          </w:p>
        </w:tc>
        <w:tc>
          <w:tcPr>
            <w:tcW w:w="2909" w:type="dxa"/>
            <w:vAlign w:val="center"/>
          </w:tcPr>
          <w:p>
            <w:pPr>
              <w:ind w:left="110"/>
              <w:rPr>
                <w:rFonts w:eastAsia="Arial Unicode MS" w:cs="Arial"/>
                <w:sz w:val="20"/>
                <w:szCs w:val="20"/>
              </w:rPr>
            </w:pPr>
            <w:r>
              <w:rPr>
                <w:rFonts w:cs="Arial"/>
                <w:sz w:val="20"/>
                <w:szCs w:val="20"/>
              </w:rPr>
              <w:t>COURT-SAINT-ETIENNE</w:t>
            </w:r>
          </w:p>
        </w:tc>
        <w:tc>
          <w:tcPr>
            <w:tcW w:w="1260" w:type="dxa"/>
          </w:tcPr>
          <w:p>
            <w:pPr>
              <w:rPr>
                <w:sz w:val="20"/>
                <w:szCs w:val="20"/>
              </w:rPr>
            </w:pPr>
            <w:r>
              <w:rPr>
                <w:sz w:val="20"/>
                <w:szCs w:val="20"/>
              </w:rPr>
              <w:t>385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ATH</w:t>
            </w:r>
          </w:p>
        </w:tc>
        <w:tc>
          <w:tcPr>
            <w:tcW w:w="1153" w:type="dxa"/>
          </w:tcPr>
          <w:p>
            <w:pPr>
              <w:rPr>
                <w:sz w:val="20"/>
                <w:szCs w:val="20"/>
              </w:rPr>
            </w:pPr>
            <w:r>
              <w:rPr>
                <w:sz w:val="20"/>
                <w:szCs w:val="20"/>
              </w:rPr>
              <w:t>227</w:t>
            </w:r>
          </w:p>
        </w:tc>
        <w:tc>
          <w:tcPr>
            <w:tcW w:w="2909" w:type="dxa"/>
            <w:vAlign w:val="center"/>
          </w:tcPr>
          <w:p>
            <w:pPr>
              <w:ind w:left="110"/>
              <w:rPr>
                <w:rFonts w:eastAsia="Arial Unicode MS" w:cs="Arial"/>
                <w:sz w:val="20"/>
                <w:szCs w:val="20"/>
                <w:lang w:val="en-GB"/>
              </w:rPr>
            </w:pPr>
            <w:r>
              <w:rPr>
                <w:rFonts w:cs="Arial"/>
                <w:sz w:val="20"/>
                <w:szCs w:val="20"/>
                <w:lang w:val="en-GB"/>
              </w:rPr>
              <w:t>COUVIN</w:t>
            </w:r>
          </w:p>
        </w:tc>
        <w:tc>
          <w:tcPr>
            <w:tcW w:w="1260" w:type="dxa"/>
          </w:tcPr>
          <w:p>
            <w:pPr>
              <w:rPr>
                <w:sz w:val="20"/>
                <w:szCs w:val="20"/>
              </w:rPr>
            </w:pPr>
            <w:r>
              <w:rPr>
                <w:sz w:val="20"/>
                <w:szCs w:val="20"/>
              </w:rPr>
              <w:t>67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ATTERT</w:t>
            </w:r>
          </w:p>
        </w:tc>
        <w:tc>
          <w:tcPr>
            <w:tcW w:w="1153" w:type="dxa"/>
          </w:tcPr>
          <w:p>
            <w:pPr>
              <w:rPr>
                <w:sz w:val="20"/>
                <w:szCs w:val="20"/>
              </w:rPr>
            </w:pPr>
            <w:r>
              <w:rPr>
                <w:sz w:val="20"/>
                <w:szCs w:val="20"/>
              </w:rPr>
              <w:t>76</w:t>
            </w:r>
          </w:p>
        </w:tc>
        <w:tc>
          <w:tcPr>
            <w:tcW w:w="2909" w:type="dxa"/>
            <w:vAlign w:val="center"/>
          </w:tcPr>
          <w:p>
            <w:pPr>
              <w:ind w:left="110"/>
              <w:rPr>
                <w:rFonts w:eastAsia="Arial Unicode MS" w:cs="Arial"/>
                <w:sz w:val="20"/>
                <w:szCs w:val="20"/>
                <w:lang w:val="en-GB"/>
              </w:rPr>
            </w:pPr>
            <w:r>
              <w:rPr>
                <w:rFonts w:cs="Arial"/>
                <w:sz w:val="20"/>
                <w:szCs w:val="20"/>
                <w:lang w:val="en-GB"/>
              </w:rPr>
              <w:t>CRISNEE</w:t>
            </w:r>
          </w:p>
        </w:tc>
        <w:tc>
          <w:tcPr>
            <w:tcW w:w="1260" w:type="dxa"/>
          </w:tcPr>
          <w:p>
            <w:pPr>
              <w:rPr>
                <w:sz w:val="20"/>
                <w:szCs w:val="20"/>
              </w:rPr>
            </w:pPr>
            <w:r>
              <w:rPr>
                <w:sz w:val="20"/>
                <w:szCs w:val="20"/>
              </w:rPr>
              <w:t>191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AUBANGE</w:t>
            </w:r>
          </w:p>
        </w:tc>
        <w:tc>
          <w:tcPr>
            <w:tcW w:w="1153" w:type="dxa"/>
          </w:tcPr>
          <w:p>
            <w:pPr>
              <w:rPr>
                <w:sz w:val="20"/>
                <w:szCs w:val="20"/>
              </w:rPr>
            </w:pPr>
            <w:r>
              <w:rPr>
                <w:sz w:val="20"/>
                <w:szCs w:val="20"/>
              </w:rPr>
              <w:t>360</w:t>
            </w:r>
          </w:p>
        </w:tc>
        <w:tc>
          <w:tcPr>
            <w:tcW w:w="2909" w:type="dxa"/>
            <w:vAlign w:val="center"/>
          </w:tcPr>
          <w:p>
            <w:pPr>
              <w:ind w:left="110"/>
              <w:rPr>
                <w:rFonts w:eastAsia="Arial Unicode MS" w:cs="Arial"/>
                <w:sz w:val="20"/>
                <w:szCs w:val="20"/>
                <w:lang w:val="en-GB"/>
              </w:rPr>
            </w:pPr>
            <w:r>
              <w:rPr>
                <w:rFonts w:cs="Arial"/>
                <w:sz w:val="20"/>
                <w:szCs w:val="20"/>
                <w:lang w:val="en-GB"/>
              </w:rPr>
              <w:t>DALHEM</w:t>
            </w:r>
          </w:p>
        </w:tc>
        <w:tc>
          <w:tcPr>
            <w:tcW w:w="1260" w:type="dxa"/>
          </w:tcPr>
          <w:p>
            <w:pPr>
              <w:rPr>
                <w:sz w:val="20"/>
                <w:szCs w:val="20"/>
              </w:rPr>
            </w:pPr>
            <w:r>
              <w:rPr>
                <w:sz w:val="20"/>
                <w:szCs w:val="20"/>
              </w:rPr>
              <w:t>200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AUBEL</w:t>
            </w:r>
          </w:p>
        </w:tc>
        <w:tc>
          <w:tcPr>
            <w:tcW w:w="1153" w:type="dxa"/>
          </w:tcPr>
          <w:p>
            <w:pPr>
              <w:rPr>
                <w:sz w:val="20"/>
                <w:szCs w:val="20"/>
              </w:rPr>
            </w:pPr>
            <w:r>
              <w:rPr>
                <w:sz w:val="20"/>
                <w:szCs w:val="20"/>
              </w:rPr>
              <w:t>224</w:t>
            </w:r>
          </w:p>
        </w:tc>
        <w:tc>
          <w:tcPr>
            <w:tcW w:w="2909" w:type="dxa"/>
            <w:vAlign w:val="center"/>
          </w:tcPr>
          <w:p>
            <w:pPr>
              <w:ind w:left="110"/>
              <w:rPr>
                <w:rFonts w:eastAsia="Arial Unicode MS" w:cs="Arial"/>
                <w:sz w:val="20"/>
                <w:szCs w:val="20"/>
                <w:lang w:val="en-GB"/>
              </w:rPr>
            </w:pPr>
            <w:r>
              <w:rPr>
                <w:rFonts w:cs="Arial"/>
                <w:sz w:val="20"/>
                <w:szCs w:val="20"/>
                <w:lang w:val="en-GB"/>
              </w:rPr>
              <w:t>DAVERDISSE</w:t>
            </w:r>
          </w:p>
        </w:tc>
        <w:tc>
          <w:tcPr>
            <w:tcW w:w="1260" w:type="dxa"/>
          </w:tcPr>
          <w:p>
            <w:pPr>
              <w:rPr>
                <w:sz w:val="20"/>
                <w:szCs w:val="20"/>
              </w:rPr>
            </w:pPr>
            <w:r>
              <w:rPr>
                <w:sz w:val="20"/>
                <w:szCs w:val="20"/>
              </w:rPr>
              <w:t>26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AUDERGHEM</w:t>
            </w:r>
          </w:p>
        </w:tc>
        <w:tc>
          <w:tcPr>
            <w:tcW w:w="1153" w:type="dxa"/>
          </w:tcPr>
          <w:p>
            <w:pPr>
              <w:rPr>
                <w:sz w:val="20"/>
                <w:szCs w:val="20"/>
              </w:rPr>
            </w:pPr>
            <w:r>
              <w:rPr>
                <w:sz w:val="20"/>
                <w:szCs w:val="20"/>
              </w:rPr>
              <w:t>3635</w:t>
            </w:r>
          </w:p>
        </w:tc>
        <w:tc>
          <w:tcPr>
            <w:tcW w:w="2909" w:type="dxa"/>
            <w:vAlign w:val="center"/>
          </w:tcPr>
          <w:p>
            <w:pPr>
              <w:ind w:left="110"/>
              <w:rPr>
                <w:rFonts w:eastAsia="Arial Unicode MS" w:cs="Arial"/>
                <w:sz w:val="20"/>
                <w:szCs w:val="20"/>
                <w:lang w:val="en-GB"/>
              </w:rPr>
            </w:pPr>
            <w:r>
              <w:rPr>
                <w:rFonts w:cs="Arial"/>
                <w:sz w:val="20"/>
                <w:szCs w:val="20"/>
                <w:lang w:val="en-GB"/>
              </w:rPr>
              <w:t>DINANT</w:t>
            </w:r>
          </w:p>
        </w:tc>
        <w:tc>
          <w:tcPr>
            <w:tcW w:w="1260" w:type="dxa"/>
          </w:tcPr>
          <w:p>
            <w:pPr>
              <w:rPr>
                <w:sz w:val="20"/>
                <w:szCs w:val="20"/>
              </w:rPr>
            </w:pPr>
            <w:r>
              <w:rPr>
                <w:sz w:val="20"/>
                <w:szCs w:val="20"/>
              </w:rPr>
              <w:t>136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AWANS</w:t>
            </w:r>
          </w:p>
        </w:tc>
        <w:tc>
          <w:tcPr>
            <w:tcW w:w="1153" w:type="dxa"/>
          </w:tcPr>
          <w:p>
            <w:pPr>
              <w:rPr>
                <w:sz w:val="20"/>
                <w:szCs w:val="20"/>
              </w:rPr>
            </w:pPr>
            <w:r>
              <w:rPr>
                <w:sz w:val="20"/>
                <w:szCs w:val="20"/>
              </w:rPr>
              <w:t>339</w:t>
            </w:r>
          </w:p>
        </w:tc>
        <w:tc>
          <w:tcPr>
            <w:tcW w:w="2909" w:type="dxa"/>
            <w:vAlign w:val="center"/>
          </w:tcPr>
          <w:p>
            <w:pPr>
              <w:ind w:left="110"/>
              <w:rPr>
                <w:rFonts w:eastAsia="Arial Unicode MS" w:cs="Arial"/>
                <w:sz w:val="20"/>
                <w:szCs w:val="20"/>
                <w:lang w:val="en-GB"/>
              </w:rPr>
            </w:pPr>
            <w:r>
              <w:rPr>
                <w:rFonts w:cs="Arial"/>
                <w:sz w:val="20"/>
                <w:szCs w:val="20"/>
                <w:lang w:val="en-GB"/>
              </w:rPr>
              <w:t>DISON</w:t>
            </w:r>
          </w:p>
        </w:tc>
        <w:tc>
          <w:tcPr>
            <w:tcW w:w="1260" w:type="dxa"/>
          </w:tcPr>
          <w:p>
            <w:pPr>
              <w:rPr>
                <w:sz w:val="20"/>
                <w:szCs w:val="20"/>
              </w:rPr>
            </w:pPr>
            <w:r>
              <w:rPr>
                <w:sz w:val="20"/>
                <w:szCs w:val="20"/>
              </w:rPr>
              <w:t>1084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AYWAILLE</w:t>
            </w:r>
          </w:p>
        </w:tc>
        <w:tc>
          <w:tcPr>
            <w:tcW w:w="1153" w:type="dxa"/>
          </w:tcPr>
          <w:p>
            <w:pPr>
              <w:rPr>
                <w:sz w:val="20"/>
                <w:szCs w:val="20"/>
              </w:rPr>
            </w:pPr>
            <w:r>
              <w:rPr>
                <w:sz w:val="20"/>
                <w:szCs w:val="20"/>
              </w:rPr>
              <w:t>150</w:t>
            </w:r>
          </w:p>
        </w:tc>
        <w:tc>
          <w:tcPr>
            <w:tcW w:w="2909" w:type="dxa"/>
            <w:vAlign w:val="center"/>
          </w:tcPr>
          <w:p>
            <w:pPr>
              <w:ind w:left="110"/>
              <w:rPr>
                <w:rFonts w:eastAsia="Arial Unicode MS" w:cs="Arial"/>
                <w:sz w:val="20"/>
                <w:szCs w:val="20"/>
                <w:lang w:val="en-GB"/>
              </w:rPr>
            </w:pPr>
            <w:r>
              <w:rPr>
                <w:rFonts w:cs="Arial"/>
                <w:sz w:val="20"/>
                <w:szCs w:val="20"/>
                <w:lang w:val="en-GB"/>
              </w:rPr>
              <w:t>DOISCHE</w:t>
            </w:r>
          </w:p>
        </w:tc>
        <w:tc>
          <w:tcPr>
            <w:tcW w:w="1260" w:type="dxa"/>
          </w:tcPr>
          <w:p>
            <w:pPr>
              <w:rPr>
                <w:sz w:val="20"/>
                <w:szCs w:val="20"/>
              </w:rPr>
            </w:pPr>
            <w:r>
              <w:rPr>
                <w:sz w:val="20"/>
                <w:szCs w:val="20"/>
              </w:rPr>
              <w:t>35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BAELEN</w:t>
            </w:r>
          </w:p>
        </w:tc>
        <w:tc>
          <w:tcPr>
            <w:tcW w:w="1153" w:type="dxa"/>
          </w:tcPr>
          <w:p>
            <w:pPr>
              <w:rPr>
                <w:sz w:val="20"/>
                <w:szCs w:val="20"/>
              </w:rPr>
            </w:pPr>
            <w:r>
              <w:rPr>
                <w:sz w:val="20"/>
                <w:szCs w:val="20"/>
              </w:rPr>
              <w:t>51</w:t>
            </w:r>
          </w:p>
        </w:tc>
        <w:tc>
          <w:tcPr>
            <w:tcW w:w="2909" w:type="dxa"/>
            <w:vAlign w:val="center"/>
          </w:tcPr>
          <w:p>
            <w:pPr>
              <w:ind w:left="110"/>
              <w:rPr>
                <w:rFonts w:eastAsia="Arial Unicode MS" w:cs="Arial"/>
                <w:sz w:val="20"/>
                <w:szCs w:val="20"/>
                <w:lang w:val="en-GB"/>
              </w:rPr>
            </w:pPr>
            <w:r>
              <w:rPr>
                <w:rFonts w:cs="Arial"/>
                <w:sz w:val="20"/>
                <w:szCs w:val="20"/>
                <w:lang w:val="en-GB"/>
              </w:rPr>
              <w:t>DONCEEL</w:t>
            </w:r>
          </w:p>
        </w:tc>
        <w:tc>
          <w:tcPr>
            <w:tcW w:w="1260" w:type="dxa"/>
          </w:tcPr>
          <w:p>
            <w:pPr>
              <w:rPr>
                <w:sz w:val="20"/>
                <w:szCs w:val="20"/>
              </w:rPr>
            </w:pPr>
            <w:r>
              <w:rPr>
                <w:sz w:val="20"/>
                <w:szCs w:val="20"/>
              </w:rPr>
              <w:t>130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BASSENGE</w:t>
            </w:r>
          </w:p>
        </w:tc>
        <w:tc>
          <w:tcPr>
            <w:tcW w:w="1153" w:type="dxa"/>
          </w:tcPr>
          <w:p>
            <w:pPr>
              <w:rPr>
                <w:sz w:val="20"/>
                <w:szCs w:val="20"/>
              </w:rPr>
            </w:pPr>
            <w:r>
              <w:rPr>
                <w:sz w:val="20"/>
                <w:szCs w:val="20"/>
              </w:rPr>
              <w:t>235</w:t>
            </w:r>
          </w:p>
        </w:tc>
        <w:tc>
          <w:tcPr>
            <w:tcW w:w="2909" w:type="dxa"/>
            <w:vAlign w:val="center"/>
          </w:tcPr>
          <w:p>
            <w:pPr>
              <w:ind w:left="110"/>
              <w:rPr>
                <w:rFonts w:eastAsia="Arial Unicode MS" w:cs="Arial"/>
                <w:sz w:val="20"/>
                <w:szCs w:val="20"/>
              </w:rPr>
            </w:pPr>
            <w:r>
              <w:rPr>
                <w:rFonts w:cs="Arial"/>
                <w:sz w:val="20"/>
                <w:szCs w:val="20"/>
              </w:rPr>
              <w:t>DOUR</w:t>
            </w:r>
          </w:p>
        </w:tc>
        <w:tc>
          <w:tcPr>
            <w:tcW w:w="1260" w:type="dxa"/>
          </w:tcPr>
          <w:p>
            <w:pPr>
              <w:rPr>
                <w:sz w:val="20"/>
                <w:szCs w:val="20"/>
              </w:rPr>
            </w:pPr>
            <w:r>
              <w:rPr>
                <w:sz w:val="20"/>
                <w:szCs w:val="20"/>
              </w:rPr>
              <w:t>506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BASTOGNE</w:t>
            </w:r>
          </w:p>
        </w:tc>
        <w:tc>
          <w:tcPr>
            <w:tcW w:w="1153" w:type="dxa"/>
          </w:tcPr>
          <w:p>
            <w:pPr>
              <w:rPr>
                <w:sz w:val="20"/>
                <w:szCs w:val="20"/>
              </w:rPr>
            </w:pPr>
            <w:r>
              <w:rPr>
                <w:sz w:val="20"/>
                <w:szCs w:val="20"/>
              </w:rPr>
              <w:t>90</w:t>
            </w:r>
          </w:p>
        </w:tc>
        <w:tc>
          <w:tcPr>
            <w:tcW w:w="2909" w:type="dxa"/>
            <w:vAlign w:val="center"/>
          </w:tcPr>
          <w:p>
            <w:pPr>
              <w:ind w:left="110"/>
              <w:rPr>
                <w:rFonts w:eastAsia="Arial Unicode MS" w:cs="Arial"/>
                <w:sz w:val="20"/>
                <w:szCs w:val="20"/>
              </w:rPr>
            </w:pPr>
            <w:r>
              <w:rPr>
                <w:rFonts w:cs="Arial"/>
                <w:sz w:val="20"/>
                <w:szCs w:val="20"/>
              </w:rPr>
              <w:t>DURBUY</w:t>
            </w:r>
          </w:p>
        </w:tc>
        <w:tc>
          <w:tcPr>
            <w:tcW w:w="1260" w:type="dxa"/>
          </w:tcPr>
          <w:p>
            <w:pPr>
              <w:rPr>
                <w:sz w:val="20"/>
                <w:szCs w:val="20"/>
              </w:rPr>
            </w:pPr>
            <w:r>
              <w:rPr>
                <w:sz w:val="20"/>
                <w:szCs w:val="20"/>
              </w:rPr>
              <w:t>73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BEAUMONT</w:t>
            </w:r>
          </w:p>
        </w:tc>
        <w:tc>
          <w:tcPr>
            <w:tcW w:w="1153" w:type="dxa"/>
          </w:tcPr>
          <w:p>
            <w:pPr>
              <w:rPr>
                <w:sz w:val="20"/>
                <w:szCs w:val="20"/>
              </w:rPr>
            </w:pPr>
            <w:r>
              <w:rPr>
                <w:sz w:val="20"/>
                <w:szCs w:val="20"/>
              </w:rPr>
              <w:t>76</w:t>
            </w:r>
          </w:p>
        </w:tc>
        <w:tc>
          <w:tcPr>
            <w:tcW w:w="2909" w:type="dxa"/>
            <w:vAlign w:val="center"/>
          </w:tcPr>
          <w:p>
            <w:pPr>
              <w:ind w:left="110"/>
              <w:rPr>
                <w:rFonts w:eastAsia="Arial Unicode MS" w:cs="Arial"/>
                <w:sz w:val="20"/>
                <w:szCs w:val="20"/>
              </w:rPr>
            </w:pPr>
            <w:r>
              <w:rPr>
                <w:rFonts w:cs="Arial"/>
                <w:sz w:val="20"/>
                <w:szCs w:val="20"/>
              </w:rPr>
              <w:t>ECAUSSINNES</w:t>
            </w:r>
          </w:p>
        </w:tc>
        <w:tc>
          <w:tcPr>
            <w:tcW w:w="1260" w:type="dxa"/>
          </w:tcPr>
          <w:p>
            <w:pPr>
              <w:rPr>
                <w:sz w:val="20"/>
                <w:szCs w:val="20"/>
              </w:rPr>
            </w:pPr>
            <w:r>
              <w:rPr>
                <w:sz w:val="20"/>
                <w:szCs w:val="20"/>
              </w:rPr>
              <w:t>311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BEAURAING</w:t>
            </w:r>
          </w:p>
        </w:tc>
        <w:tc>
          <w:tcPr>
            <w:tcW w:w="1153" w:type="dxa"/>
          </w:tcPr>
          <w:p>
            <w:pPr>
              <w:rPr>
                <w:sz w:val="20"/>
                <w:szCs w:val="20"/>
              </w:rPr>
            </w:pPr>
            <w:r>
              <w:rPr>
                <w:sz w:val="20"/>
                <w:szCs w:val="20"/>
              </w:rPr>
              <w:t>51</w:t>
            </w:r>
          </w:p>
        </w:tc>
        <w:tc>
          <w:tcPr>
            <w:tcW w:w="2909" w:type="dxa"/>
            <w:vAlign w:val="center"/>
          </w:tcPr>
          <w:p>
            <w:pPr>
              <w:ind w:left="110"/>
              <w:rPr>
                <w:rFonts w:eastAsia="Arial Unicode MS" w:cs="Arial"/>
                <w:sz w:val="20"/>
                <w:szCs w:val="20"/>
              </w:rPr>
            </w:pPr>
            <w:r>
              <w:rPr>
                <w:rFonts w:cs="Arial"/>
                <w:sz w:val="20"/>
                <w:szCs w:val="20"/>
              </w:rPr>
              <w:t>EGHEZEE</w:t>
            </w:r>
          </w:p>
        </w:tc>
        <w:tc>
          <w:tcPr>
            <w:tcW w:w="1260" w:type="dxa"/>
          </w:tcPr>
          <w:p>
            <w:pPr>
              <w:rPr>
                <w:sz w:val="20"/>
                <w:szCs w:val="20"/>
              </w:rPr>
            </w:pPr>
            <w:r>
              <w:rPr>
                <w:sz w:val="20"/>
                <w:szCs w:val="20"/>
              </w:rPr>
              <w:t>153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BEAUVECHAIN</w:t>
            </w:r>
          </w:p>
        </w:tc>
        <w:tc>
          <w:tcPr>
            <w:tcW w:w="1153" w:type="dxa"/>
          </w:tcPr>
          <w:p>
            <w:pPr>
              <w:rPr>
                <w:sz w:val="20"/>
                <w:szCs w:val="20"/>
              </w:rPr>
            </w:pPr>
            <w:r>
              <w:rPr>
                <w:sz w:val="20"/>
                <w:szCs w:val="20"/>
              </w:rPr>
              <w:t>182</w:t>
            </w:r>
          </w:p>
        </w:tc>
        <w:tc>
          <w:tcPr>
            <w:tcW w:w="2909" w:type="dxa"/>
            <w:vAlign w:val="center"/>
          </w:tcPr>
          <w:p>
            <w:pPr>
              <w:ind w:left="110"/>
              <w:rPr>
                <w:rFonts w:eastAsia="Arial Unicode MS" w:cs="Arial"/>
                <w:sz w:val="20"/>
                <w:szCs w:val="20"/>
              </w:rPr>
            </w:pPr>
            <w:r>
              <w:rPr>
                <w:rFonts w:cs="Arial"/>
                <w:sz w:val="20"/>
                <w:szCs w:val="20"/>
              </w:rPr>
              <w:t>ELLEZELLES</w:t>
            </w:r>
          </w:p>
        </w:tc>
        <w:tc>
          <w:tcPr>
            <w:tcW w:w="1260" w:type="dxa"/>
          </w:tcPr>
          <w:p>
            <w:pPr>
              <w:rPr>
                <w:sz w:val="20"/>
                <w:szCs w:val="20"/>
              </w:rPr>
            </w:pPr>
            <w:r>
              <w:rPr>
                <w:sz w:val="20"/>
                <w:szCs w:val="20"/>
              </w:rPr>
              <w:t>133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BELOEIL</w:t>
            </w:r>
          </w:p>
        </w:tc>
        <w:tc>
          <w:tcPr>
            <w:tcW w:w="1153" w:type="dxa"/>
          </w:tcPr>
          <w:p>
            <w:pPr>
              <w:rPr>
                <w:sz w:val="20"/>
                <w:szCs w:val="20"/>
              </w:rPr>
            </w:pPr>
            <w:r>
              <w:rPr>
                <w:sz w:val="20"/>
                <w:szCs w:val="20"/>
              </w:rPr>
              <w:t>227</w:t>
            </w:r>
          </w:p>
        </w:tc>
        <w:tc>
          <w:tcPr>
            <w:tcW w:w="2909" w:type="dxa"/>
            <w:vAlign w:val="center"/>
          </w:tcPr>
          <w:p>
            <w:pPr>
              <w:ind w:left="110"/>
              <w:rPr>
                <w:rFonts w:eastAsia="Arial Unicode MS" w:cs="Arial"/>
                <w:sz w:val="20"/>
                <w:szCs w:val="20"/>
              </w:rPr>
            </w:pPr>
            <w:r>
              <w:rPr>
                <w:rFonts w:cs="Arial"/>
                <w:sz w:val="20"/>
                <w:szCs w:val="20"/>
              </w:rPr>
              <w:t>ENGHIEN</w:t>
            </w:r>
          </w:p>
        </w:tc>
        <w:tc>
          <w:tcPr>
            <w:tcW w:w="1260" w:type="dxa"/>
          </w:tcPr>
          <w:p>
            <w:pPr>
              <w:rPr>
                <w:sz w:val="20"/>
                <w:szCs w:val="20"/>
              </w:rPr>
            </w:pPr>
            <w:r>
              <w:rPr>
                <w:sz w:val="20"/>
                <w:szCs w:val="20"/>
              </w:rPr>
              <w:t>331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BERCHEM-SAINTE-AGATHE</w:t>
            </w:r>
          </w:p>
        </w:tc>
        <w:tc>
          <w:tcPr>
            <w:tcW w:w="1153" w:type="dxa"/>
          </w:tcPr>
          <w:p>
            <w:pPr>
              <w:rPr>
                <w:sz w:val="20"/>
                <w:szCs w:val="20"/>
              </w:rPr>
            </w:pPr>
            <w:r>
              <w:rPr>
                <w:sz w:val="20"/>
                <w:szCs w:val="20"/>
              </w:rPr>
              <w:t>8112</w:t>
            </w:r>
          </w:p>
        </w:tc>
        <w:tc>
          <w:tcPr>
            <w:tcW w:w="2909" w:type="dxa"/>
            <w:vAlign w:val="center"/>
          </w:tcPr>
          <w:p>
            <w:pPr>
              <w:ind w:left="110"/>
              <w:rPr>
                <w:rFonts w:eastAsia="Arial Unicode MS" w:cs="Arial"/>
                <w:sz w:val="20"/>
                <w:szCs w:val="20"/>
              </w:rPr>
            </w:pPr>
            <w:r>
              <w:rPr>
                <w:rFonts w:cs="Arial"/>
                <w:sz w:val="20"/>
                <w:szCs w:val="20"/>
              </w:rPr>
              <w:t>ENGIS</w:t>
            </w:r>
          </w:p>
        </w:tc>
        <w:tc>
          <w:tcPr>
            <w:tcW w:w="1260" w:type="dxa"/>
          </w:tcPr>
          <w:p>
            <w:pPr>
              <w:rPr>
                <w:sz w:val="20"/>
                <w:szCs w:val="20"/>
              </w:rPr>
            </w:pPr>
            <w:r>
              <w:rPr>
                <w:sz w:val="20"/>
                <w:szCs w:val="20"/>
              </w:rPr>
              <w:t>216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BERLOZ</w:t>
            </w:r>
          </w:p>
        </w:tc>
        <w:tc>
          <w:tcPr>
            <w:tcW w:w="1153" w:type="dxa"/>
          </w:tcPr>
          <w:p>
            <w:pPr>
              <w:rPr>
                <w:sz w:val="20"/>
                <w:szCs w:val="20"/>
              </w:rPr>
            </w:pPr>
            <w:r>
              <w:rPr>
                <w:sz w:val="20"/>
                <w:szCs w:val="20"/>
              </w:rPr>
              <w:t>209</w:t>
            </w:r>
          </w:p>
        </w:tc>
        <w:tc>
          <w:tcPr>
            <w:tcW w:w="2909" w:type="dxa"/>
            <w:vAlign w:val="center"/>
          </w:tcPr>
          <w:p>
            <w:pPr>
              <w:ind w:left="110"/>
              <w:rPr>
                <w:rFonts w:eastAsia="Arial Unicode MS" w:cs="Arial"/>
                <w:sz w:val="20"/>
                <w:szCs w:val="20"/>
              </w:rPr>
            </w:pPr>
            <w:r>
              <w:rPr>
                <w:rFonts w:cs="Arial"/>
                <w:sz w:val="20"/>
                <w:szCs w:val="20"/>
              </w:rPr>
              <w:t>EREZEE</w:t>
            </w:r>
          </w:p>
        </w:tc>
        <w:tc>
          <w:tcPr>
            <w:tcW w:w="1260" w:type="dxa"/>
          </w:tcPr>
          <w:p>
            <w:pPr>
              <w:rPr>
                <w:sz w:val="20"/>
                <w:szCs w:val="20"/>
              </w:rPr>
            </w:pPr>
            <w:r>
              <w:rPr>
                <w:sz w:val="20"/>
                <w:szCs w:val="20"/>
              </w:rPr>
              <w:t>41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BERNISSART</w:t>
            </w:r>
          </w:p>
        </w:tc>
        <w:tc>
          <w:tcPr>
            <w:tcW w:w="1153" w:type="dxa"/>
          </w:tcPr>
          <w:p>
            <w:pPr>
              <w:rPr>
                <w:sz w:val="20"/>
                <w:szCs w:val="20"/>
              </w:rPr>
            </w:pPr>
            <w:r>
              <w:rPr>
                <w:sz w:val="20"/>
                <w:szCs w:val="20"/>
              </w:rPr>
              <w:t>274</w:t>
            </w:r>
          </w:p>
        </w:tc>
        <w:tc>
          <w:tcPr>
            <w:tcW w:w="2909" w:type="dxa"/>
            <w:vAlign w:val="center"/>
          </w:tcPr>
          <w:p>
            <w:pPr>
              <w:ind w:left="110"/>
              <w:rPr>
                <w:rFonts w:eastAsia="Arial Unicode MS" w:cs="Arial"/>
                <w:sz w:val="20"/>
                <w:szCs w:val="20"/>
              </w:rPr>
            </w:pPr>
            <w:r>
              <w:rPr>
                <w:rFonts w:cs="Arial"/>
                <w:sz w:val="20"/>
                <w:szCs w:val="20"/>
              </w:rPr>
              <w:t>ERQUELINNES</w:t>
            </w:r>
          </w:p>
        </w:tc>
        <w:tc>
          <w:tcPr>
            <w:tcW w:w="1260" w:type="dxa"/>
          </w:tcPr>
          <w:p>
            <w:pPr>
              <w:rPr>
                <w:sz w:val="20"/>
                <w:szCs w:val="20"/>
              </w:rPr>
            </w:pPr>
            <w:r>
              <w:rPr>
                <w:sz w:val="20"/>
                <w:szCs w:val="20"/>
              </w:rPr>
              <w:t>223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BERTOGNE</w:t>
            </w:r>
          </w:p>
        </w:tc>
        <w:tc>
          <w:tcPr>
            <w:tcW w:w="1153" w:type="dxa"/>
          </w:tcPr>
          <w:p>
            <w:pPr>
              <w:rPr>
                <w:sz w:val="20"/>
                <w:szCs w:val="20"/>
              </w:rPr>
            </w:pPr>
            <w:r>
              <w:rPr>
                <w:sz w:val="20"/>
                <w:szCs w:val="20"/>
              </w:rPr>
              <w:t>37</w:t>
            </w:r>
          </w:p>
        </w:tc>
        <w:tc>
          <w:tcPr>
            <w:tcW w:w="2909" w:type="dxa"/>
            <w:vAlign w:val="center"/>
          </w:tcPr>
          <w:p>
            <w:pPr>
              <w:ind w:left="110"/>
              <w:rPr>
                <w:rFonts w:eastAsia="Arial Unicode MS" w:cs="Arial"/>
                <w:sz w:val="20"/>
                <w:szCs w:val="20"/>
              </w:rPr>
            </w:pPr>
            <w:r>
              <w:rPr>
                <w:rFonts w:cs="Arial"/>
                <w:sz w:val="20"/>
                <w:szCs w:val="20"/>
              </w:rPr>
              <w:t>ESNEUX</w:t>
            </w:r>
          </w:p>
        </w:tc>
        <w:tc>
          <w:tcPr>
            <w:tcW w:w="1260" w:type="dxa"/>
          </w:tcPr>
          <w:p>
            <w:pPr>
              <w:rPr>
                <w:sz w:val="20"/>
                <w:szCs w:val="20"/>
              </w:rPr>
            </w:pPr>
            <w:r>
              <w:rPr>
                <w:sz w:val="20"/>
                <w:szCs w:val="20"/>
              </w:rPr>
              <w:t>385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BERTRIX</w:t>
            </w:r>
          </w:p>
        </w:tc>
        <w:tc>
          <w:tcPr>
            <w:tcW w:w="1153" w:type="dxa"/>
          </w:tcPr>
          <w:p>
            <w:pPr>
              <w:rPr>
                <w:sz w:val="20"/>
                <w:szCs w:val="20"/>
              </w:rPr>
            </w:pPr>
            <w:r>
              <w:rPr>
                <w:sz w:val="20"/>
                <w:szCs w:val="20"/>
              </w:rPr>
              <w:t>62</w:t>
            </w:r>
          </w:p>
        </w:tc>
        <w:tc>
          <w:tcPr>
            <w:tcW w:w="2909" w:type="dxa"/>
            <w:vAlign w:val="center"/>
          </w:tcPr>
          <w:p>
            <w:pPr>
              <w:ind w:left="110"/>
              <w:rPr>
                <w:rFonts w:eastAsia="Arial Unicode MS" w:cs="Arial"/>
                <w:sz w:val="20"/>
                <w:szCs w:val="20"/>
              </w:rPr>
            </w:pPr>
            <w:r>
              <w:rPr>
                <w:rFonts w:cs="Arial"/>
                <w:sz w:val="20"/>
                <w:szCs w:val="20"/>
              </w:rPr>
              <w:t>ESTAIMPUIS</w:t>
            </w:r>
          </w:p>
        </w:tc>
        <w:tc>
          <w:tcPr>
            <w:tcW w:w="1260" w:type="dxa"/>
          </w:tcPr>
          <w:p>
            <w:pPr>
              <w:rPr>
                <w:sz w:val="20"/>
                <w:szCs w:val="20"/>
              </w:rPr>
            </w:pPr>
            <w:r>
              <w:rPr>
                <w:sz w:val="20"/>
                <w:szCs w:val="20"/>
              </w:rPr>
              <w:t>322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BEYNE-HEUSAY</w:t>
            </w:r>
          </w:p>
        </w:tc>
        <w:tc>
          <w:tcPr>
            <w:tcW w:w="1153" w:type="dxa"/>
          </w:tcPr>
          <w:p>
            <w:pPr>
              <w:rPr>
                <w:sz w:val="20"/>
                <w:szCs w:val="20"/>
              </w:rPr>
            </w:pPr>
            <w:r>
              <w:rPr>
                <w:sz w:val="20"/>
                <w:szCs w:val="20"/>
              </w:rPr>
              <w:t>1646</w:t>
            </w:r>
          </w:p>
        </w:tc>
        <w:tc>
          <w:tcPr>
            <w:tcW w:w="2909" w:type="dxa"/>
            <w:vAlign w:val="center"/>
          </w:tcPr>
          <w:p>
            <w:pPr>
              <w:ind w:left="110"/>
              <w:rPr>
                <w:rFonts w:eastAsia="Arial Unicode MS" w:cs="Arial"/>
                <w:sz w:val="20"/>
                <w:szCs w:val="20"/>
              </w:rPr>
            </w:pPr>
            <w:r>
              <w:rPr>
                <w:rFonts w:cs="Arial"/>
                <w:sz w:val="20"/>
                <w:szCs w:val="20"/>
              </w:rPr>
              <w:t>ESTINNES</w:t>
            </w:r>
          </w:p>
        </w:tc>
        <w:tc>
          <w:tcPr>
            <w:tcW w:w="1260" w:type="dxa"/>
          </w:tcPr>
          <w:p>
            <w:pPr>
              <w:rPr>
                <w:sz w:val="20"/>
                <w:szCs w:val="20"/>
              </w:rPr>
            </w:pPr>
            <w:r>
              <w:rPr>
                <w:sz w:val="20"/>
                <w:szCs w:val="20"/>
              </w:rPr>
              <w:t>106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BIEVRE</w:t>
            </w:r>
          </w:p>
        </w:tc>
        <w:tc>
          <w:tcPr>
            <w:tcW w:w="1153" w:type="dxa"/>
          </w:tcPr>
          <w:p>
            <w:pPr>
              <w:rPr>
                <w:sz w:val="20"/>
                <w:szCs w:val="20"/>
              </w:rPr>
            </w:pPr>
            <w:r>
              <w:rPr>
                <w:sz w:val="20"/>
                <w:szCs w:val="20"/>
              </w:rPr>
              <w:t>29</w:t>
            </w:r>
          </w:p>
        </w:tc>
        <w:tc>
          <w:tcPr>
            <w:tcW w:w="2909" w:type="dxa"/>
            <w:vAlign w:val="center"/>
          </w:tcPr>
          <w:p>
            <w:pPr>
              <w:ind w:left="110"/>
              <w:rPr>
                <w:rFonts w:eastAsia="Arial Unicode MS" w:cs="Arial"/>
                <w:sz w:val="20"/>
                <w:szCs w:val="20"/>
              </w:rPr>
            </w:pPr>
            <w:r>
              <w:rPr>
                <w:rFonts w:cs="Arial"/>
                <w:sz w:val="20"/>
                <w:szCs w:val="20"/>
              </w:rPr>
              <w:t>ETALLE</w:t>
            </w:r>
          </w:p>
        </w:tc>
        <w:tc>
          <w:tcPr>
            <w:tcW w:w="1260" w:type="dxa"/>
          </w:tcPr>
          <w:p>
            <w:pPr>
              <w:rPr>
                <w:sz w:val="20"/>
                <w:szCs w:val="20"/>
              </w:rPr>
            </w:pPr>
            <w:r>
              <w:rPr>
                <w:sz w:val="20"/>
                <w:szCs w:val="20"/>
              </w:rPr>
              <w:t>73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BINCHE</w:t>
            </w:r>
          </w:p>
        </w:tc>
        <w:tc>
          <w:tcPr>
            <w:tcW w:w="1153" w:type="dxa"/>
          </w:tcPr>
          <w:p>
            <w:pPr>
              <w:rPr>
                <w:sz w:val="20"/>
                <w:szCs w:val="20"/>
              </w:rPr>
            </w:pPr>
            <w:r>
              <w:rPr>
                <w:sz w:val="20"/>
                <w:szCs w:val="20"/>
              </w:rPr>
              <w:t>549</w:t>
            </w:r>
          </w:p>
        </w:tc>
        <w:tc>
          <w:tcPr>
            <w:tcW w:w="2909" w:type="dxa"/>
            <w:vAlign w:val="center"/>
          </w:tcPr>
          <w:p>
            <w:pPr>
              <w:ind w:left="110"/>
              <w:rPr>
                <w:rFonts w:eastAsia="Arial Unicode MS" w:cs="Arial"/>
                <w:sz w:val="20"/>
                <w:szCs w:val="20"/>
                <w:lang w:val="nl-NL"/>
              </w:rPr>
            </w:pPr>
            <w:r>
              <w:rPr>
                <w:rFonts w:cs="Arial"/>
                <w:sz w:val="20"/>
                <w:szCs w:val="20"/>
                <w:lang w:val="nl-NL"/>
              </w:rPr>
              <w:t>ETTERBEEK</w:t>
            </w:r>
          </w:p>
        </w:tc>
        <w:tc>
          <w:tcPr>
            <w:tcW w:w="1260" w:type="dxa"/>
          </w:tcPr>
          <w:p>
            <w:pPr>
              <w:rPr>
                <w:sz w:val="20"/>
                <w:szCs w:val="20"/>
              </w:rPr>
            </w:pPr>
            <w:r>
              <w:rPr>
                <w:sz w:val="20"/>
                <w:szCs w:val="20"/>
              </w:rPr>
              <w:t>14852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BLEGNY</w:t>
            </w:r>
          </w:p>
        </w:tc>
        <w:tc>
          <w:tcPr>
            <w:tcW w:w="1153" w:type="dxa"/>
          </w:tcPr>
          <w:p>
            <w:pPr>
              <w:rPr>
                <w:sz w:val="20"/>
                <w:szCs w:val="20"/>
              </w:rPr>
            </w:pPr>
            <w:r>
              <w:rPr>
                <w:sz w:val="20"/>
                <w:szCs w:val="20"/>
              </w:rPr>
              <w:t>507</w:t>
            </w:r>
          </w:p>
        </w:tc>
        <w:tc>
          <w:tcPr>
            <w:tcW w:w="2909" w:type="dxa"/>
            <w:vAlign w:val="center"/>
          </w:tcPr>
          <w:p>
            <w:pPr>
              <w:ind w:left="110"/>
              <w:rPr>
                <w:rFonts w:eastAsia="Arial Unicode MS" w:cs="Arial"/>
                <w:sz w:val="20"/>
                <w:szCs w:val="20"/>
              </w:rPr>
            </w:pPr>
            <w:r>
              <w:rPr>
                <w:rFonts w:cs="Arial"/>
                <w:sz w:val="20"/>
                <w:szCs w:val="20"/>
              </w:rPr>
              <w:t>EVERE</w:t>
            </w:r>
          </w:p>
        </w:tc>
        <w:tc>
          <w:tcPr>
            <w:tcW w:w="1260" w:type="dxa"/>
          </w:tcPr>
          <w:p>
            <w:pPr>
              <w:rPr>
                <w:sz w:val="20"/>
                <w:szCs w:val="20"/>
              </w:rPr>
            </w:pPr>
            <w:r>
              <w:rPr>
                <w:sz w:val="20"/>
                <w:szCs w:val="20"/>
              </w:rPr>
              <w:t>7662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BOUILLON</w:t>
            </w:r>
          </w:p>
        </w:tc>
        <w:tc>
          <w:tcPr>
            <w:tcW w:w="1153" w:type="dxa"/>
          </w:tcPr>
          <w:p>
            <w:pPr>
              <w:rPr>
                <w:sz w:val="20"/>
                <w:szCs w:val="20"/>
              </w:rPr>
            </w:pPr>
            <w:r>
              <w:rPr>
                <w:sz w:val="20"/>
                <w:szCs w:val="20"/>
              </w:rPr>
              <w:t>36</w:t>
            </w:r>
          </w:p>
        </w:tc>
        <w:tc>
          <w:tcPr>
            <w:tcW w:w="2909" w:type="dxa"/>
            <w:vAlign w:val="center"/>
          </w:tcPr>
          <w:p>
            <w:pPr>
              <w:ind w:left="110"/>
              <w:rPr>
                <w:rFonts w:eastAsia="Arial Unicode MS" w:cs="Arial"/>
                <w:sz w:val="20"/>
                <w:szCs w:val="20"/>
              </w:rPr>
            </w:pPr>
            <w:r>
              <w:rPr>
                <w:rFonts w:cs="Arial"/>
                <w:sz w:val="20"/>
                <w:szCs w:val="20"/>
              </w:rPr>
              <w:t>FAIMES</w:t>
            </w:r>
          </w:p>
        </w:tc>
        <w:tc>
          <w:tcPr>
            <w:tcW w:w="1260" w:type="dxa"/>
          </w:tcPr>
          <w:p>
            <w:pPr>
              <w:rPr>
                <w:sz w:val="20"/>
                <w:szCs w:val="20"/>
              </w:rPr>
            </w:pPr>
            <w:r>
              <w:rPr>
                <w:sz w:val="20"/>
                <w:szCs w:val="20"/>
              </w:rPr>
              <w:t>136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BOUSSU</w:t>
            </w:r>
          </w:p>
        </w:tc>
        <w:tc>
          <w:tcPr>
            <w:tcW w:w="1153" w:type="dxa"/>
          </w:tcPr>
          <w:p>
            <w:pPr>
              <w:rPr>
                <w:sz w:val="20"/>
                <w:szCs w:val="20"/>
              </w:rPr>
            </w:pPr>
            <w:r>
              <w:rPr>
                <w:sz w:val="20"/>
                <w:szCs w:val="20"/>
              </w:rPr>
              <w:t>992</w:t>
            </w:r>
          </w:p>
        </w:tc>
        <w:tc>
          <w:tcPr>
            <w:tcW w:w="2909" w:type="dxa"/>
            <w:vAlign w:val="center"/>
          </w:tcPr>
          <w:p>
            <w:pPr>
              <w:ind w:left="110"/>
              <w:rPr>
                <w:rFonts w:eastAsia="Arial Unicode MS" w:cs="Arial"/>
                <w:sz w:val="20"/>
                <w:szCs w:val="20"/>
              </w:rPr>
            </w:pPr>
            <w:r>
              <w:rPr>
                <w:rFonts w:cs="Arial"/>
                <w:sz w:val="20"/>
                <w:szCs w:val="20"/>
              </w:rPr>
              <w:t>FARCIENNES</w:t>
            </w:r>
          </w:p>
        </w:tc>
        <w:tc>
          <w:tcPr>
            <w:tcW w:w="1260" w:type="dxa"/>
          </w:tcPr>
          <w:p>
            <w:pPr>
              <w:rPr>
                <w:sz w:val="20"/>
                <w:szCs w:val="20"/>
              </w:rPr>
            </w:pPr>
            <w:r>
              <w:rPr>
                <w:sz w:val="20"/>
                <w:szCs w:val="20"/>
              </w:rPr>
              <w:t>1087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BRAINE-L'ALLEUD</w:t>
            </w:r>
          </w:p>
        </w:tc>
        <w:tc>
          <w:tcPr>
            <w:tcW w:w="1153" w:type="dxa"/>
          </w:tcPr>
          <w:p>
            <w:pPr>
              <w:rPr>
                <w:sz w:val="20"/>
                <w:szCs w:val="20"/>
              </w:rPr>
            </w:pPr>
            <w:r>
              <w:rPr>
                <w:sz w:val="20"/>
                <w:szCs w:val="20"/>
              </w:rPr>
              <w:t>763</w:t>
            </w:r>
          </w:p>
        </w:tc>
        <w:tc>
          <w:tcPr>
            <w:tcW w:w="2909" w:type="dxa"/>
            <w:vAlign w:val="center"/>
          </w:tcPr>
          <w:p>
            <w:pPr>
              <w:ind w:left="110"/>
              <w:rPr>
                <w:rFonts w:eastAsia="Arial Unicode MS" w:cs="Arial"/>
                <w:sz w:val="20"/>
                <w:szCs w:val="20"/>
              </w:rPr>
            </w:pPr>
            <w:r>
              <w:rPr>
                <w:rFonts w:cs="Arial"/>
                <w:sz w:val="20"/>
                <w:szCs w:val="20"/>
              </w:rPr>
              <w:t>FAUVILLERS</w:t>
            </w:r>
          </w:p>
        </w:tc>
        <w:tc>
          <w:tcPr>
            <w:tcW w:w="1260" w:type="dxa"/>
          </w:tcPr>
          <w:p>
            <w:pPr>
              <w:rPr>
                <w:sz w:val="20"/>
                <w:szCs w:val="20"/>
              </w:rPr>
            </w:pPr>
            <w:r>
              <w:rPr>
                <w:sz w:val="20"/>
                <w:szCs w:val="20"/>
              </w:rPr>
              <w:t>30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BRAINE-LE-CHATEAU</w:t>
            </w:r>
          </w:p>
        </w:tc>
        <w:tc>
          <w:tcPr>
            <w:tcW w:w="1153" w:type="dxa"/>
          </w:tcPr>
          <w:p>
            <w:pPr>
              <w:rPr>
                <w:sz w:val="20"/>
                <w:szCs w:val="20"/>
              </w:rPr>
            </w:pPr>
            <w:r>
              <w:rPr>
                <w:sz w:val="20"/>
                <w:szCs w:val="20"/>
              </w:rPr>
              <w:t>447</w:t>
            </w:r>
          </w:p>
        </w:tc>
        <w:tc>
          <w:tcPr>
            <w:tcW w:w="2909" w:type="dxa"/>
            <w:vAlign w:val="center"/>
          </w:tcPr>
          <w:p>
            <w:pPr>
              <w:ind w:left="110"/>
              <w:rPr>
                <w:rFonts w:eastAsia="Arial Unicode MS" w:cs="Arial"/>
                <w:sz w:val="20"/>
                <w:szCs w:val="20"/>
              </w:rPr>
            </w:pPr>
            <w:r>
              <w:rPr>
                <w:rFonts w:cs="Arial"/>
                <w:sz w:val="20"/>
                <w:szCs w:val="20"/>
              </w:rPr>
              <w:t>FERNELMONT</w:t>
            </w:r>
          </w:p>
        </w:tc>
        <w:tc>
          <w:tcPr>
            <w:tcW w:w="1260" w:type="dxa"/>
          </w:tcPr>
          <w:p>
            <w:pPr>
              <w:rPr>
                <w:sz w:val="20"/>
                <w:szCs w:val="20"/>
              </w:rPr>
            </w:pPr>
            <w:r>
              <w:rPr>
                <w:sz w:val="20"/>
                <w:szCs w:val="20"/>
              </w:rPr>
              <w:t>117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BRAINE-LE-COMTE</w:t>
            </w:r>
          </w:p>
        </w:tc>
        <w:tc>
          <w:tcPr>
            <w:tcW w:w="1153" w:type="dxa"/>
          </w:tcPr>
          <w:p>
            <w:pPr>
              <w:rPr>
                <w:sz w:val="20"/>
                <w:szCs w:val="20"/>
              </w:rPr>
            </w:pPr>
            <w:r>
              <w:rPr>
                <w:sz w:val="20"/>
                <w:szCs w:val="20"/>
              </w:rPr>
              <w:t>253</w:t>
            </w:r>
          </w:p>
        </w:tc>
        <w:tc>
          <w:tcPr>
            <w:tcW w:w="2909" w:type="dxa"/>
            <w:vAlign w:val="center"/>
          </w:tcPr>
          <w:p>
            <w:pPr>
              <w:ind w:left="110"/>
              <w:rPr>
                <w:rFonts w:eastAsia="Arial Unicode MS" w:cs="Arial"/>
                <w:sz w:val="20"/>
                <w:szCs w:val="20"/>
              </w:rPr>
            </w:pPr>
            <w:r>
              <w:rPr>
                <w:rFonts w:cs="Arial"/>
                <w:sz w:val="20"/>
                <w:szCs w:val="20"/>
              </w:rPr>
              <w:t>FERRIERES</w:t>
            </w:r>
          </w:p>
        </w:tc>
        <w:tc>
          <w:tcPr>
            <w:tcW w:w="1260" w:type="dxa"/>
          </w:tcPr>
          <w:p>
            <w:pPr>
              <w:rPr>
                <w:sz w:val="20"/>
                <w:szCs w:val="20"/>
              </w:rPr>
            </w:pPr>
            <w:r>
              <w:rPr>
                <w:sz w:val="20"/>
                <w:szCs w:val="20"/>
              </w:rPr>
              <w:t>85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BRAIVES</w:t>
            </w:r>
          </w:p>
        </w:tc>
        <w:tc>
          <w:tcPr>
            <w:tcW w:w="1153" w:type="dxa"/>
          </w:tcPr>
          <w:p>
            <w:pPr>
              <w:rPr>
                <w:sz w:val="20"/>
                <w:szCs w:val="20"/>
              </w:rPr>
            </w:pPr>
            <w:r>
              <w:rPr>
                <w:sz w:val="20"/>
                <w:szCs w:val="20"/>
              </w:rPr>
              <w:t>140</w:t>
            </w:r>
          </w:p>
        </w:tc>
        <w:tc>
          <w:tcPr>
            <w:tcW w:w="2909" w:type="dxa"/>
            <w:vAlign w:val="center"/>
          </w:tcPr>
          <w:p>
            <w:pPr>
              <w:ind w:left="110"/>
              <w:rPr>
                <w:rFonts w:eastAsia="Arial Unicode MS" w:cs="Arial"/>
                <w:sz w:val="20"/>
                <w:szCs w:val="20"/>
              </w:rPr>
            </w:pPr>
            <w:r>
              <w:rPr>
                <w:rFonts w:cs="Arial"/>
                <w:sz w:val="20"/>
                <w:szCs w:val="20"/>
              </w:rPr>
              <w:t>FEXHE-LE-HAUT-CLOCHER</w:t>
            </w:r>
          </w:p>
        </w:tc>
        <w:tc>
          <w:tcPr>
            <w:tcW w:w="1260" w:type="dxa"/>
          </w:tcPr>
          <w:p>
            <w:pPr>
              <w:rPr>
                <w:sz w:val="20"/>
                <w:szCs w:val="20"/>
              </w:rPr>
            </w:pPr>
            <w:r>
              <w:rPr>
                <w:sz w:val="20"/>
                <w:szCs w:val="20"/>
              </w:rPr>
              <w:t>169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BRUGELETTE</w:t>
            </w:r>
          </w:p>
        </w:tc>
        <w:tc>
          <w:tcPr>
            <w:tcW w:w="1153" w:type="dxa"/>
          </w:tcPr>
          <w:p>
            <w:pPr>
              <w:rPr>
                <w:sz w:val="20"/>
                <w:szCs w:val="20"/>
              </w:rPr>
            </w:pPr>
            <w:r>
              <w:rPr>
                <w:sz w:val="20"/>
                <w:szCs w:val="20"/>
              </w:rPr>
              <w:t>128</w:t>
            </w:r>
          </w:p>
        </w:tc>
        <w:tc>
          <w:tcPr>
            <w:tcW w:w="2909" w:type="dxa"/>
            <w:vAlign w:val="center"/>
          </w:tcPr>
          <w:p>
            <w:pPr>
              <w:ind w:left="110"/>
              <w:rPr>
                <w:rFonts w:eastAsia="Arial Unicode MS" w:cs="Arial"/>
                <w:sz w:val="20"/>
                <w:szCs w:val="20"/>
                <w:lang w:val="de-DE"/>
              </w:rPr>
            </w:pPr>
            <w:r>
              <w:rPr>
                <w:rFonts w:cs="Arial"/>
                <w:sz w:val="20"/>
                <w:szCs w:val="20"/>
                <w:lang w:val="de-DE"/>
              </w:rPr>
              <w:t>FLEMALLE</w:t>
            </w:r>
          </w:p>
        </w:tc>
        <w:tc>
          <w:tcPr>
            <w:tcW w:w="1260" w:type="dxa"/>
          </w:tcPr>
          <w:p>
            <w:pPr>
              <w:rPr>
                <w:sz w:val="20"/>
                <w:szCs w:val="20"/>
              </w:rPr>
            </w:pPr>
            <w:r>
              <w:rPr>
                <w:sz w:val="20"/>
                <w:szCs w:val="20"/>
              </w:rPr>
              <w:t>710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BRUNEHAUT</w:t>
            </w:r>
          </w:p>
        </w:tc>
        <w:tc>
          <w:tcPr>
            <w:tcW w:w="1153" w:type="dxa"/>
          </w:tcPr>
          <w:p>
            <w:pPr>
              <w:rPr>
                <w:sz w:val="20"/>
                <w:szCs w:val="20"/>
              </w:rPr>
            </w:pPr>
            <w:r>
              <w:rPr>
                <w:sz w:val="20"/>
                <w:szCs w:val="20"/>
              </w:rPr>
              <w:t>176</w:t>
            </w:r>
          </w:p>
        </w:tc>
        <w:tc>
          <w:tcPr>
            <w:tcW w:w="2909" w:type="dxa"/>
            <w:vAlign w:val="center"/>
          </w:tcPr>
          <w:p>
            <w:pPr>
              <w:ind w:left="110"/>
              <w:rPr>
                <w:rFonts w:eastAsia="Arial Unicode MS" w:cs="Arial"/>
                <w:sz w:val="20"/>
                <w:szCs w:val="20"/>
              </w:rPr>
            </w:pPr>
            <w:r>
              <w:rPr>
                <w:rFonts w:cs="Arial"/>
                <w:sz w:val="20"/>
                <w:szCs w:val="20"/>
              </w:rPr>
              <w:t>FLERON</w:t>
            </w:r>
          </w:p>
        </w:tc>
        <w:tc>
          <w:tcPr>
            <w:tcW w:w="1260" w:type="dxa"/>
          </w:tcPr>
          <w:p>
            <w:pPr>
              <w:rPr>
                <w:sz w:val="20"/>
                <w:szCs w:val="20"/>
              </w:rPr>
            </w:pPr>
            <w:r>
              <w:rPr>
                <w:sz w:val="20"/>
                <w:szCs w:val="20"/>
              </w:rPr>
              <w:t>1201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BRUXELLES</w:t>
            </w:r>
          </w:p>
        </w:tc>
        <w:tc>
          <w:tcPr>
            <w:tcW w:w="1153" w:type="dxa"/>
          </w:tcPr>
          <w:p>
            <w:pPr>
              <w:rPr>
                <w:sz w:val="20"/>
                <w:szCs w:val="20"/>
              </w:rPr>
            </w:pPr>
            <w:r>
              <w:rPr>
                <w:sz w:val="20"/>
                <w:szCs w:val="20"/>
              </w:rPr>
              <w:t>5383</w:t>
            </w:r>
          </w:p>
        </w:tc>
        <w:tc>
          <w:tcPr>
            <w:tcW w:w="2909" w:type="dxa"/>
            <w:vAlign w:val="center"/>
          </w:tcPr>
          <w:p>
            <w:pPr>
              <w:ind w:left="110"/>
              <w:rPr>
                <w:rFonts w:eastAsia="Arial Unicode MS" w:cs="Arial"/>
                <w:sz w:val="20"/>
                <w:szCs w:val="20"/>
              </w:rPr>
            </w:pPr>
            <w:r>
              <w:rPr>
                <w:rFonts w:cs="Arial"/>
                <w:sz w:val="20"/>
                <w:szCs w:val="20"/>
              </w:rPr>
              <w:t>FLEURUS</w:t>
            </w:r>
          </w:p>
        </w:tc>
        <w:tc>
          <w:tcPr>
            <w:tcW w:w="1260" w:type="dxa"/>
          </w:tcPr>
          <w:p>
            <w:pPr>
              <w:rPr>
                <w:sz w:val="20"/>
                <w:szCs w:val="20"/>
              </w:rPr>
            </w:pPr>
            <w:r>
              <w:rPr>
                <w:sz w:val="20"/>
                <w:szCs w:val="20"/>
              </w:rPr>
              <w:t>386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BURDINNE</w:t>
            </w:r>
          </w:p>
        </w:tc>
        <w:tc>
          <w:tcPr>
            <w:tcW w:w="1153" w:type="dxa"/>
          </w:tcPr>
          <w:p>
            <w:pPr>
              <w:rPr>
                <w:sz w:val="20"/>
                <w:szCs w:val="20"/>
              </w:rPr>
            </w:pPr>
            <w:r>
              <w:rPr>
                <w:sz w:val="20"/>
                <w:szCs w:val="20"/>
              </w:rPr>
              <w:t>96</w:t>
            </w:r>
          </w:p>
        </w:tc>
        <w:tc>
          <w:tcPr>
            <w:tcW w:w="2909" w:type="dxa"/>
            <w:vAlign w:val="center"/>
          </w:tcPr>
          <w:p>
            <w:pPr>
              <w:ind w:left="110"/>
              <w:rPr>
                <w:rFonts w:eastAsia="Arial Unicode MS" w:cs="Arial"/>
                <w:sz w:val="20"/>
                <w:szCs w:val="20"/>
              </w:rPr>
            </w:pPr>
            <w:r>
              <w:rPr>
                <w:rFonts w:cs="Arial"/>
                <w:sz w:val="20"/>
                <w:szCs w:val="20"/>
              </w:rPr>
              <w:t>FLOBECQ</w:t>
            </w:r>
          </w:p>
        </w:tc>
        <w:tc>
          <w:tcPr>
            <w:tcW w:w="1260" w:type="dxa"/>
          </w:tcPr>
          <w:p>
            <w:pPr>
              <w:rPr>
                <w:sz w:val="20"/>
                <w:szCs w:val="20"/>
              </w:rPr>
            </w:pPr>
            <w:r>
              <w:rPr>
                <w:sz w:val="20"/>
                <w:szCs w:val="20"/>
              </w:rPr>
              <w:t>150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CELLES</w:t>
            </w:r>
          </w:p>
        </w:tc>
        <w:tc>
          <w:tcPr>
            <w:tcW w:w="1153" w:type="dxa"/>
          </w:tcPr>
          <w:p>
            <w:pPr>
              <w:rPr>
                <w:sz w:val="20"/>
                <w:szCs w:val="20"/>
              </w:rPr>
            </w:pPr>
            <w:r>
              <w:rPr>
                <w:sz w:val="20"/>
                <w:szCs w:val="20"/>
              </w:rPr>
              <w:t>83</w:t>
            </w:r>
          </w:p>
        </w:tc>
        <w:tc>
          <w:tcPr>
            <w:tcW w:w="2909" w:type="dxa"/>
            <w:vAlign w:val="center"/>
          </w:tcPr>
          <w:p>
            <w:pPr>
              <w:ind w:left="110"/>
              <w:rPr>
                <w:rFonts w:eastAsia="Arial Unicode MS" w:cs="Arial"/>
                <w:sz w:val="20"/>
                <w:szCs w:val="20"/>
              </w:rPr>
            </w:pPr>
            <w:r>
              <w:rPr>
                <w:rFonts w:cs="Arial"/>
                <w:sz w:val="20"/>
                <w:szCs w:val="20"/>
              </w:rPr>
              <w:t>FLOREFFE</w:t>
            </w:r>
          </w:p>
        </w:tc>
        <w:tc>
          <w:tcPr>
            <w:tcW w:w="1260" w:type="dxa"/>
          </w:tcPr>
          <w:p>
            <w:pPr>
              <w:rPr>
                <w:sz w:val="20"/>
                <w:szCs w:val="20"/>
              </w:rPr>
            </w:pPr>
            <w:r>
              <w:rPr>
                <w:sz w:val="20"/>
                <w:szCs w:val="20"/>
              </w:rPr>
              <w:t>205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CERFONTAINE</w:t>
            </w:r>
          </w:p>
        </w:tc>
        <w:tc>
          <w:tcPr>
            <w:tcW w:w="1153" w:type="dxa"/>
          </w:tcPr>
          <w:p>
            <w:pPr>
              <w:rPr>
                <w:sz w:val="20"/>
                <w:szCs w:val="20"/>
              </w:rPr>
            </w:pPr>
            <w:r>
              <w:rPr>
                <w:sz w:val="20"/>
                <w:szCs w:val="20"/>
              </w:rPr>
              <w:t>59</w:t>
            </w:r>
          </w:p>
        </w:tc>
        <w:tc>
          <w:tcPr>
            <w:tcW w:w="2909" w:type="dxa"/>
            <w:vAlign w:val="center"/>
          </w:tcPr>
          <w:p>
            <w:pPr>
              <w:ind w:left="110"/>
              <w:rPr>
                <w:rFonts w:eastAsia="Arial Unicode MS" w:cs="Arial"/>
                <w:sz w:val="20"/>
                <w:szCs w:val="20"/>
              </w:rPr>
            </w:pPr>
            <w:r>
              <w:rPr>
                <w:rFonts w:cs="Arial"/>
                <w:sz w:val="20"/>
                <w:szCs w:val="20"/>
              </w:rPr>
              <w:t>FLORENNES</w:t>
            </w:r>
          </w:p>
        </w:tc>
        <w:tc>
          <w:tcPr>
            <w:tcW w:w="1260" w:type="dxa"/>
          </w:tcPr>
          <w:p>
            <w:pPr>
              <w:rPr>
                <w:sz w:val="20"/>
                <w:szCs w:val="20"/>
              </w:rPr>
            </w:pPr>
            <w:r>
              <w:rPr>
                <w:sz w:val="20"/>
                <w:szCs w:val="20"/>
              </w:rPr>
              <w:t>84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CHAPELLE-LEZ-HERLAIMONT</w:t>
            </w:r>
          </w:p>
        </w:tc>
        <w:tc>
          <w:tcPr>
            <w:tcW w:w="1153" w:type="dxa"/>
          </w:tcPr>
          <w:p>
            <w:pPr>
              <w:rPr>
                <w:sz w:val="20"/>
                <w:szCs w:val="20"/>
              </w:rPr>
            </w:pPr>
            <w:r>
              <w:rPr>
                <w:sz w:val="20"/>
                <w:szCs w:val="20"/>
              </w:rPr>
              <w:t>814</w:t>
            </w:r>
          </w:p>
        </w:tc>
        <w:tc>
          <w:tcPr>
            <w:tcW w:w="2909" w:type="dxa"/>
            <w:vAlign w:val="center"/>
          </w:tcPr>
          <w:p>
            <w:pPr>
              <w:ind w:left="110"/>
              <w:rPr>
                <w:rFonts w:eastAsia="Arial Unicode MS" w:cs="Arial"/>
                <w:sz w:val="20"/>
                <w:szCs w:val="20"/>
              </w:rPr>
            </w:pPr>
            <w:r>
              <w:rPr>
                <w:rFonts w:cs="Arial"/>
                <w:sz w:val="20"/>
                <w:szCs w:val="20"/>
              </w:rPr>
              <w:t>FLORENVILLE</w:t>
            </w:r>
          </w:p>
        </w:tc>
        <w:tc>
          <w:tcPr>
            <w:tcW w:w="1260" w:type="dxa"/>
          </w:tcPr>
          <w:p>
            <w:pPr>
              <w:rPr>
                <w:sz w:val="20"/>
                <w:szCs w:val="20"/>
              </w:rPr>
            </w:pPr>
            <w:r>
              <w:rPr>
                <w:sz w:val="20"/>
                <w:szCs w:val="20"/>
              </w:rPr>
              <w:t>38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CHARLEROI</w:t>
            </w:r>
          </w:p>
        </w:tc>
        <w:tc>
          <w:tcPr>
            <w:tcW w:w="1153" w:type="dxa"/>
          </w:tcPr>
          <w:p>
            <w:pPr>
              <w:rPr>
                <w:sz w:val="20"/>
                <w:szCs w:val="20"/>
              </w:rPr>
            </w:pPr>
            <w:r>
              <w:rPr>
                <w:sz w:val="20"/>
                <w:szCs w:val="20"/>
              </w:rPr>
              <w:t>1984</w:t>
            </w:r>
          </w:p>
        </w:tc>
        <w:tc>
          <w:tcPr>
            <w:tcW w:w="2909" w:type="dxa"/>
            <w:vAlign w:val="center"/>
          </w:tcPr>
          <w:p>
            <w:pPr>
              <w:ind w:left="110"/>
              <w:rPr>
                <w:rFonts w:eastAsia="Arial Unicode MS" w:cs="Arial"/>
                <w:sz w:val="20"/>
                <w:szCs w:val="20"/>
              </w:rPr>
            </w:pPr>
            <w:r>
              <w:rPr>
                <w:rFonts w:cs="Arial"/>
                <w:sz w:val="20"/>
                <w:szCs w:val="20"/>
              </w:rPr>
              <w:t>FONTAINE-L'EVEQUE</w:t>
            </w:r>
          </w:p>
        </w:tc>
        <w:tc>
          <w:tcPr>
            <w:tcW w:w="1260" w:type="dxa"/>
          </w:tcPr>
          <w:p>
            <w:pPr>
              <w:rPr>
                <w:sz w:val="20"/>
                <w:szCs w:val="20"/>
              </w:rPr>
            </w:pPr>
            <w:r>
              <w:rPr>
                <w:sz w:val="20"/>
                <w:szCs w:val="20"/>
              </w:rPr>
              <w:t>623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CHASTRE</w:t>
            </w:r>
          </w:p>
        </w:tc>
        <w:tc>
          <w:tcPr>
            <w:tcW w:w="1153" w:type="dxa"/>
          </w:tcPr>
          <w:p>
            <w:pPr>
              <w:rPr>
                <w:sz w:val="20"/>
                <w:szCs w:val="20"/>
              </w:rPr>
            </w:pPr>
            <w:r>
              <w:rPr>
                <w:sz w:val="20"/>
                <w:szCs w:val="20"/>
              </w:rPr>
              <w:t>237</w:t>
            </w:r>
          </w:p>
        </w:tc>
        <w:tc>
          <w:tcPr>
            <w:tcW w:w="2909" w:type="dxa"/>
            <w:vAlign w:val="center"/>
          </w:tcPr>
          <w:p>
            <w:pPr>
              <w:ind w:left="110"/>
              <w:rPr>
                <w:rFonts w:eastAsia="Arial Unicode MS" w:cs="Arial"/>
                <w:sz w:val="20"/>
                <w:szCs w:val="20"/>
              </w:rPr>
            </w:pPr>
            <w:r>
              <w:rPr>
                <w:rFonts w:cs="Arial"/>
                <w:sz w:val="20"/>
                <w:szCs w:val="20"/>
              </w:rPr>
              <w:t>FOREST</w:t>
            </w:r>
          </w:p>
        </w:tc>
        <w:tc>
          <w:tcPr>
            <w:tcW w:w="1260" w:type="dxa"/>
          </w:tcPr>
          <w:p>
            <w:pPr>
              <w:rPr>
                <w:sz w:val="20"/>
                <w:szCs w:val="20"/>
              </w:rPr>
            </w:pPr>
            <w:r>
              <w:rPr>
                <w:sz w:val="20"/>
                <w:szCs w:val="20"/>
              </w:rPr>
              <w:t>8805</w:t>
            </w:r>
          </w:p>
        </w:tc>
      </w:tr>
      <w:tr>
        <w:trPr>
          <w:trHeight w:val="227"/>
          <w:jc w:val="center"/>
        </w:trPr>
        <w:tc>
          <w:tcPr>
            <w:tcW w:w="2990" w:type="dxa"/>
            <w:tcBorders>
              <w:left w:val="single" w:sz="4" w:space="0" w:color="auto"/>
              <w:bottom w:val="single" w:sz="4" w:space="0" w:color="auto"/>
            </w:tcBorders>
            <w:vAlign w:val="center"/>
          </w:tcPr>
          <w:p>
            <w:pPr>
              <w:ind w:left="98"/>
              <w:rPr>
                <w:rFonts w:eastAsia="Arial Unicode MS" w:cs="Arial"/>
                <w:sz w:val="20"/>
                <w:szCs w:val="20"/>
              </w:rPr>
            </w:pPr>
            <w:r>
              <w:rPr>
                <w:rFonts w:cs="Arial"/>
                <w:sz w:val="20"/>
                <w:szCs w:val="20"/>
              </w:rPr>
              <w:t>CHATELET</w:t>
            </w:r>
          </w:p>
        </w:tc>
        <w:tc>
          <w:tcPr>
            <w:tcW w:w="1153" w:type="dxa"/>
            <w:tcBorders>
              <w:bottom w:val="single" w:sz="4" w:space="0" w:color="auto"/>
            </w:tcBorders>
          </w:tcPr>
          <w:p>
            <w:pPr>
              <w:rPr>
                <w:sz w:val="20"/>
                <w:szCs w:val="20"/>
              </w:rPr>
            </w:pPr>
            <w:r>
              <w:rPr>
                <w:sz w:val="20"/>
                <w:szCs w:val="20"/>
              </w:rPr>
              <w:t>1348</w:t>
            </w:r>
          </w:p>
        </w:tc>
        <w:tc>
          <w:tcPr>
            <w:tcW w:w="2909" w:type="dxa"/>
            <w:tcBorders>
              <w:bottom w:val="single" w:sz="4" w:space="0" w:color="auto"/>
            </w:tcBorders>
            <w:vAlign w:val="center"/>
          </w:tcPr>
          <w:p>
            <w:pPr>
              <w:ind w:left="110"/>
              <w:rPr>
                <w:rFonts w:eastAsia="Arial Unicode MS" w:cs="Arial"/>
                <w:sz w:val="20"/>
                <w:szCs w:val="20"/>
              </w:rPr>
            </w:pPr>
            <w:r>
              <w:rPr>
                <w:rFonts w:cs="Arial"/>
                <w:sz w:val="20"/>
                <w:szCs w:val="20"/>
              </w:rPr>
              <w:t>FOSSES-LA-VILLE</w:t>
            </w:r>
          </w:p>
        </w:tc>
        <w:tc>
          <w:tcPr>
            <w:tcW w:w="1260" w:type="dxa"/>
            <w:tcBorders>
              <w:bottom w:val="single" w:sz="4" w:space="0" w:color="auto"/>
            </w:tcBorders>
          </w:tcPr>
          <w:p>
            <w:pPr>
              <w:rPr>
                <w:sz w:val="20"/>
                <w:szCs w:val="20"/>
              </w:rPr>
            </w:pPr>
            <w:r>
              <w:rPr>
                <w:sz w:val="20"/>
                <w:szCs w:val="20"/>
              </w:rPr>
              <w:t>164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CHAUDFONTAINE</w:t>
            </w:r>
          </w:p>
        </w:tc>
        <w:tc>
          <w:tcPr>
            <w:tcW w:w="1153" w:type="dxa"/>
          </w:tcPr>
          <w:p>
            <w:pPr>
              <w:rPr>
                <w:sz w:val="20"/>
                <w:szCs w:val="20"/>
              </w:rPr>
            </w:pPr>
            <w:r>
              <w:rPr>
                <w:sz w:val="20"/>
                <w:szCs w:val="20"/>
              </w:rPr>
              <w:t>823</w:t>
            </w:r>
          </w:p>
        </w:tc>
        <w:tc>
          <w:tcPr>
            <w:tcW w:w="2909" w:type="dxa"/>
            <w:vAlign w:val="center"/>
          </w:tcPr>
          <w:p>
            <w:pPr>
              <w:ind w:left="110"/>
              <w:rPr>
                <w:rFonts w:eastAsia="Arial Unicode MS" w:cs="Arial"/>
                <w:sz w:val="20"/>
                <w:szCs w:val="20"/>
              </w:rPr>
            </w:pPr>
            <w:r>
              <w:rPr>
                <w:rFonts w:cs="Arial"/>
                <w:sz w:val="20"/>
                <w:szCs w:val="20"/>
              </w:rPr>
              <w:t>FRAMERIES</w:t>
            </w:r>
          </w:p>
        </w:tc>
        <w:tc>
          <w:tcPr>
            <w:tcW w:w="1260" w:type="dxa"/>
          </w:tcPr>
          <w:p>
            <w:pPr>
              <w:rPr>
                <w:sz w:val="20"/>
                <w:szCs w:val="20"/>
              </w:rPr>
            </w:pPr>
            <w:r>
              <w:rPr>
                <w:sz w:val="20"/>
                <w:szCs w:val="20"/>
              </w:rPr>
              <w:t>838</w:t>
            </w:r>
          </w:p>
        </w:tc>
      </w:tr>
    </w:tbl>
    <w:p>
      <w:pPr>
        <w:rPr>
          <w:sz w:val="20"/>
          <w:szCs w:val="20"/>
        </w:rPr>
      </w:pPr>
      <w:r>
        <w:rPr>
          <w:sz w:val="20"/>
          <w:szCs w:val="20"/>
        </w:rPr>
        <w:br w:type="page"/>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0"/>
        <w:gridCol w:w="1153"/>
        <w:gridCol w:w="2909"/>
        <w:gridCol w:w="1260"/>
      </w:tblGrid>
      <w:tr>
        <w:trPr>
          <w:trHeight w:val="227"/>
          <w:jc w:val="center"/>
        </w:trPr>
        <w:tc>
          <w:tcPr>
            <w:tcW w:w="2990" w:type="dxa"/>
            <w:tcBorders>
              <w:left w:val="single" w:sz="4" w:space="0" w:color="auto"/>
            </w:tcBorders>
            <w:vAlign w:val="center"/>
          </w:tcPr>
          <w:p>
            <w:pPr>
              <w:jc w:val="center"/>
              <w:rPr>
                <w:rFonts w:eastAsia="Arial Unicode MS" w:cs="Arial"/>
                <w:b/>
                <w:sz w:val="20"/>
                <w:szCs w:val="20"/>
              </w:rPr>
            </w:pPr>
            <w:r>
              <w:rPr>
                <w:rFonts w:cs="Arial"/>
                <w:b/>
                <w:sz w:val="20"/>
                <w:szCs w:val="20"/>
              </w:rPr>
              <w:t>COMMUNE</w:t>
            </w:r>
          </w:p>
        </w:tc>
        <w:tc>
          <w:tcPr>
            <w:tcW w:w="1153" w:type="dxa"/>
            <w:vAlign w:val="center"/>
          </w:tcPr>
          <w:p>
            <w:pPr>
              <w:jc w:val="center"/>
              <w:rPr>
                <w:rFonts w:eastAsia="Arial Unicode MS" w:cs="Arial"/>
                <w:b/>
                <w:sz w:val="20"/>
                <w:szCs w:val="20"/>
              </w:rPr>
            </w:pPr>
            <w:r>
              <w:rPr>
                <w:rFonts w:cs="Arial"/>
                <w:b/>
                <w:sz w:val="20"/>
                <w:szCs w:val="20"/>
              </w:rPr>
              <w:t>DENSITÉ</w:t>
            </w:r>
            <w:r>
              <w:rPr>
                <w:rFonts w:cs="Arial"/>
                <w:b/>
                <w:sz w:val="20"/>
                <w:szCs w:val="20"/>
              </w:rPr>
              <w:br/>
              <w:t>01/01/2015</w:t>
            </w:r>
          </w:p>
        </w:tc>
        <w:tc>
          <w:tcPr>
            <w:tcW w:w="2909" w:type="dxa"/>
            <w:vAlign w:val="center"/>
          </w:tcPr>
          <w:p>
            <w:pPr>
              <w:jc w:val="center"/>
              <w:rPr>
                <w:rFonts w:cs="Arial"/>
                <w:b/>
                <w:sz w:val="20"/>
                <w:szCs w:val="20"/>
              </w:rPr>
            </w:pPr>
            <w:r>
              <w:rPr>
                <w:rFonts w:cs="Arial"/>
                <w:b/>
                <w:sz w:val="20"/>
                <w:szCs w:val="20"/>
              </w:rPr>
              <w:t>COMMUNE</w:t>
            </w:r>
          </w:p>
        </w:tc>
        <w:tc>
          <w:tcPr>
            <w:tcW w:w="1260" w:type="dxa"/>
            <w:vAlign w:val="center"/>
          </w:tcPr>
          <w:p>
            <w:pPr>
              <w:jc w:val="center"/>
              <w:rPr>
                <w:rFonts w:cs="Arial"/>
                <w:b/>
                <w:sz w:val="20"/>
                <w:szCs w:val="20"/>
              </w:rPr>
            </w:pPr>
            <w:r>
              <w:rPr>
                <w:rFonts w:cs="Arial"/>
                <w:b/>
                <w:sz w:val="20"/>
                <w:szCs w:val="20"/>
              </w:rPr>
              <w:t>DENSITÉ</w:t>
            </w:r>
            <w:r>
              <w:rPr>
                <w:rFonts w:cs="Arial"/>
                <w:b/>
                <w:sz w:val="20"/>
                <w:szCs w:val="20"/>
              </w:rPr>
              <w:br/>
              <w:t>01/01/2015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FRASNES-LEZ-ANVAING</w:t>
            </w:r>
          </w:p>
        </w:tc>
        <w:tc>
          <w:tcPr>
            <w:tcW w:w="1153" w:type="dxa"/>
          </w:tcPr>
          <w:p>
            <w:pPr>
              <w:rPr>
                <w:sz w:val="20"/>
                <w:szCs w:val="20"/>
              </w:rPr>
            </w:pPr>
            <w:r>
              <w:rPr>
                <w:sz w:val="20"/>
                <w:szCs w:val="20"/>
              </w:rPr>
              <w:t>104</w:t>
            </w:r>
          </w:p>
        </w:tc>
        <w:tc>
          <w:tcPr>
            <w:tcW w:w="2909" w:type="dxa"/>
            <w:vAlign w:val="center"/>
          </w:tcPr>
          <w:p>
            <w:pPr>
              <w:ind w:left="110"/>
              <w:rPr>
                <w:rFonts w:eastAsia="Arial Unicode MS" w:cs="Arial"/>
                <w:sz w:val="20"/>
                <w:szCs w:val="20"/>
              </w:rPr>
            </w:pPr>
            <w:r>
              <w:rPr>
                <w:rFonts w:cs="Arial"/>
                <w:sz w:val="20"/>
                <w:szCs w:val="20"/>
              </w:rPr>
              <w:t>LIBRAMONT-CHEVIGNY</w:t>
            </w:r>
          </w:p>
        </w:tc>
        <w:tc>
          <w:tcPr>
            <w:tcW w:w="1260" w:type="dxa"/>
          </w:tcPr>
          <w:p>
            <w:pPr>
              <w:rPr>
                <w:sz w:val="20"/>
                <w:szCs w:val="20"/>
              </w:rPr>
            </w:pPr>
            <w:r>
              <w:rPr>
                <w:sz w:val="20"/>
                <w:szCs w:val="20"/>
              </w:rPr>
              <w:t>61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FROIDCHAPELLE</w:t>
            </w:r>
          </w:p>
        </w:tc>
        <w:tc>
          <w:tcPr>
            <w:tcW w:w="1153" w:type="dxa"/>
          </w:tcPr>
          <w:p>
            <w:pPr>
              <w:rPr>
                <w:sz w:val="20"/>
                <w:szCs w:val="20"/>
              </w:rPr>
            </w:pPr>
            <w:r>
              <w:rPr>
                <w:sz w:val="20"/>
                <w:szCs w:val="20"/>
              </w:rPr>
              <w:t>46</w:t>
            </w:r>
          </w:p>
        </w:tc>
        <w:tc>
          <w:tcPr>
            <w:tcW w:w="2909" w:type="dxa"/>
            <w:vAlign w:val="center"/>
          </w:tcPr>
          <w:p>
            <w:pPr>
              <w:ind w:left="110"/>
              <w:rPr>
                <w:rFonts w:eastAsia="Arial Unicode MS" w:cs="Arial"/>
                <w:sz w:val="20"/>
                <w:szCs w:val="20"/>
                <w:lang w:val="de-DE"/>
              </w:rPr>
            </w:pPr>
            <w:r>
              <w:rPr>
                <w:rFonts w:cs="Arial"/>
                <w:sz w:val="20"/>
                <w:szCs w:val="20"/>
                <w:lang w:val="de-DE"/>
              </w:rPr>
              <w:t>LIEGE</w:t>
            </w:r>
          </w:p>
        </w:tc>
        <w:tc>
          <w:tcPr>
            <w:tcW w:w="1260" w:type="dxa"/>
          </w:tcPr>
          <w:p>
            <w:pPr>
              <w:rPr>
                <w:sz w:val="20"/>
                <w:szCs w:val="20"/>
              </w:rPr>
            </w:pPr>
            <w:r>
              <w:rPr>
                <w:sz w:val="20"/>
                <w:szCs w:val="20"/>
              </w:rPr>
              <w:t>2824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GANSHOREN</w:t>
            </w:r>
          </w:p>
        </w:tc>
        <w:tc>
          <w:tcPr>
            <w:tcW w:w="1153" w:type="dxa"/>
          </w:tcPr>
          <w:p>
            <w:pPr>
              <w:rPr>
                <w:sz w:val="20"/>
                <w:szCs w:val="20"/>
              </w:rPr>
            </w:pPr>
            <w:r>
              <w:rPr>
                <w:sz w:val="20"/>
                <w:szCs w:val="20"/>
              </w:rPr>
              <w:t>9802</w:t>
            </w:r>
          </w:p>
        </w:tc>
        <w:tc>
          <w:tcPr>
            <w:tcW w:w="2909" w:type="dxa"/>
            <w:vAlign w:val="center"/>
          </w:tcPr>
          <w:p>
            <w:pPr>
              <w:ind w:left="110"/>
              <w:rPr>
                <w:rFonts w:eastAsia="Arial Unicode MS" w:cs="Arial"/>
                <w:sz w:val="20"/>
                <w:szCs w:val="20"/>
                <w:lang w:val="de-DE"/>
              </w:rPr>
            </w:pPr>
            <w:r>
              <w:rPr>
                <w:rFonts w:cs="Arial"/>
                <w:sz w:val="20"/>
                <w:szCs w:val="20"/>
                <w:lang w:val="de-DE"/>
              </w:rPr>
              <w:t>LIERNEUX</w:t>
            </w:r>
          </w:p>
        </w:tc>
        <w:tc>
          <w:tcPr>
            <w:tcW w:w="1260" w:type="dxa"/>
          </w:tcPr>
          <w:p>
            <w:pPr>
              <w:rPr>
                <w:sz w:val="20"/>
                <w:szCs w:val="20"/>
              </w:rPr>
            </w:pPr>
            <w:r>
              <w:rPr>
                <w:sz w:val="20"/>
                <w:szCs w:val="20"/>
              </w:rPr>
              <w:t>39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GEDINNE</w:t>
            </w:r>
          </w:p>
        </w:tc>
        <w:tc>
          <w:tcPr>
            <w:tcW w:w="1153" w:type="dxa"/>
          </w:tcPr>
          <w:p>
            <w:pPr>
              <w:rPr>
                <w:sz w:val="20"/>
                <w:szCs w:val="20"/>
              </w:rPr>
            </w:pPr>
            <w:r>
              <w:rPr>
                <w:sz w:val="20"/>
                <w:szCs w:val="20"/>
              </w:rPr>
              <w:t>30</w:t>
            </w:r>
          </w:p>
        </w:tc>
        <w:tc>
          <w:tcPr>
            <w:tcW w:w="2909" w:type="dxa"/>
            <w:vAlign w:val="center"/>
          </w:tcPr>
          <w:p>
            <w:pPr>
              <w:ind w:left="110"/>
              <w:rPr>
                <w:rFonts w:eastAsia="Arial Unicode MS" w:cs="Arial"/>
                <w:sz w:val="20"/>
                <w:szCs w:val="20"/>
                <w:lang w:val="nl-NL"/>
              </w:rPr>
            </w:pPr>
            <w:r>
              <w:rPr>
                <w:rFonts w:cs="Arial"/>
                <w:sz w:val="20"/>
                <w:szCs w:val="20"/>
                <w:lang w:val="nl-NL"/>
              </w:rPr>
              <w:t>LIMBOURG</w:t>
            </w:r>
          </w:p>
        </w:tc>
        <w:tc>
          <w:tcPr>
            <w:tcW w:w="1260" w:type="dxa"/>
          </w:tcPr>
          <w:p>
            <w:pPr>
              <w:rPr>
                <w:sz w:val="20"/>
                <w:szCs w:val="20"/>
              </w:rPr>
            </w:pPr>
            <w:r>
              <w:rPr>
                <w:sz w:val="20"/>
                <w:szCs w:val="20"/>
              </w:rPr>
              <w:t>238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GEER</w:t>
            </w:r>
          </w:p>
        </w:tc>
        <w:tc>
          <w:tcPr>
            <w:tcW w:w="1153" w:type="dxa"/>
          </w:tcPr>
          <w:p>
            <w:pPr>
              <w:rPr>
                <w:sz w:val="20"/>
                <w:szCs w:val="20"/>
              </w:rPr>
            </w:pPr>
            <w:r>
              <w:rPr>
                <w:sz w:val="20"/>
                <w:szCs w:val="20"/>
              </w:rPr>
              <w:t>141</w:t>
            </w:r>
          </w:p>
        </w:tc>
        <w:tc>
          <w:tcPr>
            <w:tcW w:w="2909" w:type="dxa"/>
            <w:vAlign w:val="center"/>
          </w:tcPr>
          <w:p>
            <w:pPr>
              <w:ind w:left="110"/>
              <w:rPr>
                <w:rFonts w:eastAsia="Arial Unicode MS" w:cs="Arial"/>
                <w:sz w:val="20"/>
                <w:szCs w:val="20"/>
              </w:rPr>
            </w:pPr>
            <w:r>
              <w:rPr>
                <w:rFonts w:cs="Arial"/>
                <w:sz w:val="20"/>
                <w:szCs w:val="20"/>
              </w:rPr>
              <w:t>LINCENT</w:t>
            </w:r>
          </w:p>
        </w:tc>
        <w:tc>
          <w:tcPr>
            <w:tcW w:w="1260" w:type="dxa"/>
          </w:tcPr>
          <w:p>
            <w:pPr>
              <w:rPr>
                <w:sz w:val="20"/>
                <w:szCs w:val="20"/>
              </w:rPr>
            </w:pPr>
            <w:r>
              <w:rPr>
                <w:sz w:val="20"/>
                <w:szCs w:val="20"/>
              </w:rPr>
              <w:t>222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GEMBLOUX</w:t>
            </w:r>
          </w:p>
        </w:tc>
        <w:tc>
          <w:tcPr>
            <w:tcW w:w="1153" w:type="dxa"/>
          </w:tcPr>
          <w:p>
            <w:pPr>
              <w:rPr>
                <w:sz w:val="20"/>
                <w:szCs w:val="20"/>
              </w:rPr>
            </w:pPr>
            <w:r>
              <w:rPr>
                <w:sz w:val="20"/>
                <w:szCs w:val="20"/>
              </w:rPr>
              <w:t>263</w:t>
            </w:r>
          </w:p>
        </w:tc>
        <w:tc>
          <w:tcPr>
            <w:tcW w:w="2909" w:type="dxa"/>
            <w:vAlign w:val="center"/>
          </w:tcPr>
          <w:p>
            <w:pPr>
              <w:ind w:left="110"/>
              <w:rPr>
                <w:rFonts w:eastAsia="Arial Unicode MS" w:cs="Arial"/>
                <w:sz w:val="20"/>
                <w:szCs w:val="20"/>
              </w:rPr>
            </w:pPr>
            <w:r>
              <w:rPr>
                <w:rFonts w:cs="Arial"/>
                <w:sz w:val="20"/>
                <w:szCs w:val="20"/>
              </w:rPr>
              <w:t>LOBBES</w:t>
            </w:r>
          </w:p>
        </w:tc>
        <w:tc>
          <w:tcPr>
            <w:tcW w:w="1260" w:type="dxa"/>
          </w:tcPr>
          <w:p>
            <w:pPr>
              <w:rPr>
                <w:sz w:val="20"/>
                <w:szCs w:val="20"/>
              </w:rPr>
            </w:pPr>
            <w:r>
              <w:rPr>
                <w:sz w:val="20"/>
                <w:szCs w:val="20"/>
              </w:rPr>
              <w:t>179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GENAPPE</w:t>
            </w:r>
          </w:p>
        </w:tc>
        <w:tc>
          <w:tcPr>
            <w:tcW w:w="1153" w:type="dxa"/>
          </w:tcPr>
          <w:p>
            <w:pPr>
              <w:rPr>
                <w:sz w:val="20"/>
                <w:szCs w:val="20"/>
              </w:rPr>
            </w:pPr>
            <w:r>
              <w:rPr>
                <w:sz w:val="20"/>
                <w:szCs w:val="20"/>
              </w:rPr>
              <w:t>171</w:t>
            </w:r>
          </w:p>
        </w:tc>
        <w:tc>
          <w:tcPr>
            <w:tcW w:w="2909" w:type="dxa"/>
            <w:vAlign w:val="center"/>
          </w:tcPr>
          <w:p>
            <w:pPr>
              <w:ind w:left="110"/>
              <w:rPr>
                <w:rFonts w:eastAsia="Arial Unicode MS" w:cs="Arial"/>
                <w:sz w:val="20"/>
                <w:szCs w:val="20"/>
                <w:lang w:val="de-DE"/>
              </w:rPr>
            </w:pPr>
            <w:r>
              <w:rPr>
                <w:rFonts w:cs="Arial"/>
                <w:sz w:val="20"/>
                <w:szCs w:val="20"/>
                <w:lang w:val="de-DE"/>
              </w:rPr>
              <w:t>MALMEDY</w:t>
            </w:r>
          </w:p>
        </w:tc>
        <w:tc>
          <w:tcPr>
            <w:tcW w:w="1260" w:type="dxa"/>
          </w:tcPr>
          <w:p>
            <w:pPr>
              <w:rPr>
                <w:sz w:val="20"/>
                <w:szCs w:val="20"/>
              </w:rPr>
            </w:pPr>
            <w:r>
              <w:rPr>
                <w:sz w:val="20"/>
                <w:szCs w:val="20"/>
              </w:rPr>
              <w:t>124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GERPINNES</w:t>
            </w:r>
          </w:p>
        </w:tc>
        <w:tc>
          <w:tcPr>
            <w:tcW w:w="1153" w:type="dxa"/>
          </w:tcPr>
          <w:p>
            <w:pPr>
              <w:rPr>
                <w:sz w:val="20"/>
                <w:szCs w:val="20"/>
              </w:rPr>
            </w:pPr>
            <w:r>
              <w:rPr>
                <w:sz w:val="20"/>
                <w:szCs w:val="20"/>
              </w:rPr>
              <w:t>262</w:t>
            </w:r>
          </w:p>
        </w:tc>
        <w:tc>
          <w:tcPr>
            <w:tcW w:w="2909" w:type="dxa"/>
            <w:vAlign w:val="center"/>
          </w:tcPr>
          <w:p>
            <w:pPr>
              <w:ind w:left="110"/>
              <w:rPr>
                <w:rFonts w:eastAsia="Arial Unicode MS" w:cs="Arial"/>
                <w:sz w:val="20"/>
                <w:szCs w:val="20"/>
                <w:lang w:val="de-DE"/>
              </w:rPr>
            </w:pPr>
            <w:r>
              <w:rPr>
                <w:rFonts w:cs="Arial"/>
                <w:sz w:val="20"/>
                <w:szCs w:val="20"/>
                <w:lang w:val="de-DE"/>
              </w:rPr>
              <w:t>MANAGE</w:t>
            </w:r>
          </w:p>
        </w:tc>
        <w:tc>
          <w:tcPr>
            <w:tcW w:w="1260" w:type="dxa"/>
          </w:tcPr>
          <w:p>
            <w:pPr>
              <w:rPr>
                <w:sz w:val="20"/>
                <w:szCs w:val="20"/>
              </w:rPr>
            </w:pPr>
            <w:r>
              <w:rPr>
                <w:sz w:val="20"/>
                <w:szCs w:val="20"/>
              </w:rPr>
              <w:t>1167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GESVES</w:t>
            </w:r>
          </w:p>
        </w:tc>
        <w:tc>
          <w:tcPr>
            <w:tcW w:w="1153" w:type="dxa"/>
          </w:tcPr>
          <w:p>
            <w:pPr>
              <w:rPr>
                <w:sz w:val="20"/>
                <w:szCs w:val="20"/>
              </w:rPr>
            </w:pPr>
            <w:r>
              <w:rPr>
                <w:sz w:val="20"/>
                <w:szCs w:val="20"/>
              </w:rPr>
              <w:t>109</w:t>
            </w:r>
          </w:p>
        </w:tc>
        <w:tc>
          <w:tcPr>
            <w:tcW w:w="2909" w:type="dxa"/>
            <w:vAlign w:val="center"/>
          </w:tcPr>
          <w:p>
            <w:pPr>
              <w:ind w:left="110"/>
              <w:rPr>
                <w:rFonts w:eastAsia="Arial Unicode MS" w:cs="Arial"/>
                <w:sz w:val="20"/>
                <w:szCs w:val="20"/>
                <w:lang w:val="de-DE"/>
              </w:rPr>
            </w:pPr>
            <w:r>
              <w:rPr>
                <w:rFonts w:cs="Arial"/>
                <w:sz w:val="20"/>
                <w:szCs w:val="20"/>
                <w:lang w:val="de-DE"/>
              </w:rPr>
              <w:t>MANHAY</w:t>
            </w:r>
          </w:p>
        </w:tc>
        <w:tc>
          <w:tcPr>
            <w:tcW w:w="1260" w:type="dxa"/>
          </w:tcPr>
          <w:p>
            <w:pPr>
              <w:rPr>
                <w:sz w:val="20"/>
                <w:szCs w:val="20"/>
              </w:rPr>
            </w:pPr>
            <w:r>
              <w:rPr>
                <w:sz w:val="20"/>
                <w:szCs w:val="20"/>
              </w:rPr>
              <w:t>28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GOUVY</w:t>
            </w:r>
          </w:p>
        </w:tc>
        <w:tc>
          <w:tcPr>
            <w:tcW w:w="1153" w:type="dxa"/>
          </w:tcPr>
          <w:p>
            <w:pPr>
              <w:rPr>
                <w:sz w:val="20"/>
                <w:szCs w:val="20"/>
              </w:rPr>
            </w:pPr>
            <w:r>
              <w:rPr>
                <w:sz w:val="20"/>
                <w:szCs w:val="20"/>
              </w:rPr>
              <w:t>31</w:t>
            </w:r>
          </w:p>
        </w:tc>
        <w:tc>
          <w:tcPr>
            <w:tcW w:w="2909" w:type="dxa"/>
            <w:vAlign w:val="center"/>
          </w:tcPr>
          <w:p>
            <w:pPr>
              <w:ind w:left="110"/>
              <w:rPr>
                <w:rFonts w:eastAsia="Arial Unicode MS" w:cs="Arial"/>
                <w:sz w:val="20"/>
                <w:szCs w:val="20"/>
              </w:rPr>
            </w:pPr>
            <w:r>
              <w:rPr>
                <w:rFonts w:cs="Arial"/>
                <w:sz w:val="20"/>
                <w:szCs w:val="20"/>
              </w:rPr>
              <w:t>MARCHE-EN-FAMENNE</w:t>
            </w:r>
          </w:p>
        </w:tc>
        <w:tc>
          <w:tcPr>
            <w:tcW w:w="1260" w:type="dxa"/>
          </w:tcPr>
          <w:p>
            <w:pPr>
              <w:rPr>
                <w:sz w:val="20"/>
                <w:szCs w:val="20"/>
              </w:rPr>
            </w:pPr>
            <w:r>
              <w:rPr>
                <w:sz w:val="20"/>
                <w:szCs w:val="20"/>
              </w:rPr>
              <w:t>144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GRACE-HOLLOGNE</w:t>
            </w:r>
          </w:p>
        </w:tc>
        <w:tc>
          <w:tcPr>
            <w:tcW w:w="1153" w:type="dxa"/>
          </w:tcPr>
          <w:p>
            <w:pPr>
              <w:rPr>
                <w:sz w:val="20"/>
                <w:szCs w:val="20"/>
              </w:rPr>
            </w:pPr>
            <w:r>
              <w:rPr>
                <w:sz w:val="20"/>
                <w:szCs w:val="20"/>
              </w:rPr>
              <w:t>645</w:t>
            </w:r>
          </w:p>
        </w:tc>
        <w:tc>
          <w:tcPr>
            <w:tcW w:w="2909" w:type="dxa"/>
            <w:vAlign w:val="center"/>
          </w:tcPr>
          <w:p>
            <w:pPr>
              <w:ind w:left="110"/>
              <w:rPr>
                <w:rFonts w:eastAsia="Arial Unicode MS" w:cs="Arial"/>
                <w:sz w:val="20"/>
                <w:szCs w:val="20"/>
              </w:rPr>
            </w:pPr>
            <w:r>
              <w:rPr>
                <w:rFonts w:cs="Arial"/>
                <w:sz w:val="20"/>
                <w:szCs w:val="20"/>
              </w:rPr>
              <w:t>MARCHIN</w:t>
            </w:r>
          </w:p>
        </w:tc>
        <w:tc>
          <w:tcPr>
            <w:tcW w:w="1260" w:type="dxa"/>
          </w:tcPr>
          <w:p>
            <w:pPr>
              <w:rPr>
                <w:sz w:val="20"/>
                <w:szCs w:val="20"/>
              </w:rPr>
            </w:pPr>
            <w:r>
              <w:rPr>
                <w:sz w:val="20"/>
                <w:szCs w:val="20"/>
              </w:rPr>
              <w:t>179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GREZ-DOICEAU</w:t>
            </w:r>
          </w:p>
        </w:tc>
        <w:tc>
          <w:tcPr>
            <w:tcW w:w="1153" w:type="dxa"/>
          </w:tcPr>
          <w:p>
            <w:pPr>
              <w:rPr>
                <w:sz w:val="20"/>
                <w:szCs w:val="20"/>
              </w:rPr>
            </w:pPr>
            <w:r>
              <w:rPr>
                <w:sz w:val="20"/>
                <w:szCs w:val="20"/>
              </w:rPr>
              <w:t>235</w:t>
            </w:r>
          </w:p>
        </w:tc>
        <w:tc>
          <w:tcPr>
            <w:tcW w:w="2909" w:type="dxa"/>
            <w:vAlign w:val="center"/>
          </w:tcPr>
          <w:p>
            <w:pPr>
              <w:ind w:left="110"/>
              <w:rPr>
                <w:rFonts w:eastAsia="Arial Unicode MS" w:cs="Arial"/>
                <w:sz w:val="20"/>
                <w:szCs w:val="20"/>
              </w:rPr>
            </w:pPr>
            <w:r>
              <w:rPr>
                <w:rFonts w:cs="Arial"/>
                <w:sz w:val="20"/>
                <w:szCs w:val="20"/>
              </w:rPr>
              <w:t>MARTELANGE</w:t>
            </w:r>
          </w:p>
        </w:tc>
        <w:tc>
          <w:tcPr>
            <w:tcW w:w="1260" w:type="dxa"/>
          </w:tcPr>
          <w:p>
            <w:pPr>
              <w:rPr>
                <w:sz w:val="20"/>
                <w:szCs w:val="20"/>
              </w:rPr>
            </w:pPr>
            <w:r>
              <w:rPr>
                <w:sz w:val="20"/>
                <w:szCs w:val="20"/>
              </w:rPr>
              <w:t>60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HABAY</w:t>
            </w:r>
          </w:p>
        </w:tc>
        <w:tc>
          <w:tcPr>
            <w:tcW w:w="1153" w:type="dxa"/>
          </w:tcPr>
          <w:p>
            <w:pPr>
              <w:rPr>
                <w:sz w:val="20"/>
                <w:szCs w:val="20"/>
              </w:rPr>
            </w:pPr>
            <w:r>
              <w:rPr>
                <w:sz w:val="20"/>
                <w:szCs w:val="20"/>
              </w:rPr>
              <w:t>80</w:t>
            </w:r>
          </w:p>
        </w:tc>
        <w:tc>
          <w:tcPr>
            <w:tcW w:w="2909" w:type="dxa"/>
            <w:vAlign w:val="center"/>
          </w:tcPr>
          <w:p>
            <w:pPr>
              <w:ind w:left="110"/>
              <w:rPr>
                <w:rFonts w:eastAsia="Arial Unicode MS" w:cs="Arial"/>
                <w:sz w:val="20"/>
                <w:szCs w:val="20"/>
              </w:rPr>
            </w:pPr>
            <w:r>
              <w:rPr>
                <w:rFonts w:cs="Arial"/>
                <w:sz w:val="20"/>
                <w:szCs w:val="20"/>
              </w:rPr>
              <w:t>MEIX-DEVANT-VIRTON</w:t>
            </w:r>
          </w:p>
        </w:tc>
        <w:tc>
          <w:tcPr>
            <w:tcW w:w="1260" w:type="dxa"/>
          </w:tcPr>
          <w:p>
            <w:pPr>
              <w:rPr>
                <w:sz w:val="20"/>
                <w:szCs w:val="20"/>
              </w:rPr>
            </w:pPr>
            <w:r>
              <w:rPr>
                <w:sz w:val="20"/>
                <w:szCs w:val="20"/>
              </w:rPr>
              <w:t>51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HAMOIR</w:t>
            </w:r>
          </w:p>
        </w:tc>
        <w:tc>
          <w:tcPr>
            <w:tcW w:w="1153" w:type="dxa"/>
          </w:tcPr>
          <w:p>
            <w:pPr>
              <w:rPr>
                <w:sz w:val="20"/>
                <w:szCs w:val="20"/>
              </w:rPr>
            </w:pPr>
            <w:r>
              <w:rPr>
                <w:sz w:val="20"/>
                <w:szCs w:val="20"/>
              </w:rPr>
              <w:t>140</w:t>
            </w:r>
          </w:p>
        </w:tc>
        <w:tc>
          <w:tcPr>
            <w:tcW w:w="2909" w:type="dxa"/>
            <w:vAlign w:val="center"/>
          </w:tcPr>
          <w:p>
            <w:pPr>
              <w:ind w:left="110"/>
              <w:rPr>
                <w:rFonts w:eastAsia="Arial Unicode MS" w:cs="Arial"/>
                <w:sz w:val="20"/>
                <w:szCs w:val="20"/>
              </w:rPr>
            </w:pPr>
            <w:r>
              <w:rPr>
                <w:rFonts w:cs="Arial"/>
                <w:sz w:val="20"/>
                <w:szCs w:val="20"/>
              </w:rPr>
              <w:t>MERBES-LE-CHATEAU</w:t>
            </w:r>
          </w:p>
        </w:tc>
        <w:tc>
          <w:tcPr>
            <w:tcW w:w="1260" w:type="dxa"/>
          </w:tcPr>
          <w:p>
            <w:pPr>
              <w:rPr>
                <w:sz w:val="20"/>
                <w:szCs w:val="20"/>
              </w:rPr>
            </w:pPr>
            <w:r>
              <w:rPr>
                <w:sz w:val="20"/>
                <w:szCs w:val="20"/>
              </w:rPr>
              <w:t>141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HAMOIS</w:t>
            </w:r>
          </w:p>
        </w:tc>
        <w:tc>
          <w:tcPr>
            <w:tcW w:w="1153" w:type="dxa"/>
          </w:tcPr>
          <w:p>
            <w:pPr>
              <w:rPr>
                <w:sz w:val="20"/>
                <w:szCs w:val="20"/>
              </w:rPr>
            </w:pPr>
            <w:r>
              <w:rPr>
                <w:sz w:val="20"/>
                <w:szCs w:val="20"/>
              </w:rPr>
              <w:t>95</w:t>
            </w:r>
          </w:p>
        </w:tc>
        <w:tc>
          <w:tcPr>
            <w:tcW w:w="2909" w:type="dxa"/>
            <w:vAlign w:val="center"/>
          </w:tcPr>
          <w:p>
            <w:pPr>
              <w:ind w:left="110"/>
              <w:rPr>
                <w:rFonts w:eastAsia="Arial Unicode MS" w:cs="Arial"/>
                <w:sz w:val="20"/>
                <w:szCs w:val="20"/>
              </w:rPr>
            </w:pPr>
            <w:r>
              <w:rPr>
                <w:rFonts w:cs="Arial"/>
                <w:sz w:val="20"/>
                <w:szCs w:val="20"/>
              </w:rPr>
              <w:t>MESSANCY</w:t>
            </w:r>
          </w:p>
        </w:tc>
        <w:tc>
          <w:tcPr>
            <w:tcW w:w="1260" w:type="dxa"/>
          </w:tcPr>
          <w:p>
            <w:pPr>
              <w:rPr>
                <w:sz w:val="20"/>
                <w:szCs w:val="20"/>
              </w:rPr>
            </w:pPr>
            <w:r>
              <w:rPr>
                <w:sz w:val="20"/>
                <w:szCs w:val="20"/>
              </w:rPr>
              <w:t>154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HAM-SUR-HEURE-NALINNES</w:t>
            </w:r>
          </w:p>
        </w:tc>
        <w:tc>
          <w:tcPr>
            <w:tcW w:w="1153" w:type="dxa"/>
          </w:tcPr>
          <w:p>
            <w:pPr>
              <w:rPr>
                <w:sz w:val="20"/>
                <w:szCs w:val="20"/>
              </w:rPr>
            </w:pPr>
            <w:r>
              <w:rPr>
                <w:sz w:val="20"/>
                <w:szCs w:val="20"/>
              </w:rPr>
              <w:t>299</w:t>
            </w:r>
          </w:p>
        </w:tc>
        <w:tc>
          <w:tcPr>
            <w:tcW w:w="2909" w:type="dxa"/>
            <w:vAlign w:val="center"/>
          </w:tcPr>
          <w:p>
            <w:pPr>
              <w:ind w:left="110"/>
              <w:rPr>
                <w:rFonts w:eastAsia="Arial Unicode MS" w:cs="Arial"/>
                <w:sz w:val="20"/>
                <w:szCs w:val="20"/>
                <w:lang w:val="en-GB"/>
              </w:rPr>
            </w:pPr>
            <w:r>
              <w:rPr>
                <w:rFonts w:cs="Arial"/>
                <w:sz w:val="20"/>
                <w:szCs w:val="20"/>
                <w:lang w:val="en-GB"/>
              </w:rPr>
              <w:t>METTET</w:t>
            </w:r>
          </w:p>
        </w:tc>
        <w:tc>
          <w:tcPr>
            <w:tcW w:w="1260" w:type="dxa"/>
          </w:tcPr>
          <w:p>
            <w:pPr>
              <w:rPr>
                <w:sz w:val="20"/>
                <w:szCs w:val="20"/>
              </w:rPr>
            </w:pPr>
            <w:r>
              <w:rPr>
                <w:sz w:val="20"/>
                <w:szCs w:val="20"/>
              </w:rPr>
              <w:t>110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HANNUT</w:t>
            </w:r>
          </w:p>
        </w:tc>
        <w:tc>
          <w:tcPr>
            <w:tcW w:w="1153" w:type="dxa"/>
          </w:tcPr>
          <w:p>
            <w:pPr>
              <w:rPr>
                <w:sz w:val="20"/>
                <w:szCs w:val="20"/>
              </w:rPr>
            </w:pPr>
            <w:r>
              <w:rPr>
                <w:sz w:val="20"/>
                <w:szCs w:val="20"/>
              </w:rPr>
              <w:t>183</w:t>
            </w:r>
          </w:p>
        </w:tc>
        <w:tc>
          <w:tcPr>
            <w:tcW w:w="2909" w:type="dxa"/>
            <w:vAlign w:val="center"/>
          </w:tcPr>
          <w:p>
            <w:pPr>
              <w:ind w:left="110"/>
              <w:rPr>
                <w:rFonts w:eastAsia="Arial Unicode MS" w:cs="Arial"/>
                <w:sz w:val="20"/>
                <w:szCs w:val="20"/>
                <w:lang w:val="en-GB"/>
              </w:rPr>
            </w:pPr>
            <w:r>
              <w:rPr>
                <w:rFonts w:cs="Arial"/>
                <w:sz w:val="20"/>
                <w:szCs w:val="20"/>
                <w:lang w:val="en-GB"/>
              </w:rPr>
              <w:t>MODAVE</w:t>
            </w:r>
          </w:p>
        </w:tc>
        <w:tc>
          <w:tcPr>
            <w:tcW w:w="1260" w:type="dxa"/>
          </w:tcPr>
          <w:p>
            <w:pPr>
              <w:rPr>
                <w:sz w:val="20"/>
                <w:szCs w:val="20"/>
              </w:rPr>
            </w:pPr>
            <w:r>
              <w:rPr>
                <w:sz w:val="20"/>
                <w:szCs w:val="20"/>
              </w:rPr>
              <w:t>104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HASTIERE</w:t>
            </w:r>
          </w:p>
        </w:tc>
        <w:tc>
          <w:tcPr>
            <w:tcW w:w="1153" w:type="dxa"/>
          </w:tcPr>
          <w:p>
            <w:pPr>
              <w:rPr>
                <w:sz w:val="20"/>
                <w:szCs w:val="20"/>
              </w:rPr>
            </w:pPr>
            <w:r>
              <w:rPr>
                <w:sz w:val="20"/>
                <w:szCs w:val="20"/>
              </w:rPr>
              <w:t>104</w:t>
            </w:r>
          </w:p>
        </w:tc>
        <w:tc>
          <w:tcPr>
            <w:tcW w:w="2909" w:type="dxa"/>
            <w:vAlign w:val="center"/>
          </w:tcPr>
          <w:p>
            <w:pPr>
              <w:ind w:left="110"/>
              <w:rPr>
                <w:rFonts w:eastAsia="Arial Unicode MS" w:cs="Arial"/>
                <w:sz w:val="20"/>
                <w:szCs w:val="20"/>
              </w:rPr>
            </w:pPr>
            <w:r>
              <w:rPr>
                <w:rFonts w:cs="Arial"/>
                <w:sz w:val="20"/>
                <w:szCs w:val="20"/>
              </w:rPr>
              <w:t>MOLENBEEK-SAINT-JEAN</w:t>
            </w:r>
          </w:p>
        </w:tc>
        <w:tc>
          <w:tcPr>
            <w:tcW w:w="1260" w:type="dxa"/>
          </w:tcPr>
          <w:p>
            <w:pPr>
              <w:rPr>
                <w:sz w:val="20"/>
                <w:szCs w:val="20"/>
              </w:rPr>
            </w:pPr>
            <w:r>
              <w:rPr>
                <w:sz w:val="20"/>
                <w:szCs w:val="20"/>
              </w:rPr>
              <w:t>16222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HAVELANGE</w:t>
            </w:r>
          </w:p>
        </w:tc>
        <w:tc>
          <w:tcPr>
            <w:tcW w:w="1153" w:type="dxa"/>
          </w:tcPr>
          <w:p>
            <w:pPr>
              <w:rPr>
                <w:sz w:val="20"/>
                <w:szCs w:val="20"/>
              </w:rPr>
            </w:pPr>
            <w:r>
              <w:rPr>
                <w:sz w:val="20"/>
                <w:szCs w:val="20"/>
              </w:rPr>
              <w:t>48</w:t>
            </w:r>
          </w:p>
        </w:tc>
        <w:tc>
          <w:tcPr>
            <w:tcW w:w="2909" w:type="dxa"/>
            <w:vAlign w:val="center"/>
          </w:tcPr>
          <w:p>
            <w:pPr>
              <w:ind w:left="110"/>
              <w:rPr>
                <w:rFonts w:eastAsia="Arial Unicode MS" w:cs="Arial"/>
                <w:sz w:val="20"/>
                <w:szCs w:val="20"/>
              </w:rPr>
            </w:pPr>
            <w:r>
              <w:rPr>
                <w:rFonts w:cs="Arial"/>
                <w:sz w:val="20"/>
                <w:szCs w:val="20"/>
              </w:rPr>
              <w:t>MOMIGNIES</w:t>
            </w:r>
          </w:p>
        </w:tc>
        <w:tc>
          <w:tcPr>
            <w:tcW w:w="1260" w:type="dxa"/>
          </w:tcPr>
          <w:p>
            <w:pPr>
              <w:rPr>
                <w:sz w:val="20"/>
                <w:szCs w:val="20"/>
              </w:rPr>
            </w:pPr>
            <w:r>
              <w:rPr>
                <w:sz w:val="20"/>
                <w:szCs w:val="20"/>
              </w:rPr>
              <w:t>62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HELECINE</w:t>
            </w:r>
          </w:p>
        </w:tc>
        <w:tc>
          <w:tcPr>
            <w:tcW w:w="1153" w:type="dxa"/>
          </w:tcPr>
          <w:p>
            <w:pPr>
              <w:rPr>
                <w:sz w:val="20"/>
                <w:szCs w:val="20"/>
              </w:rPr>
            </w:pPr>
            <w:r>
              <w:rPr>
                <w:sz w:val="20"/>
                <w:szCs w:val="20"/>
              </w:rPr>
              <w:t>200</w:t>
            </w:r>
          </w:p>
        </w:tc>
        <w:tc>
          <w:tcPr>
            <w:tcW w:w="2909" w:type="dxa"/>
            <w:vAlign w:val="center"/>
          </w:tcPr>
          <w:p>
            <w:pPr>
              <w:ind w:left="110"/>
              <w:rPr>
                <w:rFonts w:eastAsia="Arial Unicode MS" w:cs="Arial"/>
                <w:sz w:val="20"/>
                <w:szCs w:val="20"/>
              </w:rPr>
            </w:pPr>
            <w:r>
              <w:rPr>
                <w:rFonts w:cs="Arial"/>
                <w:sz w:val="20"/>
                <w:szCs w:val="20"/>
              </w:rPr>
              <w:t>MONS</w:t>
            </w:r>
          </w:p>
        </w:tc>
        <w:tc>
          <w:tcPr>
            <w:tcW w:w="1260" w:type="dxa"/>
          </w:tcPr>
          <w:p>
            <w:pPr>
              <w:rPr>
                <w:sz w:val="20"/>
                <w:szCs w:val="20"/>
              </w:rPr>
            </w:pPr>
            <w:r>
              <w:rPr>
                <w:sz w:val="20"/>
                <w:szCs w:val="20"/>
              </w:rPr>
              <w:t>650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HENSIES</w:t>
            </w:r>
          </w:p>
        </w:tc>
        <w:tc>
          <w:tcPr>
            <w:tcW w:w="1153" w:type="dxa"/>
          </w:tcPr>
          <w:p>
            <w:pPr>
              <w:rPr>
                <w:sz w:val="20"/>
                <w:szCs w:val="20"/>
              </w:rPr>
            </w:pPr>
            <w:r>
              <w:rPr>
                <w:sz w:val="20"/>
                <w:szCs w:val="20"/>
              </w:rPr>
              <w:t>264</w:t>
            </w:r>
          </w:p>
        </w:tc>
        <w:tc>
          <w:tcPr>
            <w:tcW w:w="2909" w:type="dxa"/>
            <w:vAlign w:val="center"/>
          </w:tcPr>
          <w:p>
            <w:pPr>
              <w:ind w:left="110"/>
              <w:rPr>
                <w:rFonts w:eastAsia="Arial Unicode MS" w:cs="Arial"/>
                <w:sz w:val="20"/>
                <w:szCs w:val="20"/>
              </w:rPr>
            </w:pPr>
            <w:r>
              <w:rPr>
                <w:rFonts w:cs="Arial"/>
                <w:sz w:val="20"/>
                <w:szCs w:val="20"/>
              </w:rPr>
              <w:t>MONT-DE-L'ENCLUS</w:t>
            </w:r>
          </w:p>
        </w:tc>
        <w:tc>
          <w:tcPr>
            <w:tcW w:w="1260" w:type="dxa"/>
          </w:tcPr>
          <w:p>
            <w:pPr>
              <w:rPr>
                <w:sz w:val="20"/>
                <w:szCs w:val="20"/>
              </w:rPr>
            </w:pPr>
            <w:r>
              <w:rPr>
                <w:sz w:val="20"/>
                <w:szCs w:val="20"/>
              </w:rPr>
              <w:t>138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HERBEUMONT</w:t>
            </w:r>
          </w:p>
        </w:tc>
        <w:tc>
          <w:tcPr>
            <w:tcW w:w="1153" w:type="dxa"/>
          </w:tcPr>
          <w:p>
            <w:pPr>
              <w:rPr>
                <w:sz w:val="20"/>
                <w:szCs w:val="20"/>
              </w:rPr>
            </w:pPr>
            <w:r>
              <w:rPr>
                <w:sz w:val="20"/>
                <w:szCs w:val="20"/>
              </w:rPr>
              <w:t>27</w:t>
            </w:r>
          </w:p>
        </w:tc>
        <w:tc>
          <w:tcPr>
            <w:tcW w:w="2909" w:type="dxa"/>
            <w:vAlign w:val="center"/>
          </w:tcPr>
          <w:p>
            <w:pPr>
              <w:ind w:left="110"/>
              <w:rPr>
                <w:rFonts w:eastAsia="Arial Unicode MS" w:cs="Arial"/>
                <w:sz w:val="20"/>
                <w:szCs w:val="20"/>
              </w:rPr>
            </w:pPr>
            <w:r>
              <w:rPr>
                <w:rFonts w:cs="Arial"/>
                <w:sz w:val="20"/>
                <w:szCs w:val="20"/>
              </w:rPr>
              <w:t>MONTIGNY-LE-TILLEUL</w:t>
            </w:r>
          </w:p>
        </w:tc>
        <w:tc>
          <w:tcPr>
            <w:tcW w:w="1260" w:type="dxa"/>
          </w:tcPr>
          <w:p>
            <w:pPr>
              <w:rPr>
                <w:sz w:val="20"/>
                <w:szCs w:val="20"/>
              </w:rPr>
            </w:pPr>
            <w:r>
              <w:rPr>
                <w:sz w:val="20"/>
                <w:szCs w:val="20"/>
              </w:rPr>
              <w:t>665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HERON</w:t>
            </w:r>
          </w:p>
        </w:tc>
        <w:tc>
          <w:tcPr>
            <w:tcW w:w="1153" w:type="dxa"/>
          </w:tcPr>
          <w:p>
            <w:pPr>
              <w:rPr>
                <w:sz w:val="20"/>
                <w:szCs w:val="20"/>
              </w:rPr>
            </w:pPr>
            <w:r>
              <w:rPr>
                <w:sz w:val="20"/>
                <w:szCs w:val="20"/>
              </w:rPr>
              <w:t>134</w:t>
            </w:r>
          </w:p>
        </w:tc>
        <w:tc>
          <w:tcPr>
            <w:tcW w:w="2909" w:type="dxa"/>
            <w:vAlign w:val="center"/>
          </w:tcPr>
          <w:p>
            <w:pPr>
              <w:ind w:left="110"/>
              <w:rPr>
                <w:rFonts w:eastAsia="Arial Unicode MS" w:cs="Arial"/>
                <w:sz w:val="20"/>
                <w:szCs w:val="20"/>
              </w:rPr>
            </w:pPr>
            <w:r>
              <w:rPr>
                <w:rFonts w:cs="Arial"/>
                <w:sz w:val="20"/>
                <w:szCs w:val="20"/>
              </w:rPr>
              <w:t>MONT-SAINT-GUIBERT</w:t>
            </w:r>
          </w:p>
        </w:tc>
        <w:tc>
          <w:tcPr>
            <w:tcW w:w="1260" w:type="dxa"/>
          </w:tcPr>
          <w:p>
            <w:pPr>
              <w:rPr>
                <w:sz w:val="20"/>
                <w:szCs w:val="20"/>
              </w:rPr>
            </w:pPr>
            <w:r>
              <w:rPr>
                <w:sz w:val="20"/>
                <w:szCs w:val="20"/>
              </w:rPr>
              <w:t>393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HERSTAL</w:t>
            </w:r>
          </w:p>
        </w:tc>
        <w:tc>
          <w:tcPr>
            <w:tcW w:w="1153" w:type="dxa"/>
          </w:tcPr>
          <w:p>
            <w:pPr>
              <w:rPr>
                <w:sz w:val="20"/>
                <w:szCs w:val="20"/>
              </w:rPr>
            </w:pPr>
            <w:r>
              <w:rPr>
                <w:sz w:val="20"/>
                <w:szCs w:val="20"/>
              </w:rPr>
              <w:t>1672</w:t>
            </w:r>
          </w:p>
        </w:tc>
        <w:tc>
          <w:tcPr>
            <w:tcW w:w="2909" w:type="dxa"/>
            <w:vAlign w:val="center"/>
          </w:tcPr>
          <w:p>
            <w:pPr>
              <w:ind w:left="110"/>
              <w:rPr>
                <w:rFonts w:eastAsia="Arial Unicode MS" w:cs="Arial"/>
                <w:sz w:val="20"/>
                <w:szCs w:val="20"/>
                <w:lang w:val="de-DE"/>
              </w:rPr>
            </w:pPr>
            <w:r>
              <w:rPr>
                <w:rFonts w:cs="Arial"/>
                <w:sz w:val="20"/>
                <w:szCs w:val="20"/>
                <w:lang w:val="de-DE"/>
              </w:rPr>
              <w:t>MORLANWELZ</w:t>
            </w:r>
          </w:p>
        </w:tc>
        <w:tc>
          <w:tcPr>
            <w:tcW w:w="1260" w:type="dxa"/>
          </w:tcPr>
          <w:p>
            <w:pPr>
              <w:rPr>
                <w:sz w:val="20"/>
                <w:szCs w:val="20"/>
              </w:rPr>
            </w:pPr>
            <w:r>
              <w:rPr>
                <w:sz w:val="20"/>
                <w:szCs w:val="20"/>
              </w:rPr>
              <w:t>940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de-DE"/>
              </w:rPr>
            </w:pPr>
            <w:r>
              <w:rPr>
                <w:rFonts w:cs="Arial"/>
                <w:sz w:val="20"/>
                <w:szCs w:val="20"/>
                <w:lang w:val="de-DE"/>
              </w:rPr>
              <w:t>HERVE</w:t>
            </w:r>
          </w:p>
        </w:tc>
        <w:tc>
          <w:tcPr>
            <w:tcW w:w="1153" w:type="dxa"/>
          </w:tcPr>
          <w:p>
            <w:pPr>
              <w:rPr>
                <w:sz w:val="20"/>
                <w:szCs w:val="20"/>
              </w:rPr>
            </w:pPr>
            <w:r>
              <w:rPr>
                <w:sz w:val="20"/>
                <w:szCs w:val="20"/>
              </w:rPr>
              <w:t>306</w:t>
            </w:r>
          </w:p>
        </w:tc>
        <w:tc>
          <w:tcPr>
            <w:tcW w:w="2909" w:type="dxa"/>
            <w:vAlign w:val="center"/>
          </w:tcPr>
          <w:p>
            <w:pPr>
              <w:ind w:left="110"/>
              <w:rPr>
                <w:rFonts w:eastAsia="Arial Unicode MS" w:cs="Arial"/>
                <w:sz w:val="20"/>
                <w:szCs w:val="20"/>
              </w:rPr>
            </w:pPr>
            <w:r>
              <w:rPr>
                <w:rFonts w:cs="Arial"/>
                <w:sz w:val="20"/>
                <w:szCs w:val="20"/>
              </w:rPr>
              <w:t>MOUSCRON</w:t>
            </w:r>
          </w:p>
        </w:tc>
        <w:tc>
          <w:tcPr>
            <w:tcW w:w="1260" w:type="dxa"/>
          </w:tcPr>
          <w:p>
            <w:pPr>
              <w:rPr>
                <w:sz w:val="20"/>
                <w:szCs w:val="20"/>
              </w:rPr>
            </w:pPr>
            <w:r>
              <w:rPr>
                <w:sz w:val="20"/>
                <w:szCs w:val="20"/>
              </w:rPr>
              <w:t>1424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HONNELLES</w:t>
            </w:r>
          </w:p>
        </w:tc>
        <w:tc>
          <w:tcPr>
            <w:tcW w:w="1153" w:type="dxa"/>
          </w:tcPr>
          <w:p>
            <w:pPr>
              <w:rPr>
                <w:sz w:val="20"/>
                <w:szCs w:val="20"/>
              </w:rPr>
            </w:pPr>
            <w:r>
              <w:rPr>
                <w:sz w:val="20"/>
                <w:szCs w:val="20"/>
              </w:rPr>
              <w:t>119</w:t>
            </w:r>
          </w:p>
        </w:tc>
        <w:tc>
          <w:tcPr>
            <w:tcW w:w="2909" w:type="dxa"/>
            <w:vAlign w:val="center"/>
          </w:tcPr>
          <w:p>
            <w:pPr>
              <w:ind w:left="110"/>
              <w:rPr>
                <w:rFonts w:eastAsia="Arial Unicode MS" w:cs="Arial"/>
                <w:sz w:val="20"/>
                <w:szCs w:val="20"/>
              </w:rPr>
            </w:pPr>
            <w:r>
              <w:rPr>
                <w:rFonts w:cs="Arial"/>
                <w:sz w:val="20"/>
                <w:szCs w:val="20"/>
              </w:rPr>
              <w:t>MUSSON</w:t>
            </w:r>
          </w:p>
        </w:tc>
        <w:tc>
          <w:tcPr>
            <w:tcW w:w="1260" w:type="dxa"/>
          </w:tcPr>
          <w:p>
            <w:pPr>
              <w:rPr>
                <w:sz w:val="20"/>
                <w:szCs w:val="20"/>
              </w:rPr>
            </w:pPr>
            <w:r>
              <w:rPr>
                <w:sz w:val="20"/>
                <w:szCs w:val="20"/>
              </w:rPr>
              <w:t>129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HOTTON</w:t>
            </w:r>
          </w:p>
        </w:tc>
        <w:tc>
          <w:tcPr>
            <w:tcW w:w="1153" w:type="dxa"/>
          </w:tcPr>
          <w:p>
            <w:pPr>
              <w:rPr>
                <w:sz w:val="20"/>
                <w:szCs w:val="20"/>
              </w:rPr>
            </w:pPr>
            <w:r>
              <w:rPr>
                <w:sz w:val="20"/>
                <w:szCs w:val="20"/>
              </w:rPr>
              <w:t>95</w:t>
            </w:r>
          </w:p>
        </w:tc>
        <w:tc>
          <w:tcPr>
            <w:tcW w:w="2909" w:type="dxa"/>
            <w:vAlign w:val="center"/>
          </w:tcPr>
          <w:p>
            <w:pPr>
              <w:ind w:left="110"/>
              <w:rPr>
                <w:rFonts w:eastAsia="Arial Unicode MS" w:cs="Arial"/>
                <w:sz w:val="20"/>
                <w:szCs w:val="20"/>
                <w:lang w:val="en-GB"/>
              </w:rPr>
            </w:pPr>
            <w:r>
              <w:rPr>
                <w:rFonts w:cs="Arial"/>
                <w:sz w:val="20"/>
                <w:szCs w:val="20"/>
                <w:lang w:val="en-GB"/>
              </w:rPr>
              <w:t>NAMUR</w:t>
            </w:r>
          </w:p>
        </w:tc>
        <w:tc>
          <w:tcPr>
            <w:tcW w:w="1260" w:type="dxa"/>
          </w:tcPr>
          <w:p>
            <w:pPr>
              <w:rPr>
                <w:sz w:val="20"/>
                <w:szCs w:val="20"/>
              </w:rPr>
            </w:pPr>
            <w:r>
              <w:rPr>
                <w:sz w:val="20"/>
                <w:szCs w:val="20"/>
              </w:rPr>
              <w:t>630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en-GB"/>
              </w:rPr>
            </w:pPr>
            <w:r>
              <w:rPr>
                <w:rFonts w:cs="Arial"/>
                <w:sz w:val="20"/>
                <w:szCs w:val="20"/>
                <w:lang w:val="en-GB"/>
              </w:rPr>
              <w:t>HOUFFALIZE</w:t>
            </w:r>
          </w:p>
        </w:tc>
        <w:tc>
          <w:tcPr>
            <w:tcW w:w="1153" w:type="dxa"/>
          </w:tcPr>
          <w:p>
            <w:pPr>
              <w:rPr>
                <w:sz w:val="20"/>
                <w:szCs w:val="20"/>
              </w:rPr>
            </w:pPr>
            <w:r>
              <w:rPr>
                <w:sz w:val="20"/>
                <w:szCs w:val="20"/>
              </w:rPr>
              <w:t>31</w:t>
            </w:r>
          </w:p>
        </w:tc>
        <w:tc>
          <w:tcPr>
            <w:tcW w:w="2909" w:type="dxa"/>
            <w:vAlign w:val="center"/>
          </w:tcPr>
          <w:p>
            <w:pPr>
              <w:ind w:left="110"/>
              <w:rPr>
                <w:rFonts w:eastAsia="Arial Unicode MS" w:cs="Arial"/>
                <w:sz w:val="20"/>
                <w:szCs w:val="20"/>
              </w:rPr>
            </w:pPr>
            <w:r>
              <w:rPr>
                <w:rFonts w:cs="Arial"/>
                <w:sz w:val="20"/>
                <w:szCs w:val="20"/>
              </w:rPr>
              <w:t>NANDRIN</w:t>
            </w:r>
          </w:p>
        </w:tc>
        <w:tc>
          <w:tcPr>
            <w:tcW w:w="1260" w:type="dxa"/>
          </w:tcPr>
          <w:p>
            <w:pPr>
              <w:rPr>
                <w:sz w:val="20"/>
                <w:szCs w:val="20"/>
              </w:rPr>
            </w:pPr>
            <w:r>
              <w:rPr>
                <w:sz w:val="20"/>
                <w:szCs w:val="20"/>
              </w:rPr>
              <w:t>162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HOUYET</w:t>
            </w:r>
          </w:p>
        </w:tc>
        <w:tc>
          <w:tcPr>
            <w:tcW w:w="1153" w:type="dxa"/>
          </w:tcPr>
          <w:p>
            <w:pPr>
              <w:rPr>
                <w:sz w:val="20"/>
                <w:szCs w:val="20"/>
              </w:rPr>
            </w:pPr>
            <w:r>
              <w:rPr>
                <w:sz w:val="20"/>
                <w:szCs w:val="20"/>
              </w:rPr>
              <w:t>39</w:t>
            </w:r>
          </w:p>
        </w:tc>
        <w:tc>
          <w:tcPr>
            <w:tcW w:w="2909" w:type="dxa"/>
            <w:vAlign w:val="center"/>
          </w:tcPr>
          <w:p>
            <w:pPr>
              <w:ind w:left="110"/>
              <w:rPr>
                <w:rFonts w:eastAsia="Arial Unicode MS" w:cs="Arial"/>
                <w:sz w:val="20"/>
                <w:szCs w:val="20"/>
              </w:rPr>
            </w:pPr>
            <w:r>
              <w:rPr>
                <w:rFonts w:cs="Arial"/>
                <w:sz w:val="20"/>
                <w:szCs w:val="20"/>
              </w:rPr>
              <w:t>NASSOGNE</w:t>
            </w:r>
          </w:p>
        </w:tc>
        <w:tc>
          <w:tcPr>
            <w:tcW w:w="1260" w:type="dxa"/>
          </w:tcPr>
          <w:p>
            <w:pPr>
              <w:rPr>
                <w:sz w:val="20"/>
                <w:szCs w:val="20"/>
              </w:rPr>
            </w:pPr>
            <w:r>
              <w:rPr>
                <w:sz w:val="20"/>
                <w:szCs w:val="20"/>
              </w:rPr>
              <w:t>48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HUY</w:t>
            </w:r>
          </w:p>
        </w:tc>
        <w:tc>
          <w:tcPr>
            <w:tcW w:w="1153" w:type="dxa"/>
          </w:tcPr>
          <w:p>
            <w:pPr>
              <w:rPr>
                <w:sz w:val="20"/>
                <w:szCs w:val="20"/>
              </w:rPr>
            </w:pPr>
            <w:r>
              <w:rPr>
                <w:sz w:val="20"/>
                <w:szCs w:val="20"/>
              </w:rPr>
              <w:t>445</w:t>
            </w:r>
          </w:p>
        </w:tc>
        <w:tc>
          <w:tcPr>
            <w:tcW w:w="2909" w:type="dxa"/>
            <w:vAlign w:val="center"/>
          </w:tcPr>
          <w:p>
            <w:pPr>
              <w:ind w:left="110"/>
              <w:rPr>
                <w:rFonts w:eastAsia="Arial Unicode MS" w:cs="Arial"/>
                <w:sz w:val="20"/>
                <w:szCs w:val="20"/>
              </w:rPr>
            </w:pPr>
            <w:r>
              <w:rPr>
                <w:rFonts w:cs="Arial"/>
                <w:sz w:val="20"/>
                <w:szCs w:val="20"/>
              </w:rPr>
              <w:t>NEUFCHATEAU</w:t>
            </w:r>
          </w:p>
        </w:tc>
        <w:tc>
          <w:tcPr>
            <w:tcW w:w="1260" w:type="dxa"/>
          </w:tcPr>
          <w:p>
            <w:pPr>
              <w:rPr>
                <w:sz w:val="20"/>
                <w:szCs w:val="20"/>
              </w:rPr>
            </w:pPr>
            <w:r>
              <w:rPr>
                <w:sz w:val="20"/>
                <w:szCs w:val="20"/>
              </w:rPr>
              <w:t>66</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INCOURT</w:t>
            </w:r>
          </w:p>
        </w:tc>
        <w:tc>
          <w:tcPr>
            <w:tcW w:w="1153" w:type="dxa"/>
          </w:tcPr>
          <w:p>
            <w:pPr>
              <w:rPr>
                <w:sz w:val="20"/>
                <w:szCs w:val="20"/>
              </w:rPr>
            </w:pPr>
            <w:r>
              <w:rPr>
                <w:sz w:val="20"/>
                <w:szCs w:val="20"/>
              </w:rPr>
              <w:t>134</w:t>
            </w:r>
          </w:p>
        </w:tc>
        <w:tc>
          <w:tcPr>
            <w:tcW w:w="2909" w:type="dxa"/>
            <w:vAlign w:val="center"/>
          </w:tcPr>
          <w:p>
            <w:pPr>
              <w:ind w:left="110"/>
              <w:rPr>
                <w:rFonts w:eastAsia="Arial Unicode MS" w:cs="Arial"/>
                <w:sz w:val="20"/>
                <w:szCs w:val="20"/>
              </w:rPr>
            </w:pPr>
            <w:r>
              <w:rPr>
                <w:rFonts w:cs="Arial"/>
                <w:sz w:val="20"/>
                <w:szCs w:val="20"/>
              </w:rPr>
              <w:t>NEUPRE</w:t>
            </w:r>
          </w:p>
        </w:tc>
        <w:tc>
          <w:tcPr>
            <w:tcW w:w="1260" w:type="dxa"/>
          </w:tcPr>
          <w:p>
            <w:pPr>
              <w:rPr>
                <w:sz w:val="20"/>
                <w:szCs w:val="20"/>
              </w:rPr>
            </w:pPr>
            <w:r>
              <w:rPr>
                <w:sz w:val="20"/>
                <w:szCs w:val="20"/>
              </w:rPr>
              <w:t>315</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ITTRE</w:t>
            </w:r>
          </w:p>
        </w:tc>
        <w:tc>
          <w:tcPr>
            <w:tcW w:w="1153" w:type="dxa"/>
          </w:tcPr>
          <w:p>
            <w:pPr>
              <w:rPr>
                <w:sz w:val="20"/>
                <w:szCs w:val="20"/>
              </w:rPr>
            </w:pPr>
            <w:r>
              <w:rPr>
                <w:sz w:val="20"/>
                <w:szCs w:val="20"/>
              </w:rPr>
              <w:t>191</w:t>
            </w:r>
          </w:p>
        </w:tc>
        <w:tc>
          <w:tcPr>
            <w:tcW w:w="2909" w:type="dxa"/>
            <w:vAlign w:val="center"/>
          </w:tcPr>
          <w:p>
            <w:pPr>
              <w:ind w:left="110"/>
              <w:rPr>
                <w:rFonts w:eastAsia="Arial Unicode MS" w:cs="Arial"/>
                <w:sz w:val="20"/>
                <w:szCs w:val="20"/>
              </w:rPr>
            </w:pPr>
            <w:r>
              <w:rPr>
                <w:rFonts w:cs="Arial"/>
                <w:sz w:val="20"/>
                <w:szCs w:val="20"/>
              </w:rPr>
              <w:t>NIVELLES</w:t>
            </w:r>
          </w:p>
        </w:tc>
        <w:tc>
          <w:tcPr>
            <w:tcW w:w="1260" w:type="dxa"/>
          </w:tcPr>
          <w:p>
            <w:pPr>
              <w:rPr>
                <w:sz w:val="20"/>
                <w:szCs w:val="20"/>
              </w:rPr>
            </w:pPr>
            <w:r>
              <w:rPr>
                <w:sz w:val="20"/>
                <w:szCs w:val="20"/>
              </w:rPr>
              <w:t>457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IXELLES</w:t>
            </w:r>
          </w:p>
        </w:tc>
        <w:tc>
          <w:tcPr>
            <w:tcW w:w="1153" w:type="dxa"/>
          </w:tcPr>
          <w:p>
            <w:pPr>
              <w:rPr>
                <w:sz w:val="20"/>
                <w:szCs w:val="20"/>
              </w:rPr>
            </w:pPr>
            <w:r>
              <w:rPr>
                <w:sz w:val="20"/>
                <w:szCs w:val="20"/>
              </w:rPr>
              <w:t>13358</w:t>
            </w:r>
          </w:p>
        </w:tc>
        <w:tc>
          <w:tcPr>
            <w:tcW w:w="2909" w:type="dxa"/>
            <w:vAlign w:val="center"/>
          </w:tcPr>
          <w:p>
            <w:pPr>
              <w:ind w:left="110"/>
              <w:rPr>
                <w:rFonts w:eastAsia="Arial Unicode MS" w:cs="Arial"/>
                <w:sz w:val="20"/>
                <w:szCs w:val="20"/>
                <w:lang w:val="fr-BE"/>
              </w:rPr>
            </w:pPr>
            <w:r>
              <w:rPr>
                <w:rFonts w:cs="Arial"/>
                <w:sz w:val="20"/>
                <w:szCs w:val="20"/>
                <w:lang w:val="fr-BE"/>
              </w:rPr>
              <w:t>OHEY</w:t>
            </w:r>
          </w:p>
        </w:tc>
        <w:tc>
          <w:tcPr>
            <w:tcW w:w="1260" w:type="dxa"/>
          </w:tcPr>
          <w:p>
            <w:pPr>
              <w:rPr>
                <w:sz w:val="20"/>
                <w:szCs w:val="20"/>
              </w:rPr>
            </w:pPr>
            <w:r>
              <w:rPr>
                <w:sz w:val="20"/>
                <w:szCs w:val="20"/>
              </w:rPr>
              <w:t>88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fr-BE"/>
              </w:rPr>
            </w:pPr>
            <w:r>
              <w:rPr>
                <w:rFonts w:cs="Arial"/>
                <w:sz w:val="20"/>
                <w:szCs w:val="20"/>
                <w:lang w:val="fr-BE"/>
              </w:rPr>
              <w:t>JALHAY</w:t>
            </w:r>
          </w:p>
        </w:tc>
        <w:tc>
          <w:tcPr>
            <w:tcW w:w="1153" w:type="dxa"/>
          </w:tcPr>
          <w:p>
            <w:pPr>
              <w:rPr>
                <w:sz w:val="20"/>
                <w:szCs w:val="20"/>
              </w:rPr>
            </w:pPr>
            <w:r>
              <w:rPr>
                <w:sz w:val="20"/>
                <w:szCs w:val="20"/>
              </w:rPr>
              <w:t>79</w:t>
            </w:r>
          </w:p>
        </w:tc>
        <w:tc>
          <w:tcPr>
            <w:tcW w:w="2909" w:type="dxa"/>
            <w:vAlign w:val="center"/>
          </w:tcPr>
          <w:p>
            <w:pPr>
              <w:ind w:left="110"/>
              <w:rPr>
                <w:rFonts w:eastAsia="Arial Unicode MS" w:cs="Arial"/>
                <w:sz w:val="20"/>
                <w:szCs w:val="20"/>
                <w:lang w:val="fr-BE"/>
              </w:rPr>
            </w:pPr>
            <w:r>
              <w:rPr>
                <w:rFonts w:cs="Arial"/>
                <w:sz w:val="20"/>
                <w:szCs w:val="20"/>
                <w:lang w:val="fr-BE"/>
              </w:rPr>
              <w:t>OLNE</w:t>
            </w:r>
          </w:p>
        </w:tc>
        <w:tc>
          <w:tcPr>
            <w:tcW w:w="1260" w:type="dxa"/>
          </w:tcPr>
          <w:p>
            <w:pPr>
              <w:rPr>
                <w:sz w:val="20"/>
                <w:szCs w:val="20"/>
              </w:rPr>
            </w:pPr>
            <w:r>
              <w:rPr>
                <w:sz w:val="20"/>
                <w:szCs w:val="20"/>
              </w:rPr>
              <w:t>244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JEMEPPE-SUR-SAMBRE</w:t>
            </w:r>
          </w:p>
        </w:tc>
        <w:tc>
          <w:tcPr>
            <w:tcW w:w="1153" w:type="dxa"/>
          </w:tcPr>
          <w:p>
            <w:pPr>
              <w:rPr>
                <w:sz w:val="20"/>
                <w:szCs w:val="20"/>
              </w:rPr>
            </w:pPr>
            <w:r>
              <w:rPr>
                <w:sz w:val="20"/>
                <w:szCs w:val="20"/>
              </w:rPr>
              <w:t>402</w:t>
            </w:r>
          </w:p>
        </w:tc>
        <w:tc>
          <w:tcPr>
            <w:tcW w:w="2909" w:type="dxa"/>
            <w:vAlign w:val="center"/>
          </w:tcPr>
          <w:p>
            <w:pPr>
              <w:ind w:left="110"/>
              <w:rPr>
                <w:rFonts w:eastAsia="Arial Unicode MS" w:cs="Arial"/>
                <w:sz w:val="20"/>
                <w:szCs w:val="20"/>
              </w:rPr>
            </w:pPr>
            <w:r>
              <w:rPr>
                <w:rFonts w:cs="Arial"/>
                <w:sz w:val="20"/>
                <w:szCs w:val="20"/>
              </w:rPr>
              <w:t>ONHAYE</w:t>
            </w:r>
          </w:p>
        </w:tc>
        <w:tc>
          <w:tcPr>
            <w:tcW w:w="1260" w:type="dxa"/>
          </w:tcPr>
          <w:p>
            <w:pPr>
              <w:rPr>
                <w:sz w:val="20"/>
                <w:szCs w:val="20"/>
              </w:rPr>
            </w:pPr>
            <w:r>
              <w:rPr>
                <w:sz w:val="20"/>
                <w:szCs w:val="20"/>
              </w:rPr>
              <w:t>48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JETTE</w:t>
            </w:r>
          </w:p>
        </w:tc>
        <w:tc>
          <w:tcPr>
            <w:tcW w:w="1153" w:type="dxa"/>
          </w:tcPr>
          <w:p>
            <w:pPr>
              <w:rPr>
                <w:sz w:val="20"/>
                <w:szCs w:val="20"/>
              </w:rPr>
            </w:pPr>
            <w:r>
              <w:rPr>
                <w:sz w:val="20"/>
                <w:szCs w:val="20"/>
              </w:rPr>
              <w:t>10058</w:t>
            </w:r>
          </w:p>
        </w:tc>
        <w:tc>
          <w:tcPr>
            <w:tcW w:w="2909" w:type="dxa"/>
            <w:vAlign w:val="center"/>
          </w:tcPr>
          <w:p>
            <w:pPr>
              <w:ind w:left="110"/>
              <w:rPr>
                <w:rFonts w:eastAsia="Arial Unicode MS" w:cs="Arial"/>
                <w:sz w:val="20"/>
                <w:szCs w:val="20"/>
              </w:rPr>
            </w:pPr>
            <w:r>
              <w:rPr>
                <w:rFonts w:cs="Arial"/>
                <w:sz w:val="20"/>
                <w:szCs w:val="20"/>
              </w:rPr>
              <w:t>OREYE</w:t>
            </w:r>
          </w:p>
        </w:tc>
        <w:tc>
          <w:tcPr>
            <w:tcW w:w="1260" w:type="dxa"/>
          </w:tcPr>
          <w:p>
            <w:pPr>
              <w:rPr>
                <w:sz w:val="20"/>
                <w:szCs w:val="20"/>
              </w:rPr>
            </w:pPr>
            <w:r>
              <w:rPr>
                <w:sz w:val="20"/>
                <w:szCs w:val="20"/>
              </w:rPr>
              <w:t>193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JODOIGNE</w:t>
            </w:r>
          </w:p>
        </w:tc>
        <w:tc>
          <w:tcPr>
            <w:tcW w:w="1153" w:type="dxa"/>
          </w:tcPr>
          <w:p>
            <w:pPr>
              <w:rPr>
                <w:sz w:val="20"/>
                <w:szCs w:val="20"/>
              </w:rPr>
            </w:pPr>
            <w:r>
              <w:rPr>
                <w:sz w:val="20"/>
                <w:szCs w:val="20"/>
              </w:rPr>
              <w:t>187</w:t>
            </w:r>
          </w:p>
        </w:tc>
        <w:tc>
          <w:tcPr>
            <w:tcW w:w="2909" w:type="dxa"/>
            <w:vAlign w:val="center"/>
          </w:tcPr>
          <w:p>
            <w:pPr>
              <w:ind w:left="110"/>
              <w:rPr>
                <w:rFonts w:eastAsia="Arial Unicode MS" w:cs="Arial"/>
                <w:sz w:val="20"/>
                <w:szCs w:val="20"/>
              </w:rPr>
            </w:pPr>
            <w:r>
              <w:rPr>
                <w:rFonts w:cs="Arial"/>
                <w:sz w:val="20"/>
                <w:szCs w:val="20"/>
              </w:rPr>
              <w:t>ORP-JAUCHE</w:t>
            </w:r>
          </w:p>
        </w:tc>
        <w:tc>
          <w:tcPr>
            <w:tcW w:w="1260" w:type="dxa"/>
          </w:tcPr>
          <w:p>
            <w:pPr>
              <w:rPr>
                <w:sz w:val="20"/>
                <w:szCs w:val="20"/>
              </w:rPr>
            </w:pPr>
            <w:r>
              <w:rPr>
                <w:sz w:val="20"/>
                <w:szCs w:val="20"/>
              </w:rPr>
              <w:t>172</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JUPRELLE</w:t>
            </w:r>
          </w:p>
        </w:tc>
        <w:tc>
          <w:tcPr>
            <w:tcW w:w="1153" w:type="dxa"/>
          </w:tcPr>
          <w:p>
            <w:pPr>
              <w:rPr>
                <w:sz w:val="20"/>
                <w:szCs w:val="20"/>
              </w:rPr>
            </w:pPr>
            <w:r>
              <w:rPr>
                <w:sz w:val="20"/>
                <w:szCs w:val="20"/>
              </w:rPr>
              <w:t>261</w:t>
            </w:r>
          </w:p>
        </w:tc>
        <w:tc>
          <w:tcPr>
            <w:tcW w:w="2909" w:type="dxa"/>
            <w:vAlign w:val="center"/>
          </w:tcPr>
          <w:p>
            <w:pPr>
              <w:ind w:left="110"/>
              <w:rPr>
                <w:rFonts w:eastAsia="Arial Unicode MS" w:cs="Arial"/>
                <w:sz w:val="20"/>
                <w:szCs w:val="20"/>
              </w:rPr>
            </w:pPr>
            <w:r>
              <w:rPr>
                <w:rFonts w:cs="Arial"/>
                <w:sz w:val="20"/>
                <w:szCs w:val="20"/>
              </w:rPr>
              <w:t>OTTIGNIES-LLN</w:t>
            </w:r>
          </w:p>
        </w:tc>
        <w:tc>
          <w:tcPr>
            <w:tcW w:w="1260" w:type="dxa"/>
          </w:tcPr>
          <w:p>
            <w:pPr>
              <w:rPr>
                <w:sz w:val="20"/>
                <w:szCs w:val="20"/>
              </w:rPr>
            </w:pPr>
            <w:r>
              <w:rPr>
                <w:sz w:val="20"/>
                <w:szCs w:val="20"/>
              </w:rPr>
              <w:t>948</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JURBISE</w:t>
            </w:r>
          </w:p>
        </w:tc>
        <w:tc>
          <w:tcPr>
            <w:tcW w:w="1153" w:type="dxa"/>
          </w:tcPr>
          <w:p>
            <w:pPr>
              <w:rPr>
                <w:sz w:val="20"/>
                <w:szCs w:val="20"/>
              </w:rPr>
            </w:pPr>
            <w:r>
              <w:rPr>
                <w:sz w:val="20"/>
                <w:szCs w:val="20"/>
              </w:rPr>
              <w:t>180</w:t>
            </w:r>
          </w:p>
        </w:tc>
        <w:tc>
          <w:tcPr>
            <w:tcW w:w="2909" w:type="dxa"/>
            <w:vAlign w:val="center"/>
          </w:tcPr>
          <w:p>
            <w:pPr>
              <w:ind w:left="110"/>
              <w:rPr>
                <w:rFonts w:eastAsia="Arial Unicode MS" w:cs="Arial"/>
                <w:sz w:val="20"/>
                <w:szCs w:val="20"/>
              </w:rPr>
            </w:pPr>
            <w:r>
              <w:rPr>
                <w:rFonts w:cs="Arial"/>
                <w:sz w:val="20"/>
                <w:szCs w:val="20"/>
              </w:rPr>
              <w:t>OUFFET</w:t>
            </w:r>
          </w:p>
        </w:tc>
        <w:tc>
          <w:tcPr>
            <w:tcW w:w="1260" w:type="dxa"/>
          </w:tcPr>
          <w:p>
            <w:pPr>
              <w:rPr>
                <w:sz w:val="20"/>
                <w:szCs w:val="20"/>
              </w:rPr>
            </w:pPr>
            <w:r>
              <w:rPr>
                <w:sz w:val="20"/>
                <w:szCs w:val="20"/>
              </w:rPr>
              <w:t>69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KOEKELBERG</w:t>
            </w:r>
          </w:p>
        </w:tc>
        <w:tc>
          <w:tcPr>
            <w:tcW w:w="1153" w:type="dxa"/>
          </w:tcPr>
          <w:p>
            <w:pPr>
              <w:rPr>
                <w:sz w:val="20"/>
                <w:szCs w:val="20"/>
              </w:rPr>
            </w:pPr>
            <w:r>
              <w:rPr>
                <w:sz w:val="20"/>
                <w:szCs w:val="20"/>
              </w:rPr>
              <w:t>18359</w:t>
            </w:r>
          </w:p>
        </w:tc>
        <w:tc>
          <w:tcPr>
            <w:tcW w:w="2909" w:type="dxa"/>
            <w:vAlign w:val="center"/>
          </w:tcPr>
          <w:p>
            <w:pPr>
              <w:ind w:left="110"/>
              <w:rPr>
                <w:rFonts w:eastAsia="Arial Unicode MS" w:cs="Arial"/>
                <w:sz w:val="20"/>
                <w:szCs w:val="20"/>
              </w:rPr>
            </w:pPr>
            <w:r>
              <w:rPr>
                <w:rFonts w:cs="Arial"/>
                <w:sz w:val="20"/>
                <w:szCs w:val="20"/>
              </w:rPr>
              <w:t>OUPEYE</w:t>
            </w:r>
          </w:p>
        </w:tc>
        <w:tc>
          <w:tcPr>
            <w:tcW w:w="1260" w:type="dxa"/>
          </w:tcPr>
          <w:p>
            <w:pPr>
              <w:rPr>
                <w:sz w:val="20"/>
                <w:szCs w:val="20"/>
              </w:rPr>
            </w:pPr>
            <w:r>
              <w:rPr>
                <w:sz w:val="20"/>
                <w:szCs w:val="20"/>
              </w:rPr>
              <w:t>683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LA BRUYERE</w:t>
            </w:r>
          </w:p>
        </w:tc>
        <w:tc>
          <w:tcPr>
            <w:tcW w:w="1153" w:type="dxa"/>
          </w:tcPr>
          <w:p>
            <w:pPr>
              <w:rPr>
                <w:sz w:val="20"/>
                <w:szCs w:val="20"/>
              </w:rPr>
            </w:pPr>
            <w:r>
              <w:rPr>
                <w:sz w:val="20"/>
                <w:szCs w:val="20"/>
              </w:rPr>
              <w:t>171</w:t>
            </w:r>
          </w:p>
        </w:tc>
        <w:tc>
          <w:tcPr>
            <w:tcW w:w="2909" w:type="dxa"/>
            <w:vAlign w:val="center"/>
          </w:tcPr>
          <w:p>
            <w:pPr>
              <w:ind w:left="110"/>
              <w:rPr>
                <w:rFonts w:eastAsia="Arial Unicode MS" w:cs="Arial"/>
                <w:sz w:val="20"/>
                <w:szCs w:val="20"/>
              </w:rPr>
            </w:pPr>
            <w:r>
              <w:rPr>
                <w:rFonts w:cs="Arial"/>
                <w:sz w:val="20"/>
                <w:szCs w:val="20"/>
              </w:rPr>
              <w:t>PALISEUL</w:t>
            </w:r>
          </w:p>
        </w:tc>
        <w:tc>
          <w:tcPr>
            <w:tcW w:w="1260" w:type="dxa"/>
          </w:tcPr>
          <w:p>
            <w:pPr>
              <w:rPr>
                <w:sz w:val="20"/>
                <w:szCs w:val="20"/>
              </w:rPr>
            </w:pPr>
            <w:r>
              <w:rPr>
                <w:sz w:val="20"/>
                <w:szCs w:val="20"/>
              </w:rPr>
              <w:t>47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LA HULPE</w:t>
            </w:r>
          </w:p>
        </w:tc>
        <w:tc>
          <w:tcPr>
            <w:tcW w:w="1153" w:type="dxa"/>
          </w:tcPr>
          <w:p>
            <w:pPr>
              <w:rPr>
                <w:sz w:val="20"/>
                <w:szCs w:val="20"/>
              </w:rPr>
            </w:pPr>
            <w:r>
              <w:rPr>
                <w:sz w:val="20"/>
                <w:szCs w:val="20"/>
              </w:rPr>
              <w:t>475</w:t>
            </w:r>
          </w:p>
        </w:tc>
        <w:tc>
          <w:tcPr>
            <w:tcW w:w="2909" w:type="dxa"/>
            <w:vAlign w:val="center"/>
          </w:tcPr>
          <w:p>
            <w:pPr>
              <w:ind w:left="110"/>
              <w:rPr>
                <w:rFonts w:eastAsia="Arial Unicode MS" w:cs="Arial"/>
                <w:sz w:val="20"/>
                <w:szCs w:val="20"/>
              </w:rPr>
            </w:pPr>
            <w:r>
              <w:rPr>
                <w:rFonts w:cs="Arial"/>
                <w:sz w:val="20"/>
                <w:szCs w:val="20"/>
              </w:rPr>
              <w:t>PECQ</w:t>
            </w:r>
          </w:p>
        </w:tc>
        <w:tc>
          <w:tcPr>
            <w:tcW w:w="1260" w:type="dxa"/>
          </w:tcPr>
          <w:p>
            <w:pPr>
              <w:rPr>
                <w:sz w:val="20"/>
                <w:szCs w:val="20"/>
              </w:rPr>
            </w:pPr>
            <w:r>
              <w:rPr>
                <w:sz w:val="20"/>
                <w:szCs w:val="20"/>
              </w:rPr>
              <w:t>170</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LA LOUVIERE</w:t>
            </w:r>
          </w:p>
        </w:tc>
        <w:tc>
          <w:tcPr>
            <w:tcW w:w="1153" w:type="dxa"/>
          </w:tcPr>
          <w:p>
            <w:pPr>
              <w:rPr>
                <w:sz w:val="20"/>
                <w:szCs w:val="20"/>
              </w:rPr>
            </w:pPr>
            <w:r>
              <w:rPr>
                <w:sz w:val="20"/>
                <w:szCs w:val="20"/>
              </w:rPr>
              <w:t>1251</w:t>
            </w:r>
          </w:p>
        </w:tc>
        <w:tc>
          <w:tcPr>
            <w:tcW w:w="2909" w:type="dxa"/>
            <w:vAlign w:val="center"/>
          </w:tcPr>
          <w:p>
            <w:pPr>
              <w:ind w:left="110"/>
              <w:rPr>
                <w:rFonts w:eastAsia="Arial Unicode MS" w:cs="Arial"/>
                <w:sz w:val="20"/>
                <w:szCs w:val="20"/>
              </w:rPr>
            </w:pPr>
            <w:r>
              <w:rPr>
                <w:rFonts w:cs="Arial"/>
                <w:sz w:val="20"/>
                <w:szCs w:val="20"/>
              </w:rPr>
              <w:t>PEPINSTER</w:t>
            </w:r>
          </w:p>
        </w:tc>
        <w:tc>
          <w:tcPr>
            <w:tcW w:w="1260" w:type="dxa"/>
          </w:tcPr>
          <w:p>
            <w:pPr>
              <w:rPr>
                <w:sz w:val="20"/>
                <w:szCs w:val="20"/>
              </w:rPr>
            </w:pPr>
            <w:r>
              <w:rPr>
                <w:sz w:val="20"/>
                <w:szCs w:val="20"/>
              </w:rPr>
              <w:t>394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LA ROCHE-EN-ARDENNE</w:t>
            </w:r>
          </w:p>
        </w:tc>
        <w:tc>
          <w:tcPr>
            <w:tcW w:w="1153" w:type="dxa"/>
          </w:tcPr>
          <w:p>
            <w:pPr>
              <w:rPr>
                <w:sz w:val="20"/>
                <w:szCs w:val="20"/>
              </w:rPr>
            </w:pPr>
            <w:r>
              <w:rPr>
                <w:sz w:val="20"/>
                <w:szCs w:val="20"/>
              </w:rPr>
              <w:t>28</w:t>
            </w:r>
          </w:p>
        </w:tc>
        <w:tc>
          <w:tcPr>
            <w:tcW w:w="2909" w:type="dxa"/>
            <w:vAlign w:val="center"/>
          </w:tcPr>
          <w:p>
            <w:pPr>
              <w:ind w:left="110"/>
              <w:rPr>
                <w:rFonts w:eastAsia="Arial Unicode MS" w:cs="Arial"/>
                <w:sz w:val="20"/>
                <w:szCs w:val="20"/>
                <w:lang w:val="nl-NL"/>
              </w:rPr>
            </w:pPr>
            <w:r>
              <w:rPr>
                <w:rFonts w:cs="Arial"/>
                <w:sz w:val="20"/>
                <w:szCs w:val="20"/>
                <w:lang w:val="nl-NL"/>
              </w:rPr>
              <w:t>PERUWELZ</w:t>
            </w:r>
          </w:p>
        </w:tc>
        <w:tc>
          <w:tcPr>
            <w:tcW w:w="1260" w:type="dxa"/>
          </w:tcPr>
          <w:p>
            <w:pPr>
              <w:rPr>
                <w:sz w:val="20"/>
                <w:szCs w:val="20"/>
              </w:rPr>
            </w:pPr>
            <w:r>
              <w:rPr>
                <w:sz w:val="20"/>
                <w:szCs w:val="20"/>
              </w:rPr>
              <w:t>287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lang w:val="nl-NL"/>
              </w:rPr>
            </w:pPr>
            <w:r>
              <w:rPr>
                <w:rFonts w:cs="Arial"/>
                <w:sz w:val="20"/>
                <w:szCs w:val="20"/>
                <w:lang w:val="nl-NL"/>
              </w:rPr>
              <w:t>LASNE</w:t>
            </w:r>
          </w:p>
        </w:tc>
        <w:tc>
          <w:tcPr>
            <w:tcW w:w="1153" w:type="dxa"/>
          </w:tcPr>
          <w:p>
            <w:pPr>
              <w:rPr>
                <w:sz w:val="20"/>
                <w:szCs w:val="20"/>
              </w:rPr>
            </w:pPr>
            <w:r>
              <w:rPr>
                <w:sz w:val="20"/>
                <w:szCs w:val="20"/>
              </w:rPr>
              <w:t>301</w:t>
            </w:r>
          </w:p>
        </w:tc>
        <w:tc>
          <w:tcPr>
            <w:tcW w:w="2909" w:type="dxa"/>
            <w:vAlign w:val="center"/>
          </w:tcPr>
          <w:p>
            <w:pPr>
              <w:ind w:left="110"/>
              <w:rPr>
                <w:rFonts w:eastAsia="Arial Unicode MS" w:cs="Arial"/>
                <w:sz w:val="20"/>
                <w:szCs w:val="20"/>
                <w:lang w:val="nl-NL"/>
              </w:rPr>
            </w:pPr>
            <w:r>
              <w:rPr>
                <w:rFonts w:cs="Arial"/>
                <w:sz w:val="20"/>
                <w:szCs w:val="20"/>
                <w:lang w:val="nl-NL"/>
              </w:rPr>
              <w:t>PERWEZ</w:t>
            </w:r>
          </w:p>
        </w:tc>
        <w:tc>
          <w:tcPr>
            <w:tcW w:w="1260" w:type="dxa"/>
          </w:tcPr>
          <w:p>
            <w:pPr>
              <w:rPr>
                <w:sz w:val="20"/>
                <w:szCs w:val="20"/>
              </w:rPr>
            </w:pPr>
            <w:r>
              <w:rPr>
                <w:sz w:val="20"/>
                <w:szCs w:val="20"/>
              </w:rPr>
              <w:t>174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 ROEULX</w:t>
            </w:r>
          </w:p>
        </w:tc>
        <w:tc>
          <w:tcPr>
            <w:tcW w:w="1153" w:type="dxa"/>
          </w:tcPr>
          <w:p>
            <w:pPr>
              <w:rPr>
                <w:sz w:val="20"/>
                <w:szCs w:val="20"/>
              </w:rPr>
            </w:pPr>
            <w:r>
              <w:rPr>
                <w:sz w:val="20"/>
                <w:szCs w:val="20"/>
              </w:rPr>
              <w:t>198</w:t>
            </w:r>
          </w:p>
        </w:tc>
        <w:tc>
          <w:tcPr>
            <w:tcW w:w="2909" w:type="dxa"/>
            <w:vAlign w:val="center"/>
          </w:tcPr>
          <w:p>
            <w:pPr>
              <w:ind w:left="110"/>
              <w:rPr>
                <w:rFonts w:eastAsia="Arial Unicode MS" w:cs="Arial"/>
                <w:sz w:val="20"/>
                <w:szCs w:val="20"/>
              </w:rPr>
            </w:pPr>
            <w:r>
              <w:rPr>
                <w:rFonts w:cs="Arial"/>
                <w:sz w:val="20"/>
                <w:szCs w:val="20"/>
              </w:rPr>
              <w:t>PHILIPPEVILLE</w:t>
            </w:r>
          </w:p>
        </w:tc>
        <w:tc>
          <w:tcPr>
            <w:tcW w:w="1260" w:type="dxa"/>
          </w:tcPr>
          <w:p>
            <w:pPr>
              <w:rPr>
                <w:sz w:val="20"/>
                <w:szCs w:val="20"/>
              </w:rPr>
            </w:pPr>
            <w:r>
              <w:rPr>
                <w:sz w:val="20"/>
                <w:szCs w:val="20"/>
              </w:rPr>
              <w:t>59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LEGLISE</w:t>
            </w:r>
          </w:p>
        </w:tc>
        <w:tc>
          <w:tcPr>
            <w:tcW w:w="1153" w:type="dxa"/>
          </w:tcPr>
          <w:p>
            <w:pPr>
              <w:rPr>
                <w:sz w:val="20"/>
                <w:szCs w:val="20"/>
              </w:rPr>
            </w:pPr>
            <w:r>
              <w:rPr>
                <w:sz w:val="20"/>
                <w:szCs w:val="20"/>
              </w:rPr>
              <w:t>30</w:t>
            </w:r>
          </w:p>
        </w:tc>
        <w:tc>
          <w:tcPr>
            <w:tcW w:w="2909" w:type="dxa"/>
            <w:vAlign w:val="center"/>
          </w:tcPr>
          <w:p>
            <w:pPr>
              <w:ind w:left="110"/>
              <w:rPr>
                <w:rFonts w:eastAsia="Arial Unicode MS" w:cs="Arial"/>
                <w:sz w:val="20"/>
                <w:szCs w:val="20"/>
              </w:rPr>
            </w:pPr>
            <w:r>
              <w:rPr>
                <w:rFonts w:cs="Arial"/>
                <w:sz w:val="20"/>
                <w:szCs w:val="20"/>
              </w:rPr>
              <w:t>PLOMBIERES</w:t>
            </w:r>
          </w:p>
        </w:tc>
        <w:tc>
          <w:tcPr>
            <w:tcW w:w="1260" w:type="dxa"/>
          </w:tcPr>
          <w:p>
            <w:pPr>
              <w:rPr>
                <w:sz w:val="20"/>
                <w:szCs w:val="20"/>
              </w:rPr>
            </w:pPr>
            <w:r>
              <w:rPr>
                <w:sz w:val="20"/>
                <w:szCs w:val="20"/>
              </w:rPr>
              <w:t>191</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LENS</w:t>
            </w:r>
          </w:p>
        </w:tc>
        <w:tc>
          <w:tcPr>
            <w:tcW w:w="1153" w:type="dxa"/>
          </w:tcPr>
          <w:p>
            <w:pPr>
              <w:rPr>
                <w:sz w:val="20"/>
                <w:szCs w:val="20"/>
              </w:rPr>
            </w:pPr>
            <w:r>
              <w:rPr>
                <w:sz w:val="20"/>
                <w:szCs w:val="20"/>
              </w:rPr>
              <w:t>88</w:t>
            </w:r>
          </w:p>
        </w:tc>
        <w:tc>
          <w:tcPr>
            <w:tcW w:w="2909" w:type="dxa"/>
            <w:vAlign w:val="center"/>
          </w:tcPr>
          <w:p>
            <w:pPr>
              <w:ind w:left="110"/>
              <w:rPr>
                <w:rFonts w:eastAsia="Arial Unicode MS" w:cs="Arial"/>
                <w:sz w:val="20"/>
                <w:szCs w:val="20"/>
              </w:rPr>
            </w:pPr>
            <w:r>
              <w:rPr>
                <w:rFonts w:cs="Arial"/>
                <w:sz w:val="20"/>
                <w:szCs w:val="20"/>
              </w:rPr>
              <w:t>PONT-A-CELLES</w:t>
            </w:r>
          </w:p>
        </w:tc>
        <w:tc>
          <w:tcPr>
            <w:tcW w:w="1260" w:type="dxa"/>
          </w:tcPr>
          <w:p>
            <w:pPr>
              <w:rPr>
                <w:sz w:val="20"/>
                <w:szCs w:val="20"/>
              </w:rPr>
            </w:pPr>
            <w:r>
              <w:rPr>
                <w:sz w:val="20"/>
                <w:szCs w:val="20"/>
              </w:rPr>
              <w:t>307</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LES BONS VILLERS</w:t>
            </w:r>
          </w:p>
        </w:tc>
        <w:tc>
          <w:tcPr>
            <w:tcW w:w="1153" w:type="dxa"/>
          </w:tcPr>
          <w:p>
            <w:pPr>
              <w:rPr>
                <w:sz w:val="20"/>
                <w:szCs w:val="20"/>
              </w:rPr>
            </w:pPr>
            <w:r>
              <w:rPr>
                <w:sz w:val="20"/>
                <w:szCs w:val="20"/>
              </w:rPr>
              <w:t>218</w:t>
            </w:r>
          </w:p>
        </w:tc>
        <w:tc>
          <w:tcPr>
            <w:tcW w:w="2909" w:type="dxa"/>
            <w:vAlign w:val="center"/>
          </w:tcPr>
          <w:p>
            <w:pPr>
              <w:ind w:left="110"/>
              <w:rPr>
                <w:rFonts w:eastAsia="Arial Unicode MS" w:cs="Arial"/>
                <w:sz w:val="20"/>
                <w:szCs w:val="20"/>
              </w:rPr>
            </w:pPr>
            <w:r>
              <w:rPr>
                <w:rFonts w:cs="Arial"/>
                <w:sz w:val="20"/>
                <w:szCs w:val="20"/>
              </w:rPr>
              <w:t>PROFONDEVILLE</w:t>
            </w:r>
          </w:p>
        </w:tc>
        <w:tc>
          <w:tcPr>
            <w:tcW w:w="1260" w:type="dxa"/>
          </w:tcPr>
          <w:p>
            <w:pPr>
              <w:rPr>
                <w:sz w:val="20"/>
                <w:szCs w:val="20"/>
              </w:rPr>
            </w:pPr>
            <w:r>
              <w:rPr>
                <w:sz w:val="20"/>
                <w:szCs w:val="20"/>
              </w:rPr>
              <w:t>239</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LESSINES</w:t>
            </w:r>
          </w:p>
        </w:tc>
        <w:tc>
          <w:tcPr>
            <w:tcW w:w="1153" w:type="dxa"/>
          </w:tcPr>
          <w:p>
            <w:pPr>
              <w:rPr>
                <w:sz w:val="20"/>
                <w:szCs w:val="20"/>
              </w:rPr>
            </w:pPr>
            <w:r>
              <w:rPr>
                <w:sz w:val="20"/>
                <w:szCs w:val="20"/>
              </w:rPr>
              <w:t>257</w:t>
            </w:r>
          </w:p>
        </w:tc>
        <w:tc>
          <w:tcPr>
            <w:tcW w:w="2909" w:type="dxa"/>
            <w:vAlign w:val="center"/>
          </w:tcPr>
          <w:p>
            <w:pPr>
              <w:ind w:left="110"/>
              <w:rPr>
                <w:rFonts w:eastAsia="Arial Unicode MS" w:cs="Arial"/>
                <w:sz w:val="20"/>
                <w:szCs w:val="20"/>
              </w:rPr>
            </w:pPr>
            <w:r>
              <w:rPr>
                <w:rFonts w:cs="Arial"/>
                <w:sz w:val="20"/>
                <w:szCs w:val="20"/>
              </w:rPr>
              <w:t>QUAREGNON</w:t>
            </w:r>
          </w:p>
        </w:tc>
        <w:tc>
          <w:tcPr>
            <w:tcW w:w="1260" w:type="dxa"/>
          </w:tcPr>
          <w:p>
            <w:pPr>
              <w:rPr>
                <w:sz w:val="20"/>
                <w:szCs w:val="20"/>
              </w:rPr>
            </w:pPr>
            <w:r>
              <w:rPr>
                <w:sz w:val="20"/>
                <w:szCs w:val="20"/>
              </w:rPr>
              <w:t>1714</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LEUZE-EN-HAINAUT</w:t>
            </w:r>
          </w:p>
        </w:tc>
        <w:tc>
          <w:tcPr>
            <w:tcW w:w="1153" w:type="dxa"/>
          </w:tcPr>
          <w:p>
            <w:pPr>
              <w:rPr>
                <w:sz w:val="20"/>
                <w:szCs w:val="20"/>
              </w:rPr>
            </w:pPr>
            <w:r>
              <w:rPr>
                <w:sz w:val="20"/>
                <w:szCs w:val="20"/>
              </w:rPr>
              <w:t>185</w:t>
            </w:r>
          </w:p>
        </w:tc>
        <w:tc>
          <w:tcPr>
            <w:tcW w:w="2909" w:type="dxa"/>
            <w:vAlign w:val="center"/>
          </w:tcPr>
          <w:p>
            <w:pPr>
              <w:ind w:left="110"/>
              <w:rPr>
                <w:rFonts w:eastAsia="Arial Unicode MS" w:cs="Arial"/>
                <w:sz w:val="20"/>
                <w:szCs w:val="20"/>
              </w:rPr>
            </w:pPr>
            <w:r>
              <w:rPr>
                <w:rFonts w:cs="Arial"/>
                <w:sz w:val="20"/>
                <w:szCs w:val="20"/>
              </w:rPr>
              <w:t>QUEVY</w:t>
            </w:r>
          </w:p>
        </w:tc>
        <w:tc>
          <w:tcPr>
            <w:tcW w:w="1260" w:type="dxa"/>
          </w:tcPr>
          <w:p>
            <w:pPr>
              <w:rPr>
                <w:sz w:val="20"/>
                <w:szCs w:val="20"/>
              </w:rPr>
            </w:pPr>
            <w:r>
              <w:rPr>
                <w:sz w:val="20"/>
                <w:szCs w:val="20"/>
              </w:rPr>
              <w:t>123</w:t>
            </w:r>
          </w:p>
        </w:tc>
      </w:tr>
      <w:tr>
        <w:trPr>
          <w:trHeight w:val="227"/>
          <w:jc w:val="center"/>
        </w:trPr>
        <w:tc>
          <w:tcPr>
            <w:tcW w:w="2990" w:type="dxa"/>
            <w:tcBorders>
              <w:left w:val="single" w:sz="4" w:space="0" w:color="auto"/>
            </w:tcBorders>
            <w:vAlign w:val="center"/>
          </w:tcPr>
          <w:p>
            <w:pPr>
              <w:ind w:left="98"/>
              <w:rPr>
                <w:rFonts w:eastAsia="Arial Unicode MS" w:cs="Arial"/>
                <w:sz w:val="20"/>
                <w:szCs w:val="20"/>
              </w:rPr>
            </w:pPr>
            <w:r>
              <w:rPr>
                <w:rFonts w:cs="Arial"/>
                <w:sz w:val="20"/>
                <w:szCs w:val="20"/>
              </w:rPr>
              <w:t>LIBIN</w:t>
            </w:r>
          </w:p>
        </w:tc>
        <w:tc>
          <w:tcPr>
            <w:tcW w:w="1153" w:type="dxa"/>
          </w:tcPr>
          <w:p>
            <w:pPr>
              <w:rPr>
                <w:sz w:val="20"/>
                <w:szCs w:val="20"/>
              </w:rPr>
            </w:pPr>
            <w:r>
              <w:rPr>
                <w:sz w:val="20"/>
                <w:szCs w:val="20"/>
              </w:rPr>
              <w:t>36</w:t>
            </w:r>
          </w:p>
        </w:tc>
        <w:tc>
          <w:tcPr>
            <w:tcW w:w="2909" w:type="dxa"/>
            <w:vAlign w:val="center"/>
          </w:tcPr>
          <w:p>
            <w:pPr>
              <w:ind w:left="110"/>
              <w:rPr>
                <w:rFonts w:eastAsia="Arial Unicode MS" w:cs="Arial"/>
                <w:sz w:val="20"/>
                <w:szCs w:val="20"/>
              </w:rPr>
            </w:pPr>
            <w:r>
              <w:rPr>
                <w:rFonts w:cs="Arial"/>
                <w:sz w:val="20"/>
                <w:szCs w:val="20"/>
              </w:rPr>
              <w:t>QUIEVRAIN</w:t>
            </w:r>
          </w:p>
        </w:tc>
        <w:tc>
          <w:tcPr>
            <w:tcW w:w="1260" w:type="dxa"/>
          </w:tcPr>
          <w:p>
            <w:pPr>
              <w:rPr>
                <w:sz w:val="20"/>
                <w:szCs w:val="20"/>
              </w:rPr>
            </w:pPr>
            <w:r>
              <w:rPr>
                <w:sz w:val="20"/>
                <w:szCs w:val="20"/>
              </w:rPr>
              <w:t>315</w:t>
            </w:r>
          </w:p>
        </w:tc>
      </w:tr>
    </w:tbl>
    <w:p>
      <w:pPr>
        <w:jc w:val="center"/>
        <w:rPr>
          <w:sz w:val="20"/>
          <w:szCs w:val="20"/>
        </w:rPr>
      </w:pPr>
      <w:r>
        <w:rPr>
          <w:sz w:val="20"/>
          <w:szCs w:val="20"/>
        </w:rPr>
        <w:br w:type="page"/>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990"/>
        <w:gridCol w:w="1153"/>
        <w:gridCol w:w="2909"/>
        <w:gridCol w:w="1260"/>
      </w:tblGrid>
      <w:tr>
        <w:trPr>
          <w:trHeight w:val="227"/>
          <w:jc w:val="center"/>
        </w:trPr>
        <w:tc>
          <w:tcPr>
            <w:tcW w:w="2990" w:type="dxa"/>
            <w:tcBorders>
              <w:left w:val="single" w:sz="4" w:space="0" w:color="auto"/>
            </w:tcBorders>
            <w:vAlign w:val="center"/>
          </w:tcPr>
          <w:p>
            <w:pPr>
              <w:jc w:val="center"/>
              <w:rPr>
                <w:rFonts w:eastAsia="Arial Unicode MS" w:cs="Arial"/>
                <w:b/>
                <w:sz w:val="20"/>
                <w:szCs w:val="20"/>
              </w:rPr>
            </w:pPr>
            <w:r>
              <w:rPr>
                <w:rFonts w:cs="Arial"/>
                <w:b/>
                <w:sz w:val="20"/>
                <w:szCs w:val="20"/>
              </w:rPr>
              <w:t>COMMUNE</w:t>
            </w:r>
          </w:p>
        </w:tc>
        <w:tc>
          <w:tcPr>
            <w:tcW w:w="1153" w:type="dxa"/>
            <w:vAlign w:val="center"/>
          </w:tcPr>
          <w:p>
            <w:pPr>
              <w:jc w:val="center"/>
              <w:rPr>
                <w:rFonts w:eastAsia="Arial Unicode MS" w:cs="Arial"/>
                <w:b/>
                <w:sz w:val="20"/>
                <w:szCs w:val="20"/>
              </w:rPr>
            </w:pPr>
            <w:r>
              <w:rPr>
                <w:rFonts w:cs="Arial"/>
                <w:b/>
                <w:sz w:val="20"/>
                <w:szCs w:val="20"/>
              </w:rPr>
              <w:t>DENSITÉ</w:t>
            </w:r>
            <w:r>
              <w:rPr>
                <w:rFonts w:cs="Arial"/>
                <w:b/>
                <w:sz w:val="20"/>
                <w:szCs w:val="20"/>
              </w:rPr>
              <w:br/>
              <w:t>01/01/2015</w:t>
            </w:r>
          </w:p>
        </w:tc>
        <w:tc>
          <w:tcPr>
            <w:tcW w:w="2909" w:type="dxa"/>
            <w:vAlign w:val="center"/>
          </w:tcPr>
          <w:p>
            <w:pPr>
              <w:jc w:val="center"/>
              <w:rPr>
                <w:rFonts w:cs="Arial"/>
                <w:b/>
                <w:sz w:val="20"/>
                <w:szCs w:val="20"/>
              </w:rPr>
            </w:pPr>
            <w:r>
              <w:rPr>
                <w:rFonts w:cs="Arial"/>
                <w:b/>
                <w:sz w:val="20"/>
                <w:szCs w:val="20"/>
              </w:rPr>
              <w:t>COMMUNE</w:t>
            </w:r>
          </w:p>
        </w:tc>
        <w:tc>
          <w:tcPr>
            <w:tcW w:w="1260" w:type="dxa"/>
            <w:vAlign w:val="center"/>
          </w:tcPr>
          <w:p>
            <w:pPr>
              <w:jc w:val="center"/>
              <w:rPr>
                <w:rFonts w:cs="Arial"/>
                <w:b/>
                <w:sz w:val="20"/>
                <w:szCs w:val="20"/>
              </w:rPr>
            </w:pPr>
            <w:r>
              <w:rPr>
                <w:rFonts w:cs="Arial"/>
                <w:b/>
                <w:sz w:val="20"/>
                <w:szCs w:val="20"/>
              </w:rPr>
              <w:t>DENSITÉ</w:t>
            </w:r>
            <w:r>
              <w:rPr>
                <w:rFonts w:cs="Arial"/>
                <w:b/>
                <w:sz w:val="20"/>
                <w:szCs w:val="20"/>
              </w:rPr>
              <w:br/>
              <w:t>01/01/2015</w:t>
            </w:r>
          </w:p>
        </w:tc>
      </w:tr>
      <w:tr>
        <w:trPr>
          <w:trHeight w:val="227"/>
          <w:jc w:val="center"/>
        </w:trPr>
        <w:tc>
          <w:tcPr>
            <w:tcW w:w="2990" w:type="dxa"/>
            <w:tcBorders>
              <w:left w:val="single" w:sz="4" w:space="0" w:color="auto"/>
            </w:tcBorders>
            <w:vAlign w:val="center"/>
          </w:tcPr>
          <w:p>
            <w:pPr>
              <w:ind w:left="110"/>
              <w:rPr>
                <w:rFonts w:ascii="Tahoma" w:eastAsia="Arial Unicode MS" w:hAnsi="Tahoma"/>
                <w:sz w:val="20"/>
                <w:szCs w:val="20"/>
              </w:rPr>
            </w:pPr>
            <w:r>
              <w:rPr>
                <w:rFonts w:ascii="Tahoma" w:hAnsi="Tahoma"/>
                <w:sz w:val="20"/>
                <w:szCs w:val="20"/>
              </w:rPr>
              <w:t>RAMILLIES</w:t>
            </w:r>
          </w:p>
        </w:tc>
        <w:tc>
          <w:tcPr>
            <w:tcW w:w="1153" w:type="dxa"/>
          </w:tcPr>
          <w:p>
            <w:pPr>
              <w:rPr>
                <w:sz w:val="20"/>
                <w:szCs w:val="20"/>
              </w:rPr>
            </w:pPr>
            <w:r>
              <w:rPr>
                <w:sz w:val="20"/>
                <w:szCs w:val="20"/>
              </w:rPr>
              <w:t>128</w:t>
            </w:r>
          </w:p>
        </w:tc>
        <w:tc>
          <w:tcPr>
            <w:tcW w:w="2909" w:type="dxa"/>
            <w:vAlign w:val="center"/>
          </w:tcPr>
          <w:p>
            <w:pPr>
              <w:ind w:left="98"/>
              <w:rPr>
                <w:rFonts w:ascii="Tahoma" w:eastAsia="Arial Unicode MS" w:hAnsi="Tahoma"/>
                <w:sz w:val="20"/>
                <w:szCs w:val="20"/>
              </w:rPr>
            </w:pPr>
            <w:r>
              <w:rPr>
                <w:rFonts w:ascii="Tahoma" w:hAnsi="Tahoma"/>
                <w:sz w:val="20"/>
                <w:szCs w:val="20"/>
              </w:rPr>
              <w:t>THIMISTER-CLERMONT</w:t>
            </w:r>
          </w:p>
        </w:tc>
        <w:tc>
          <w:tcPr>
            <w:tcW w:w="1260" w:type="dxa"/>
            <w:vAlign w:val="bottom"/>
          </w:tcPr>
          <w:p>
            <w:pPr>
              <w:jc w:val="right"/>
              <w:rPr>
                <w:rFonts w:cs="Arial"/>
                <w:sz w:val="20"/>
                <w:szCs w:val="20"/>
                <w:lang w:val="fr-BE" w:eastAsia="fr-BE"/>
              </w:rPr>
            </w:pPr>
            <w:r>
              <w:rPr>
                <w:rFonts w:cs="Arial"/>
                <w:sz w:val="20"/>
                <w:szCs w:val="20"/>
              </w:rPr>
              <w:t>198</w:t>
            </w:r>
          </w:p>
        </w:tc>
      </w:tr>
      <w:tr>
        <w:trPr>
          <w:trHeight w:val="227"/>
          <w:jc w:val="center"/>
        </w:trPr>
        <w:tc>
          <w:tcPr>
            <w:tcW w:w="2990" w:type="dxa"/>
            <w:tcBorders>
              <w:left w:val="single" w:sz="4" w:space="0" w:color="auto"/>
            </w:tcBorders>
            <w:vAlign w:val="center"/>
          </w:tcPr>
          <w:p>
            <w:pPr>
              <w:ind w:left="110"/>
              <w:rPr>
                <w:rFonts w:ascii="Tahoma" w:eastAsia="Arial Unicode MS" w:hAnsi="Tahoma"/>
                <w:sz w:val="20"/>
                <w:szCs w:val="20"/>
              </w:rPr>
            </w:pPr>
            <w:r>
              <w:rPr>
                <w:rFonts w:ascii="Tahoma" w:hAnsi="Tahoma"/>
                <w:sz w:val="20"/>
                <w:szCs w:val="20"/>
              </w:rPr>
              <w:t>REBECQ</w:t>
            </w:r>
          </w:p>
        </w:tc>
        <w:tc>
          <w:tcPr>
            <w:tcW w:w="1153" w:type="dxa"/>
          </w:tcPr>
          <w:p>
            <w:pPr>
              <w:rPr>
                <w:sz w:val="20"/>
                <w:szCs w:val="20"/>
              </w:rPr>
            </w:pPr>
            <w:r>
              <w:rPr>
                <w:sz w:val="20"/>
                <w:szCs w:val="20"/>
              </w:rPr>
              <w:t>279</w:t>
            </w:r>
          </w:p>
        </w:tc>
        <w:tc>
          <w:tcPr>
            <w:tcW w:w="2909" w:type="dxa"/>
            <w:vAlign w:val="center"/>
          </w:tcPr>
          <w:p>
            <w:pPr>
              <w:ind w:left="98"/>
              <w:rPr>
                <w:rFonts w:ascii="Tahoma" w:eastAsia="Arial Unicode MS" w:hAnsi="Tahoma"/>
                <w:sz w:val="20"/>
                <w:szCs w:val="20"/>
              </w:rPr>
            </w:pPr>
            <w:r>
              <w:rPr>
                <w:rFonts w:ascii="Tahoma" w:hAnsi="Tahoma"/>
                <w:sz w:val="20"/>
                <w:szCs w:val="20"/>
              </w:rPr>
              <w:t>THUIN</w:t>
            </w:r>
          </w:p>
        </w:tc>
        <w:tc>
          <w:tcPr>
            <w:tcW w:w="1260" w:type="dxa"/>
            <w:vAlign w:val="bottom"/>
          </w:tcPr>
          <w:p>
            <w:pPr>
              <w:jc w:val="right"/>
              <w:rPr>
                <w:rFonts w:cs="Arial"/>
                <w:sz w:val="20"/>
                <w:szCs w:val="20"/>
              </w:rPr>
            </w:pPr>
            <w:r>
              <w:rPr>
                <w:rFonts w:cs="Arial"/>
                <w:sz w:val="20"/>
                <w:szCs w:val="20"/>
              </w:rPr>
              <w:t>191</w:t>
            </w:r>
          </w:p>
        </w:tc>
      </w:tr>
      <w:tr>
        <w:trPr>
          <w:trHeight w:val="227"/>
          <w:jc w:val="center"/>
        </w:trPr>
        <w:tc>
          <w:tcPr>
            <w:tcW w:w="2990" w:type="dxa"/>
            <w:tcBorders>
              <w:left w:val="single" w:sz="4" w:space="0" w:color="auto"/>
            </w:tcBorders>
            <w:vAlign w:val="center"/>
          </w:tcPr>
          <w:p>
            <w:pPr>
              <w:ind w:left="110"/>
              <w:rPr>
                <w:rFonts w:ascii="Tahoma" w:eastAsia="Arial Unicode MS" w:hAnsi="Tahoma"/>
                <w:sz w:val="20"/>
                <w:szCs w:val="20"/>
              </w:rPr>
            </w:pPr>
            <w:r>
              <w:rPr>
                <w:rFonts w:ascii="Tahoma" w:hAnsi="Tahoma"/>
                <w:sz w:val="20"/>
                <w:szCs w:val="20"/>
              </w:rPr>
              <w:t>REMICOURT</w:t>
            </w:r>
          </w:p>
        </w:tc>
        <w:tc>
          <w:tcPr>
            <w:tcW w:w="1153" w:type="dxa"/>
          </w:tcPr>
          <w:p>
            <w:pPr>
              <w:rPr>
                <w:sz w:val="20"/>
                <w:szCs w:val="20"/>
              </w:rPr>
            </w:pPr>
            <w:r>
              <w:rPr>
                <w:sz w:val="20"/>
                <w:szCs w:val="20"/>
              </w:rPr>
              <w:t>260</w:t>
            </w:r>
          </w:p>
        </w:tc>
        <w:tc>
          <w:tcPr>
            <w:tcW w:w="2909" w:type="dxa"/>
            <w:vAlign w:val="center"/>
          </w:tcPr>
          <w:p>
            <w:pPr>
              <w:ind w:left="110"/>
              <w:rPr>
                <w:rFonts w:ascii="Tahoma" w:eastAsia="Arial Unicode MS" w:hAnsi="Tahoma"/>
                <w:sz w:val="20"/>
                <w:szCs w:val="20"/>
              </w:rPr>
            </w:pPr>
            <w:r>
              <w:rPr>
                <w:rFonts w:ascii="Tahoma" w:hAnsi="Tahoma"/>
                <w:sz w:val="20"/>
                <w:szCs w:val="20"/>
              </w:rPr>
              <w:t>TINLOT</w:t>
            </w:r>
          </w:p>
        </w:tc>
        <w:tc>
          <w:tcPr>
            <w:tcW w:w="1260" w:type="dxa"/>
            <w:vAlign w:val="bottom"/>
          </w:tcPr>
          <w:p>
            <w:pPr>
              <w:jc w:val="right"/>
              <w:rPr>
                <w:rFonts w:cs="Arial"/>
                <w:sz w:val="20"/>
                <w:szCs w:val="20"/>
              </w:rPr>
            </w:pPr>
            <w:r>
              <w:rPr>
                <w:rFonts w:cs="Arial"/>
                <w:sz w:val="20"/>
                <w:szCs w:val="20"/>
              </w:rPr>
              <w:t>71</w:t>
            </w:r>
          </w:p>
        </w:tc>
      </w:tr>
      <w:tr>
        <w:trPr>
          <w:trHeight w:val="227"/>
          <w:jc w:val="center"/>
        </w:trPr>
        <w:tc>
          <w:tcPr>
            <w:tcW w:w="2990" w:type="dxa"/>
            <w:tcBorders>
              <w:left w:val="single" w:sz="4" w:space="0" w:color="auto"/>
            </w:tcBorders>
            <w:vAlign w:val="center"/>
          </w:tcPr>
          <w:p>
            <w:pPr>
              <w:ind w:left="110"/>
              <w:rPr>
                <w:rFonts w:ascii="Tahoma" w:eastAsia="Arial Unicode MS" w:hAnsi="Tahoma"/>
                <w:sz w:val="20"/>
                <w:szCs w:val="20"/>
              </w:rPr>
            </w:pPr>
            <w:r>
              <w:rPr>
                <w:rFonts w:ascii="Tahoma" w:hAnsi="Tahoma"/>
                <w:sz w:val="20"/>
                <w:szCs w:val="20"/>
              </w:rPr>
              <w:t>RENDEUX</w:t>
            </w:r>
          </w:p>
        </w:tc>
        <w:tc>
          <w:tcPr>
            <w:tcW w:w="1153" w:type="dxa"/>
          </w:tcPr>
          <w:p>
            <w:pPr>
              <w:rPr>
                <w:sz w:val="20"/>
                <w:szCs w:val="20"/>
              </w:rPr>
            </w:pPr>
            <w:r>
              <w:rPr>
                <w:sz w:val="20"/>
                <w:szCs w:val="20"/>
              </w:rPr>
              <w:t>37</w:t>
            </w:r>
          </w:p>
        </w:tc>
        <w:tc>
          <w:tcPr>
            <w:tcW w:w="2909" w:type="dxa"/>
            <w:vAlign w:val="center"/>
          </w:tcPr>
          <w:p>
            <w:pPr>
              <w:ind w:left="110"/>
              <w:rPr>
                <w:rFonts w:ascii="Tahoma" w:eastAsia="Arial Unicode MS" w:hAnsi="Tahoma"/>
                <w:sz w:val="20"/>
                <w:szCs w:val="20"/>
              </w:rPr>
            </w:pPr>
            <w:r>
              <w:rPr>
                <w:rFonts w:ascii="Tahoma" w:hAnsi="Tahoma"/>
                <w:sz w:val="20"/>
                <w:szCs w:val="20"/>
              </w:rPr>
              <w:t>TINTIGNY</w:t>
            </w:r>
          </w:p>
        </w:tc>
        <w:tc>
          <w:tcPr>
            <w:tcW w:w="1260" w:type="dxa"/>
            <w:vAlign w:val="bottom"/>
          </w:tcPr>
          <w:p>
            <w:pPr>
              <w:jc w:val="right"/>
              <w:rPr>
                <w:rFonts w:cs="Arial"/>
                <w:sz w:val="20"/>
                <w:szCs w:val="20"/>
              </w:rPr>
            </w:pPr>
            <w:r>
              <w:rPr>
                <w:rFonts w:cs="Arial"/>
                <w:sz w:val="20"/>
                <w:szCs w:val="20"/>
              </w:rPr>
              <w:t>51</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RIXENSART</w:t>
            </w:r>
          </w:p>
        </w:tc>
        <w:tc>
          <w:tcPr>
            <w:tcW w:w="1153" w:type="dxa"/>
          </w:tcPr>
          <w:p>
            <w:pPr>
              <w:rPr>
                <w:sz w:val="20"/>
                <w:szCs w:val="20"/>
              </w:rPr>
            </w:pPr>
            <w:r>
              <w:rPr>
                <w:sz w:val="20"/>
                <w:szCs w:val="20"/>
              </w:rPr>
              <w:t>1252</w:t>
            </w:r>
          </w:p>
        </w:tc>
        <w:tc>
          <w:tcPr>
            <w:tcW w:w="2909" w:type="dxa"/>
            <w:vAlign w:val="center"/>
          </w:tcPr>
          <w:p>
            <w:pPr>
              <w:ind w:left="110"/>
              <w:rPr>
                <w:rFonts w:ascii="Tahoma" w:eastAsia="Arial Unicode MS" w:hAnsi="Tahoma"/>
                <w:sz w:val="20"/>
                <w:szCs w:val="20"/>
              </w:rPr>
            </w:pPr>
            <w:r>
              <w:rPr>
                <w:rFonts w:ascii="Tahoma" w:hAnsi="Tahoma"/>
                <w:sz w:val="20"/>
                <w:szCs w:val="20"/>
              </w:rPr>
              <w:t>TOURNAI</w:t>
            </w:r>
          </w:p>
        </w:tc>
        <w:tc>
          <w:tcPr>
            <w:tcW w:w="1260" w:type="dxa"/>
            <w:vAlign w:val="bottom"/>
          </w:tcPr>
          <w:p>
            <w:pPr>
              <w:jc w:val="right"/>
              <w:rPr>
                <w:rFonts w:cs="Arial"/>
                <w:sz w:val="20"/>
                <w:szCs w:val="20"/>
              </w:rPr>
            </w:pPr>
            <w:r>
              <w:rPr>
                <w:rFonts w:cs="Arial"/>
                <w:sz w:val="20"/>
                <w:szCs w:val="20"/>
              </w:rPr>
              <w:t>326</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ROCHEFORT</w:t>
            </w:r>
          </w:p>
        </w:tc>
        <w:tc>
          <w:tcPr>
            <w:tcW w:w="1153" w:type="dxa"/>
          </w:tcPr>
          <w:p>
            <w:pPr>
              <w:rPr>
                <w:sz w:val="20"/>
                <w:szCs w:val="20"/>
              </w:rPr>
            </w:pPr>
            <w:r>
              <w:rPr>
                <w:sz w:val="20"/>
                <w:szCs w:val="20"/>
              </w:rPr>
              <w:t>76</w:t>
            </w:r>
          </w:p>
        </w:tc>
        <w:tc>
          <w:tcPr>
            <w:tcW w:w="2909" w:type="dxa"/>
            <w:vAlign w:val="center"/>
          </w:tcPr>
          <w:p>
            <w:pPr>
              <w:ind w:left="110"/>
              <w:rPr>
                <w:rFonts w:ascii="Tahoma" w:eastAsia="Arial Unicode MS" w:hAnsi="Tahoma"/>
                <w:sz w:val="20"/>
                <w:szCs w:val="20"/>
              </w:rPr>
            </w:pPr>
            <w:r>
              <w:rPr>
                <w:rFonts w:ascii="Tahoma" w:hAnsi="Tahoma"/>
                <w:sz w:val="20"/>
                <w:szCs w:val="20"/>
              </w:rPr>
              <w:t>TROIS-PONTS</w:t>
            </w:r>
          </w:p>
        </w:tc>
        <w:tc>
          <w:tcPr>
            <w:tcW w:w="1260" w:type="dxa"/>
            <w:vAlign w:val="bottom"/>
          </w:tcPr>
          <w:p>
            <w:pPr>
              <w:jc w:val="right"/>
              <w:rPr>
                <w:rFonts w:cs="Arial"/>
                <w:sz w:val="20"/>
                <w:szCs w:val="20"/>
              </w:rPr>
            </w:pPr>
            <w:r>
              <w:rPr>
                <w:rFonts w:cs="Arial"/>
                <w:sz w:val="20"/>
                <w:szCs w:val="20"/>
              </w:rPr>
              <w:t>37</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ROUVROY</w:t>
            </w:r>
          </w:p>
        </w:tc>
        <w:tc>
          <w:tcPr>
            <w:tcW w:w="1153" w:type="dxa"/>
          </w:tcPr>
          <w:p>
            <w:pPr>
              <w:rPr>
                <w:sz w:val="20"/>
                <w:szCs w:val="20"/>
              </w:rPr>
            </w:pPr>
            <w:r>
              <w:rPr>
                <w:sz w:val="20"/>
                <w:szCs w:val="20"/>
              </w:rPr>
              <w:t>76</w:t>
            </w:r>
          </w:p>
        </w:tc>
        <w:tc>
          <w:tcPr>
            <w:tcW w:w="2909" w:type="dxa"/>
            <w:vAlign w:val="center"/>
          </w:tcPr>
          <w:p>
            <w:pPr>
              <w:ind w:left="110"/>
              <w:rPr>
                <w:rFonts w:ascii="Tahoma" w:eastAsia="Arial Unicode MS" w:hAnsi="Tahoma"/>
                <w:sz w:val="20"/>
                <w:szCs w:val="20"/>
              </w:rPr>
            </w:pPr>
            <w:r>
              <w:rPr>
                <w:rFonts w:ascii="Tahoma" w:hAnsi="Tahoma"/>
                <w:sz w:val="20"/>
                <w:szCs w:val="20"/>
              </w:rPr>
              <w:t>TROOZ</w:t>
            </w:r>
          </w:p>
        </w:tc>
        <w:tc>
          <w:tcPr>
            <w:tcW w:w="1260" w:type="dxa"/>
            <w:vAlign w:val="bottom"/>
          </w:tcPr>
          <w:p>
            <w:pPr>
              <w:jc w:val="right"/>
              <w:rPr>
                <w:rFonts w:cs="Arial"/>
                <w:sz w:val="20"/>
                <w:szCs w:val="20"/>
              </w:rPr>
            </w:pPr>
            <w:r>
              <w:rPr>
                <w:rFonts w:cs="Arial"/>
                <w:sz w:val="20"/>
                <w:szCs w:val="20"/>
              </w:rPr>
              <w:t>339</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RUMES</w:t>
            </w:r>
          </w:p>
        </w:tc>
        <w:tc>
          <w:tcPr>
            <w:tcW w:w="1153" w:type="dxa"/>
          </w:tcPr>
          <w:p>
            <w:pPr>
              <w:rPr>
                <w:sz w:val="20"/>
                <w:szCs w:val="20"/>
              </w:rPr>
            </w:pPr>
            <w:r>
              <w:rPr>
                <w:sz w:val="20"/>
                <w:szCs w:val="20"/>
              </w:rPr>
              <w:t>217</w:t>
            </w:r>
          </w:p>
        </w:tc>
        <w:tc>
          <w:tcPr>
            <w:tcW w:w="2909" w:type="dxa"/>
            <w:vAlign w:val="center"/>
          </w:tcPr>
          <w:p>
            <w:pPr>
              <w:ind w:left="110"/>
              <w:rPr>
                <w:rFonts w:ascii="Tahoma" w:eastAsia="Arial Unicode MS" w:hAnsi="Tahoma"/>
                <w:sz w:val="20"/>
                <w:szCs w:val="20"/>
              </w:rPr>
            </w:pPr>
            <w:r>
              <w:rPr>
                <w:rFonts w:ascii="Tahoma" w:hAnsi="Tahoma"/>
                <w:sz w:val="20"/>
                <w:szCs w:val="20"/>
              </w:rPr>
              <w:t>TUBIZE</w:t>
            </w:r>
          </w:p>
        </w:tc>
        <w:tc>
          <w:tcPr>
            <w:tcW w:w="1260" w:type="dxa"/>
            <w:vAlign w:val="bottom"/>
          </w:tcPr>
          <w:p>
            <w:pPr>
              <w:jc w:val="right"/>
              <w:rPr>
                <w:rFonts w:cs="Arial"/>
                <w:sz w:val="20"/>
                <w:szCs w:val="20"/>
              </w:rPr>
            </w:pPr>
            <w:r>
              <w:rPr>
                <w:rFonts w:cs="Arial"/>
                <w:sz w:val="20"/>
                <w:szCs w:val="20"/>
              </w:rPr>
              <w:t>770</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SAINTE-ODE</w:t>
            </w:r>
          </w:p>
        </w:tc>
        <w:tc>
          <w:tcPr>
            <w:tcW w:w="1153" w:type="dxa"/>
          </w:tcPr>
          <w:p>
            <w:pPr>
              <w:rPr>
                <w:sz w:val="20"/>
                <w:szCs w:val="20"/>
              </w:rPr>
            </w:pPr>
            <w:r>
              <w:rPr>
                <w:sz w:val="20"/>
                <w:szCs w:val="20"/>
              </w:rPr>
              <w:t>25</w:t>
            </w:r>
          </w:p>
        </w:tc>
        <w:tc>
          <w:tcPr>
            <w:tcW w:w="2909" w:type="dxa"/>
            <w:vAlign w:val="center"/>
          </w:tcPr>
          <w:p>
            <w:pPr>
              <w:ind w:left="110"/>
              <w:rPr>
                <w:rFonts w:ascii="Tahoma" w:eastAsia="Arial Unicode MS" w:hAnsi="Tahoma"/>
                <w:sz w:val="20"/>
                <w:szCs w:val="20"/>
              </w:rPr>
            </w:pPr>
            <w:r>
              <w:rPr>
                <w:rFonts w:ascii="Tahoma" w:hAnsi="Tahoma"/>
                <w:sz w:val="20"/>
                <w:szCs w:val="20"/>
              </w:rPr>
              <w:t>UCCLE</w:t>
            </w:r>
          </w:p>
        </w:tc>
        <w:tc>
          <w:tcPr>
            <w:tcW w:w="1260" w:type="dxa"/>
            <w:vAlign w:val="bottom"/>
          </w:tcPr>
          <w:p>
            <w:pPr>
              <w:jc w:val="right"/>
              <w:rPr>
                <w:rFonts w:cs="Arial"/>
                <w:sz w:val="20"/>
                <w:szCs w:val="20"/>
              </w:rPr>
            </w:pPr>
            <w:r>
              <w:rPr>
                <w:rFonts w:cs="Arial"/>
                <w:sz w:val="20"/>
                <w:szCs w:val="20"/>
              </w:rPr>
              <w:t>3548</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SAINT-GEORGES-SUR-MEUSE</w:t>
            </w:r>
          </w:p>
        </w:tc>
        <w:tc>
          <w:tcPr>
            <w:tcW w:w="1153" w:type="dxa"/>
          </w:tcPr>
          <w:p>
            <w:pPr>
              <w:rPr>
                <w:sz w:val="20"/>
                <w:szCs w:val="20"/>
              </w:rPr>
            </w:pPr>
            <w:r>
              <w:rPr>
                <w:sz w:val="20"/>
                <w:szCs w:val="20"/>
              </w:rPr>
              <w:t>316</w:t>
            </w:r>
          </w:p>
        </w:tc>
        <w:tc>
          <w:tcPr>
            <w:tcW w:w="2909" w:type="dxa"/>
            <w:vAlign w:val="center"/>
          </w:tcPr>
          <w:p>
            <w:pPr>
              <w:ind w:left="110"/>
              <w:rPr>
                <w:rFonts w:ascii="Tahoma" w:eastAsia="Arial Unicode MS" w:hAnsi="Tahoma"/>
                <w:sz w:val="20"/>
                <w:szCs w:val="20"/>
              </w:rPr>
            </w:pPr>
            <w:r>
              <w:rPr>
                <w:rFonts w:ascii="Tahoma" w:hAnsi="Tahoma"/>
                <w:sz w:val="20"/>
                <w:szCs w:val="20"/>
              </w:rPr>
              <w:t>VAUX-SUR-SURE</w:t>
            </w:r>
          </w:p>
        </w:tc>
        <w:tc>
          <w:tcPr>
            <w:tcW w:w="1260" w:type="dxa"/>
            <w:vAlign w:val="bottom"/>
          </w:tcPr>
          <w:p>
            <w:pPr>
              <w:jc w:val="right"/>
              <w:rPr>
                <w:rFonts w:cs="Arial"/>
                <w:sz w:val="20"/>
                <w:szCs w:val="20"/>
              </w:rPr>
            </w:pPr>
            <w:r>
              <w:rPr>
                <w:rFonts w:cs="Arial"/>
                <w:sz w:val="20"/>
                <w:szCs w:val="20"/>
              </w:rPr>
              <w:t>40</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SAINT-GHISLAIN</w:t>
            </w:r>
          </w:p>
        </w:tc>
        <w:tc>
          <w:tcPr>
            <w:tcW w:w="1153" w:type="dxa"/>
          </w:tcPr>
          <w:p>
            <w:pPr>
              <w:rPr>
                <w:sz w:val="20"/>
                <w:szCs w:val="20"/>
              </w:rPr>
            </w:pPr>
            <w:r>
              <w:rPr>
                <w:sz w:val="20"/>
                <w:szCs w:val="20"/>
              </w:rPr>
              <w:t>326</w:t>
            </w:r>
          </w:p>
        </w:tc>
        <w:tc>
          <w:tcPr>
            <w:tcW w:w="2909" w:type="dxa"/>
            <w:vAlign w:val="center"/>
          </w:tcPr>
          <w:p>
            <w:pPr>
              <w:ind w:left="110"/>
              <w:rPr>
                <w:rFonts w:ascii="Tahoma" w:eastAsia="Arial Unicode MS" w:hAnsi="Tahoma"/>
                <w:sz w:val="20"/>
                <w:szCs w:val="20"/>
              </w:rPr>
            </w:pPr>
            <w:r>
              <w:rPr>
                <w:rFonts w:ascii="Tahoma" w:hAnsi="Tahoma"/>
                <w:sz w:val="20"/>
                <w:szCs w:val="20"/>
              </w:rPr>
              <w:t>VERLAINE</w:t>
            </w:r>
          </w:p>
        </w:tc>
        <w:tc>
          <w:tcPr>
            <w:tcW w:w="1260" w:type="dxa"/>
            <w:vAlign w:val="bottom"/>
          </w:tcPr>
          <w:p>
            <w:pPr>
              <w:jc w:val="right"/>
              <w:rPr>
                <w:rFonts w:cs="Arial"/>
                <w:sz w:val="20"/>
                <w:szCs w:val="20"/>
              </w:rPr>
            </w:pPr>
            <w:r>
              <w:rPr>
                <w:rFonts w:cs="Arial"/>
                <w:sz w:val="20"/>
                <w:szCs w:val="20"/>
              </w:rPr>
              <w:t>168</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SAINT-GILLES</w:t>
            </w:r>
          </w:p>
        </w:tc>
        <w:tc>
          <w:tcPr>
            <w:tcW w:w="1153" w:type="dxa"/>
          </w:tcPr>
          <w:p>
            <w:pPr>
              <w:rPr>
                <w:sz w:val="20"/>
                <w:szCs w:val="20"/>
              </w:rPr>
            </w:pPr>
            <w:r>
              <w:rPr>
                <w:sz w:val="20"/>
                <w:szCs w:val="20"/>
              </w:rPr>
              <w:t>19991</w:t>
            </w:r>
          </w:p>
        </w:tc>
        <w:tc>
          <w:tcPr>
            <w:tcW w:w="2909" w:type="dxa"/>
            <w:vAlign w:val="center"/>
          </w:tcPr>
          <w:p>
            <w:pPr>
              <w:ind w:left="110"/>
              <w:rPr>
                <w:rFonts w:ascii="Tahoma" w:eastAsia="Arial Unicode MS" w:hAnsi="Tahoma"/>
                <w:sz w:val="20"/>
                <w:szCs w:val="20"/>
              </w:rPr>
            </w:pPr>
            <w:r>
              <w:rPr>
                <w:rFonts w:ascii="Tahoma" w:hAnsi="Tahoma"/>
                <w:sz w:val="20"/>
                <w:szCs w:val="20"/>
              </w:rPr>
              <w:t>VERVIERS</w:t>
            </w:r>
          </w:p>
        </w:tc>
        <w:tc>
          <w:tcPr>
            <w:tcW w:w="1260" w:type="dxa"/>
            <w:vAlign w:val="bottom"/>
          </w:tcPr>
          <w:p>
            <w:pPr>
              <w:jc w:val="right"/>
              <w:rPr>
                <w:rFonts w:cs="Arial"/>
                <w:sz w:val="20"/>
                <w:szCs w:val="20"/>
              </w:rPr>
            </w:pPr>
            <w:r>
              <w:rPr>
                <w:rFonts w:cs="Arial"/>
                <w:sz w:val="20"/>
                <w:szCs w:val="20"/>
              </w:rPr>
              <w:t>1674</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SAINT-HUBERT</w:t>
            </w:r>
          </w:p>
        </w:tc>
        <w:tc>
          <w:tcPr>
            <w:tcW w:w="1153" w:type="dxa"/>
          </w:tcPr>
          <w:p>
            <w:pPr>
              <w:rPr>
                <w:sz w:val="20"/>
                <w:szCs w:val="20"/>
              </w:rPr>
            </w:pPr>
            <w:r>
              <w:rPr>
                <w:sz w:val="20"/>
                <w:szCs w:val="20"/>
              </w:rPr>
              <w:t>51</w:t>
            </w:r>
          </w:p>
        </w:tc>
        <w:tc>
          <w:tcPr>
            <w:tcW w:w="2909" w:type="dxa"/>
            <w:vAlign w:val="center"/>
          </w:tcPr>
          <w:p>
            <w:pPr>
              <w:ind w:left="110"/>
              <w:rPr>
                <w:rFonts w:ascii="Tahoma" w:eastAsia="Arial Unicode MS" w:hAnsi="Tahoma"/>
                <w:sz w:val="20"/>
                <w:szCs w:val="20"/>
              </w:rPr>
            </w:pPr>
            <w:r>
              <w:rPr>
                <w:rFonts w:ascii="Tahoma" w:hAnsi="Tahoma"/>
                <w:sz w:val="20"/>
                <w:szCs w:val="20"/>
              </w:rPr>
              <w:t>VIELSALM</w:t>
            </w:r>
          </w:p>
        </w:tc>
        <w:tc>
          <w:tcPr>
            <w:tcW w:w="1260" w:type="dxa"/>
            <w:vAlign w:val="bottom"/>
          </w:tcPr>
          <w:p>
            <w:pPr>
              <w:jc w:val="right"/>
              <w:rPr>
                <w:rFonts w:cs="Arial"/>
                <w:sz w:val="20"/>
                <w:szCs w:val="20"/>
              </w:rPr>
            </w:pPr>
            <w:r>
              <w:rPr>
                <w:rFonts w:cs="Arial"/>
                <w:sz w:val="20"/>
                <w:szCs w:val="20"/>
              </w:rPr>
              <w:t>55</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SAINT-JOSSE-TEN-NODE</w:t>
            </w:r>
          </w:p>
        </w:tc>
        <w:tc>
          <w:tcPr>
            <w:tcW w:w="1153" w:type="dxa"/>
          </w:tcPr>
          <w:p>
            <w:pPr>
              <w:rPr>
                <w:sz w:val="20"/>
                <w:szCs w:val="20"/>
              </w:rPr>
            </w:pPr>
            <w:r>
              <w:rPr>
                <w:sz w:val="20"/>
                <w:szCs w:val="20"/>
              </w:rPr>
              <w:t>23927</w:t>
            </w:r>
          </w:p>
        </w:tc>
        <w:tc>
          <w:tcPr>
            <w:tcW w:w="2909" w:type="dxa"/>
            <w:vAlign w:val="center"/>
          </w:tcPr>
          <w:p>
            <w:pPr>
              <w:ind w:left="110"/>
              <w:rPr>
                <w:rFonts w:ascii="Tahoma" w:eastAsia="Arial Unicode MS" w:hAnsi="Tahoma"/>
                <w:sz w:val="20"/>
                <w:szCs w:val="20"/>
              </w:rPr>
            </w:pPr>
            <w:r>
              <w:rPr>
                <w:rFonts w:ascii="Tahoma" w:hAnsi="Tahoma"/>
                <w:sz w:val="20"/>
                <w:szCs w:val="20"/>
              </w:rPr>
              <w:t>VILLERS-LA-VILLE</w:t>
            </w:r>
          </w:p>
        </w:tc>
        <w:tc>
          <w:tcPr>
            <w:tcW w:w="1260" w:type="dxa"/>
            <w:vAlign w:val="bottom"/>
          </w:tcPr>
          <w:p>
            <w:pPr>
              <w:jc w:val="right"/>
              <w:rPr>
                <w:rFonts w:cs="Arial"/>
                <w:sz w:val="20"/>
                <w:szCs w:val="20"/>
              </w:rPr>
            </w:pPr>
            <w:r>
              <w:rPr>
                <w:rFonts w:cs="Arial"/>
                <w:sz w:val="20"/>
                <w:szCs w:val="20"/>
              </w:rPr>
              <w:t>219</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SAINT-LEGER</w:t>
            </w:r>
          </w:p>
        </w:tc>
        <w:tc>
          <w:tcPr>
            <w:tcW w:w="1153" w:type="dxa"/>
          </w:tcPr>
          <w:p>
            <w:pPr>
              <w:rPr>
                <w:sz w:val="20"/>
                <w:szCs w:val="20"/>
              </w:rPr>
            </w:pPr>
            <w:r>
              <w:rPr>
                <w:sz w:val="20"/>
                <w:szCs w:val="20"/>
              </w:rPr>
              <w:t>98</w:t>
            </w:r>
          </w:p>
        </w:tc>
        <w:tc>
          <w:tcPr>
            <w:tcW w:w="2909" w:type="dxa"/>
            <w:vAlign w:val="center"/>
          </w:tcPr>
          <w:p>
            <w:pPr>
              <w:ind w:left="110"/>
              <w:rPr>
                <w:rFonts w:ascii="Tahoma" w:eastAsia="Arial Unicode MS" w:hAnsi="Tahoma"/>
                <w:sz w:val="20"/>
                <w:szCs w:val="20"/>
              </w:rPr>
            </w:pPr>
            <w:r>
              <w:rPr>
                <w:rFonts w:ascii="Tahoma" w:hAnsi="Tahoma"/>
                <w:sz w:val="20"/>
                <w:szCs w:val="20"/>
              </w:rPr>
              <w:t>VILLERS-LE-BOUILLET</w:t>
            </w:r>
          </w:p>
        </w:tc>
        <w:tc>
          <w:tcPr>
            <w:tcW w:w="1260" w:type="dxa"/>
            <w:vAlign w:val="bottom"/>
          </w:tcPr>
          <w:p>
            <w:pPr>
              <w:jc w:val="right"/>
              <w:rPr>
                <w:rFonts w:cs="Arial"/>
                <w:sz w:val="20"/>
                <w:szCs w:val="20"/>
              </w:rPr>
            </w:pPr>
            <w:r>
              <w:rPr>
                <w:rFonts w:cs="Arial"/>
                <w:sz w:val="20"/>
                <w:szCs w:val="20"/>
              </w:rPr>
              <w:t>198</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SAINT-NICOLAS</w:t>
            </w:r>
          </w:p>
        </w:tc>
        <w:tc>
          <w:tcPr>
            <w:tcW w:w="1153" w:type="dxa"/>
          </w:tcPr>
          <w:p>
            <w:pPr>
              <w:rPr>
                <w:sz w:val="20"/>
                <w:szCs w:val="20"/>
              </w:rPr>
            </w:pPr>
            <w:r>
              <w:rPr>
                <w:sz w:val="20"/>
                <w:szCs w:val="20"/>
              </w:rPr>
              <w:t>3503</w:t>
            </w:r>
          </w:p>
        </w:tc>
        <w:tc>
          <w:tcPr>
            <w:tcW w:w="2909" w:type="dxa"/>
            <w:vAlign w:val="center"/>
          </w:tcPr>
          <w:p>
            <w:pPr>
              <w:ind w:left="110"/>
              <w:rPr>
                <w:rFonts w:ascii="Tahoma" w:eastAsia="Arial Unicode MS" w:hAnsi="Tahoma"/>
                <w:sz w:val="20"/>
                <w:szCs w:val="20"/>
              </w:rPr>
            </w:pPr>
            <w:r>
              <w:rPr>
                <w:rFonts w:ascii="Tahoma" w:hAnsi="Tahoma"/>
                <w:sz w:val="20"/>
                <w:szCs w:val="20"/>
              </w:rPr>
              <w:t>VIROINVAL</w:t>
            </w:r>
          </w:p>
        </w:tc>
        <w:tc>
          <w:tcPr>
            <w:tcW w:w="1260" w:type="dxa"/>
            <w:vAlign w:val="bottom"/>
          </w:tcPr>
          <w:p>
            <w:pPr>
              <w:jc w:val="right"/>
              <w:rPr>
                <w:rFonts w:cs="Arial"/>
                <w:sz w:val="20"/>
                <w:szCs w:val="20"/>
              </w:rPr>
            </w:pPr>
            <w:r>
              <w:rPr>
                <w:rFonts w:cs="Arial"/>
                <w:sz w:val="20"/>
                <w:szCs w:val="20"/>
              </w:rPr>
              <w:t>48</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SAMBREVILLE</w:t>
            </w:r>
          </w:p>
        </w:tc>
        <w:tc>
          <w:tcPr>
            <w:tcW w:w="1153" w:type="dxa"/>
          </w:tcPr>
          <w:p>
            <w:pPr>
              <w:rPr>
                <w:sz w:val="20"/>
                <w:szCs w:val="20"/>
              </w:rPr>
            </w:pPr>
            <w:r>
              <w:rPr>
                <w:sz w:val="20"/>
                <w:szCs w:val="20"/>
              </w:rPr>
              <w:t>816</w:t>
            </w:r>
          </w:p>
        </w:tc>
        <w:tc>
          <w:tcPr>
            <w:tcW w:w="2909" w:type="dxa"/>
            <w:vAlign w:val="center"/>
          </w:tcPr>
          <w:p>
            <w:pPr>
              <w:ind w:left="110"/>
              <w:rPr>
                <w:rFonts w:ascii="Tahoma" w:eastAsia="Arial Unicode MS" w:hAnsi="Tahoma"/>
                <w:sz w:val="20"/>
                <w:szCs w:val="20"/>
              </w:rPr>
            </w:pPr>
            <w:r>
              <w:rPr>
                <w:rFonts w:ascii="Tahoma" w:hAnsi="Tahoma"/>
                <w:sz w:val="20"/>
                <w:szCs w:val="20"/>
              </w:rPr>
              <w:t>VIRTON</w:t>
            </w:r>
          </w:p>
        </w:tc>
        <w:tc>
          <w:tcPr>
            <w:tcW w:w="1260" w:type="dxa"/>
            <w:vAlign w:val="bottom"/>
          </w:tcPr>
          <w:p>
            <w:pPr>
              <w:jc w:val="right"/>
              <w:rPr>
                <w:rFonts w:cs="Arial"/>
                <w:sz w:val="20"/>
                <w:szCs w:val="20"/>
              </w:rPr>
            </w:pPr>
            <w:r>
              <w:rPr>
                <w:rFonts w:cs="Arial"/>
                <w:sz w:val="20"/>
                <w:szCs w:val="20"/>
              </w:rPr>
              <w:t>121</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SCHAERBEEK</w:t>
            </w:r>
          </w:p>
        </w:tc>
        <w:tc>
          <w:tcPr>
            <w:tcW w:w="1153" w:type="dxa"/>
          </w:tcPr>
          <w:p>
            <w:pPr>
              <w:rPr>
                <w:sz w:val="20"/>
                <w:szCs w:val="20"/>
              </w:rPr>
            </w:pPr>
            <w:r>
              <w:rPr>
                <w:sz w:val="20"/>
                <w:szCs w:val="20"/>
              </w:rPr>
              <w:t>16097</w:t>
            </w:r>
          </w:p>
        </w:tc>
        <w:tc>
          <w:tcPr>
            <w:tcW w:w="2909" w:type="dxa"/>
            <w:vAlign w:val="center"/>
          </w:tcPr>
          <w:p>
            <w:pPr>
              <w:ind w:left="110"/>
              <w:rPr>
                <w:rFonts w:ascii="Tahoma" w:eastAsia="Arial Unicode MS" w:hAnsi="Tahoma"/>
                <w:sz w:val="20"/>
                <w:szCs w:val="20"/>
              </w:rPr>
            </w:pPr>
            <w:r>
              <w:rPr>
                <w:rFonts w:ascii="Tahoma" w:hAnsi="Tahoma"/>
                <w:sz w:val="20"/>
                <w:szCs w:val="20"/>
              </w:rPr>
              <w:t>VISE</w:t>
            </w:r>
          </w:p>
        </w:tc>
        <w:tc>
          <w:tcPr>
            <w:tcW w:w="1260" w:type="dxa"/>
            <w:vAlign w:val="bottom"/>
          </w:tcPr>
          <w:p>
            <w:pPr>
              <w:jc w:val="right"/>
              <w:rPr>
                <w:rFonts w:cs="Arial"/>
                <w:sz w:val="20"/>
                <w:szCs w:val="20"/>
              </w:rPr>
            </w:pPr>
            <w:r>
              <w:rPr>
                <w:rFonts w:cs="Arial"/>
                <w:sz w:val="20"/>
                <w:szCs w:val="20"/>
              </w:rPr>
              <w:t>628</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SENEFFE</w:t>
            </w:r>
          </w:p>
        </w:tc>
        <w:tc>
          <w:tcPr>
            <w:tcW w:w="1153" w:type="dxa"/>
          </w:tcPr>
          <w:p>
            <w:pPr>
              <w:rPr>
                <w:sz w:val="20"/>
                <w:szCs w:val="20"/>
              </w:rPr>
            </w:pPr>
            <w:r>
              <w:rPr>
                <w:sz w:val="20"/>
                <w:szCs w:val="20"/>
              </w:rPr>
              <w:t>175</w:t>
            </w:r>
          </w:p>
        </w:tc>
        <w:tc>
          <w:tcPr>
            <w:tcW w:w="2909" w:type="dxa"/>
            <w:vAlign w:val="center"/>
          </w:tcPr>
          <w:p>
            <w:pPr>
              <w:ind w:left="110"/>
              <w:rPr>
                <w:rFonts w:ascii="Tahoma" w:eastAsia="Arial Unicode MS" w:hAnsi="Tahoma"/>
                <w:sz w:val="20"/>
                <w:szCs w:val="20"/>
              </w:rPr>
            </w:pPr>
            <w:r>
              <w:rPr>
                <w:rFonts w:ascii="Tahoma" w:hAnsi="Tahoma"/>
                <w:sz w:val="20"/>
                <w:szCs w:val="20"/>
              </w:rPr>
              <w:t>VRESSE-SUR-SEMOIS</w:t>
            </w:r>
          </w:p>
        </w:tc>
        <w:tc>
          <w:tcPr>
            <w:tcW w:w="1260" w:type="dxa"/>
            <w:vAlign w:val="bottom"/>
          </w:tcPr>
          <w:p>
            <w:pPr>
              <w:jc w:val="right"/>
              <w:rPr>
                <w:rFonts w:cs="Arial"/>
                <w:sz w:val="20"/>
                <w:szCs w:val="20"/>
              </w:rPr>
            </w:pPr>
            <w:r>
              <w:rPr>
                <w:rFonts w:cs="Arial"/>
                <w:sz w:val="20"/>
                <w:szCs w:val="20"/>
              </w:rPr>
              <w:t>26</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lang w:val="en-GB"/>
              </w:rPr>
            </w:pPr>
            <w:r>
              <w:rPr>
                <w:rFonts w:ascii="Tahoma" w:hAnsi="Tahoma"/>
                <w:sz w:val="20"/>
                <w:szCs w:val="20"/>
                <w:lang w:val="en-GB"/>
              </w:rPr>
              <w:t>SERAING</w:t>
            </w:r>
          </w:p>
        </w:tc>
        <w:tc>
          <w:tcPr>
            <w:tcW w:w="1153" w:type="dxa"/>
          </w:tcPr>
          <w:p>
            <w:pPr>
              <w:rPr>
                <w:sz w:val="20"/>
                <w:szCs w:val="20"/>
              </w:rPr>
            </w:pPr>
            <w:r>
              <w:rPr>
                <w:sz w:val="20"/>
                <w:szCs w:val="20"/>
              </w:rPr>
              <w:t>1810</w:t>
            </w:r>
          </w:p>
        </w:tc>
        <w:tc>
          <w:tcPr>
            <w:tcW w:w="2909" w:type="dxa"/>
            <w:vAlign w:val="center"/>
          </w:tcPr>
          <w:p>
            <w:pPr>
              <w:ind w:left="110"/>
              <w:rPr>
                <w:rFonts w:ascii="Tahoma" w:eastAsia="Arial Unicode MS" w:hAnsi="Tahoma"/>
                <w:sz w:val="20"/>
                <w:szCs w:val="20"/>
                <w:lang w:val="en-GB"/>
              </w:rPr>
            </w:pPr>
            <w:r>
              <w:rPr>
                <w:rFonts w:ascii="Tahoma" w:hAnsi="Tahoma"/>
                <w:sz w:val="20"/>
                <w:szCs w:val="20"/>
                <w:lang w:val="en-GB"/>
              </w:rPr>
              <w:t>WAIMES</w:t>
            </w:r>
          </w:p>
        </w:tc>
        <w:tc>
          <w:tcPr>
            <w:tcW w:w="1260" w:type="dxa"/>
            <w:vAlign w:val="bottom"/>
          </w:tcPr>
          <w:p>
            <w:pPr>
              <w:jc w:val="right"/>
              <w:rPr>
                <w:rFonts w:cs="Arial"/>
                <w:sz w:val="20"/>
                <w:szCs w:val="20"/>
              </w:rPr>
            </w:pPr>
            <w:r>
              <w:rPr>
                <w:rFonts w:cs="Arial"/>
                <w:sz w:val="20"/>
                <w:szCs w:val="20"/>
              </w:rPr>
              <w:t>76</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lang w:val="en-GB"/>
              </w:rPr>
            </w:pPr>
            <w:r>
              <w:rPr>
                <w:rFonts w:ascii="Tahoma" w:hAnsi="Tahoma"/>
                <w:sz w:val="20"/>
                <w:szCs w:val="20"/>
                <w:lang w:val="en-GB"/>
              </w:rPr>
              <w:t>SILLY</w:t>
            </w:r>
          </w:p>
        </w:tc>
        <w:tc>
          <w:tcPr>
            <w:tcW w:w="1153" w:type="dxa"/>
          </w:tcPr>
          <w:p>
            <w:pPr>
              <w:rPr>
                <w:sz w:val="20"/>
                <w:szCs w:val="20"/>
              </w:rPr>
            </w:pPr>
            <w:r>
              <w:rPr>
                <w:sz w:val="20"/>
                <w:szCs w:val="20"/>
              </w:rPr>
              <w:t>123</w:t>
            </w:r>
          </w:p>
        </w:tc>
        <w:tc>
          <w:tcPr>
            <w:tcW w:w="2909" w:type="dxa"/>
            <w:vAlign w:val="center"/>
          </w:tcPr>
          <w:p>
            <w:pPr>
              <w:ind w:left="110"/>
              <w:rPr>
                <w:rFonts w:ascii="Tahoma" w:eastAsia="Arial Unicode MS" w:hAnsi="Tahoma"/>
                <w:sz w:val="20"/>
                <w:szCs w:val="20"/>
                <w:lang w:val="en-GB"/>
              </w:rPr>
            </w:pPr>
            <w:r>
              <w:rPr>
                <w:rFonts w:ascii="Tahoma" w:hAnsi="Tahoma"/>
                <w:sz w:val="20"/>
                <w:szCs w:val="20"/>
                <w:lang w:val="en-GB"/>
              </w:rPr>
              <w:t>WALCOURT</w:t>
            </w:r>
          </w:p>
        </w:tc>
        <w:tc>
          <w:tcPr>
            <w:tcW w:w="1260" w:type="dxa"/>
            <w:vAlign w:val="bottom"/>
          </w:tcPr>
          <w:p>
            <w:pPr>
              <w:jc w:val="right"/>
              <w:rPr>
                <w:rFonts w:cs="Arial"/>
                <w:sz w:val="20"/>
                <w:szCs w:val="20"/>
              </w:rPr>
            </w:pPr>
            <w:r>
              <w:rPr>
                <w:rFonts w:cs="Arial"/>
                <w:sz w:val="20"/>
                <w:szCs w:val="20"/>
              </w:rPr>
              <w:t>150</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lang w:val="en-GB"/>
              </w:rPr>
            </w:pPr>
            <w:r>
              <w:rPr>
                <w:rFonts w:ascii="Tahoma" w:hAnsi="Tahoma"/>
                <w:sz w:val="20"/>
                <w:szCs w:val="20"/>
                <w:lang w:val="en-GB"/>
              </w:rPr>
              <w:t>SIVRY-RANCE</w:t>
            </w:r>
          </w:p>
        </w:tc>
        <w:tc>
          <w:tcPr>
            <w:tcW w:w="1153" w:type="dxa"/>
          </w:tcPr>
          <w:p>
            <w:pPr>
              <w:rPr>
                <w:sz w:val="20"/>
                <w:szCs w:val="20"/>
              </w:rPr>
            </w:pPr>
            <w:r>
              <w:rPr>
                <w:sz w:val="20"/>
                <w:szCs w:val="20"/>
              </w:rPr>
              <w:t>66</w:t>
            </w:r>
          </w:p>
        </w:tc>
        <w:tc>
          <w:tcPr>
            <w:tcW w:w="2909" w:type="dxa"/>
            <w:vAlign w:val="center"/>
          </w:tcPr>
          <w:p>
            <w:pPr>
              <w:ind w:left="110"/>
              <w:rPr>
                <w:rFonts w:ascii="Tahoma" w:eastAsia="Arial Unicode MS" w:hAnsi="Tahoma"/>
                <w:sz w:val="20"/>
                <w:szCs w:val="20"/>
                <w:lang w:val="en-GB"/>
              </w:rPr>
            </w:pPr>
            <w:r>
              <w:rPr>
                <w:rFonts w:ascii="Tahoma" w:hAnsi="Tahoma"/>
                <w:sz w:val="20"/>
                <w:szCs w:val="20"/>
                <w:lang w:val="en-GB"/>
              </w:rPr>
              <w:t>WALHAIN</w:t>
            </w:r>
          </w:p>
        </w:tc>
        <w:tc>
          <w:tcPr>
            <w:tcW w:w="1260" w:type="dxa"/>
            <w:vAlign w:val="bottom"/>
          </w:tcPr>
          <w:p>
            <w:pPr>
              <w:jc w:val="right"/>
              <w:rPr>
                <w:rFonts w:cs="Arial"/>
                <w:sz w:val="20"/>
                <w:szCs w:val="20"/>
              </w:rPr>
            </w:pPr>
            <w:r>
              <w:rPr>
                <w:rFonts w:cs="Arial"/>
                <w:sz w:val="20"/>
                <w:szCs w:val="20"/>
              </w:rPr>
              <w:t>182</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SOIGNIES</w:t>
            </w:r>
          </w:p>
        </w:tc>
        <w:tc>
          <w:tcPr>
            <w:tcW w:w="1153" w:type="dxa"/>
          </w:tcPr>
          <w:p>
            <w:pPr>
              <w:rPr>
                <w:sz w:val="20"/>
                <w:szCs w:val="20"/>
              </w:rPr>
            </w:pPr>
            <w:r>
              <w:rPr>
                <w:sz w:val="20"/>
                <w:szCs w:val="20"/>
              </w:rPr>
              <w:t>245</w:t>
            </w:r>
          </w:p>
        </w:tc>
        <w:tc>
          <w:tcPr>
            <w:tcW w:w="2909" w:type="dxa"/>
            <w:vAlign w:val="center"/>
          </w:tcPr>
          <w:p>
            <w:pPr>
              <w:ind w:left="110"/>
              <w:rPr>
                <w:rFonts w:ascii="Tahoma" w:eastAsia="Arial Unicode MS" w:hAnsi="Tahoma"/>
                <w:sz w:val="20"/>
                <w:szCs w:val="20"/>
              </w:rPr>
            </w:pPr>
            <w:r>
              <w:rPr>
                <w:rFonts w:ascii="Tahoma" w:hAnsi="Tahoma"/>
                <w:sz w:val="20"/>
                <w:szCs w:val="20"/>
              </w:rPr>
              <w:t>WANZE</w:t>
            </w:r>
          </w:p>
        </w:tc>
        <w:tc>
          <w:tcPr>
            <w:tcW w:w="1260" w:type="dxa"/>
            <w:vAlign w:val="bottom"/>
          </w:tcPr>
          <w:p>
            <w:pPr>
              <w:jc w:val="right"/>
              <w:rPr>
                <w:rFonts w:cs="Arial"/>
                <w:sz w:val="20"/>
                <w:szCs w:val="20"/>
              </w:rPr>
            </w:pPr>
            <w:r>
              <w:rPr>
                <w:rFonts w:cs="Arial"/>
                <w:sz w:val="20"/>
                <w:szCs w:val="20"/>
              </w:rPr>
              <w:t>308</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SOMBREFFE</w:t>
            </w:r>
          </w:p>
        </w:tc>
        <w:tc>
          <w:tcPr>
            <w:tcW w:w="1153" w:type="dxa"/>
          </w:tcPr>
          <w:p>
            <w:pPr>
              <w:rPr>
                <w:sz w:val="20"/>
                <w:szCs w:val="20"/>
              </w:rPr>
            </w:pPr>
            <w:r>
              <w:rPr>
                <w:sz w:val="20"/>
                <w:szCs w:val="20"/>
              </w:rPr>
              <w:t>232</w:t>
            </w:r>
          </w:p>
        </w:tc>
        <w:tc>
          <w:tcPr>
            <w:tcW w:w="2909" w:type="dxa"/>
            <w:vAlign w:val="center"/>
          </w:tcPr>
          <w:p>
            <w:pPr>
              <w:ind w:left="110"/>
              <w:rPr>
                <w:rFonts w:ascii="Tahoma" w:eastAsia="Arial Unicode MS" w:hAnsi="Tahoma"/>
                <w:sz w:val="20"/>
                <w:szCs w:val="20"/>
              </w:rPr>
            </w:pPr>
            <w:r>
              <w:rPr>
                <w:rFonts w:ascii="Tahoma" w:hAnsi="Tahoma"/>
                <w:sz w:val="20"/>
                <w:szCs w:val="20"/>
              </w:rPr>
              <w:t>WAREMME</w:t>
            </w:r>
          </w:p>
        </w:tc>
        <w:tc>
          <w:tcPr>
            <w:tcW w:w="1260" w:type="dxa"/>
            <w:vAlign w:val="bottom"/>
          </w:tcPr>
          <w:p>
            <w:pPr>
              <w:jc w:val="right"/>
              <w:rPr>
                <w:rFonts w:cs="Arial"/>
                <w:sz w:val="20"/>
                <w:szCs w:val="20"/>
              </w:rPr>
            </w:pPr>
            <w:r>
              <w:rPr>
                <w:rFonts w:cs="Arial"/>
                <w:sz w:val="20"/>
                <w:szCs w:val="20"/>
              </w:rPr>
              <w:t>476</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SOMME-LEUZE</w:t>
            </w:r>
          </w:p>
        </w:tc>
        <w:tc>
          <w:tcPr>
            <w:tcW w:w="1153" w:type="dxa"/>
          </w:tcPr>
          <w:p>
            <w:pPr>
              <w:rPr>
                <w:sz w:val="20"/>
                <w:szCs w:val="20"/>
              </w:rPr>
            </w:pPr>
            <w:r>
              <w:rPr>
                <w:sz w:val="20"/>
                <w:szCs w:val="20"/>
              </w:rPr>
              <w:t>56</w:t>
            </w:r>
          </w:p>
        </w:tc>
        <w:tc>
          <w:tcPr>
            <w:tcW w:w="2909" w:type="dxa"/>
            <w:vAlign w:val="center"/>
          </w:tcPr>
          <w:p>
            <w:pPr>
              <w:ind w:left="110"/>
              <w:rPr>
                <w:rFonts w:ascii="Tahoma" w:eastAsia="Arial Unicode MS" w:hAnsi="Tahoma"/>
                <w:sz w:val="20"/>
                <w:szCs w:val="20"/>
              </w:rPr>
            </w:pPr>
            <w:r>
              <w:rPr>
                <w:rFonts w:ascii="Tahoma" w:hAnsi="Tahoma"/>
                <w:sz w:val="20"/>
                <w:szCs w:val="20"/>
              </w:rPr>
              <w:t>WASSEIGES</w:t>
            </w:r>
          </w:p>
        </w:tc>
        <w:tc>
          <w:tcPr>
            <w:tcW w:w="1260" w:type="dxa"/>
            <w:vAlign w:val="bottom"/>
          </w:tcPr>
          <w:p>
            <w:pPr>
              <w:jc w:val="right"/>
              <w:rPr>
                <w:rFonts w:cs="Arial"/>
                <w:sz w:val="20"/>
                <w:szCs w:val="20"/>
              </w:rPr>
            </w:pPr>
            <w:r>
              <w:rPr>
                <w:rFonts w:cs="Arial"/>
                <w:sz w:val="20"/>
                <w:szCs w:val="20"/>
              </w:rPr>
              <w:t>116</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SOUMAGNE</w:t>
            </w:r>
          </w:p>
        </w:tc>
        <w:tc>
          <w:tcPr>
            <w:tcW w:w="1153" w:type="dxa"/>
          </w:tcPr>
          <w:p>
            <w:pPr>
              <w:rPr>
                <w:sz w:val="20"/>
                <w:szCs w:val="20"/>
              </w:rPr>
            </w:pPr>
            <w:r>
              <w:rPr>
                <w:sz w:val="20"/>
                <w:szCs w:val="20"/>
              </w:rPr>
              <w:t>613</w:t>
            </w:r>
          </w:p>
        </w:tc>
        <w:tc>
          <w:tcPr>
            <w:tcW w:w="2909" w:type="dxa"/>
            <w:vAlign w:val="center"/>
          </w:tcPr>
          <w:p>
            <w:pPr>
              <w:ind w:left="110"/>
              <w:rPr>
                <w:rFonts w:ascii="Tahoma" w:eastAsia="Arial Unicode MS" w:hAnsi="Tahoma"/>
                <w:sz w:val="20"/>
                <w:szCs w:val="20"/>
              </w:rPr>
            </w:pPr>
            <w:r>
              <w:rPr>
                <w:rFonts w:ascii="Tahoma" w:hAnsi="Tahoma"/>
                <w:sz w:val="20"/>
                <w:szCs w:val="20"/>
              </w:rPr>
              <w:t>WATERLOO</w:t>
            </w:r>
          </w:p>
        </w:tc>
        <w:tc>
          <w:tcPr>
            <w:tcW w:w="1260" w:type="dxa"/>
            <w:vAlign w:val="bottom"/>
          </w:tcPr>
          <w:p>
            <w:pPr>
              <w:jc w:val="right"/>
              <w:rPr>
                <w:rFonts w:cs="Arial"/>
                <w:sz w:val="20"/>
                <w:szCs w:val="20"/>
              </w:rPr>
            </w:pPr>
            <w:r>
              <w:rPr>
                <w:rFonts w:cs="Arial"/>
                <w:sz w:val="20"/>
                <w:szCs w:val="20"/>
              </w:rPr>
              <w:t>1406</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SPA</w:t>
            </w:r>
          </w:p>
        </w:tc>
        <w:tc>
          <w:tcPr>
            <w:tcW w:w="1153" w:type="dxa"/>
          </w:tcPr>
          <w:p>
            <w:pPr>
              <w:rPr>
                <w:sz w:val="20"/>
                <w:szCs w:val="20"/>
              </w:rPr>
            </w:pPr>
            <w:r>
              <w:rPr>
                <w:sz w:val="20"/>
                <w:szCs w:val="20"/>
              </w:rPr>
              <w:t>263</w:t>
            </w:r>
          </w:p>
        </w:tc>
        <w:tc>
          <w:tcPr>
            <w:tcW w:w="2909" w:type="dxa"/>
            <w:vAlign w:val="center"/>
          </w:tcPr>
          <w:p>
            <w:pPr>
              <w:ind w:left="110"/>
              <w:rPr>
                <w:rFonts w:ascii="Tahoma" w:eastAsia="Arial Unicode MS" w:hAnsi="Tahoma"/>
                <w:sz w:val="20"/>
                <w:szCs w:val="20"/>
              </w:rPr>
            </w:pPr>
            <w:r>
              <w:rPr>
                <w:rFonts w:ascii="Tahoma" w:hAnsi="Tahoma"/>
                <w:sz w:val="20"/>
                <w:szCs w:val="20"/>
              </w:rPr>
              <w:t>WATERMAEL-BOITSFORT</w:t>
            </w:r>
          </w:p>
        </w:tc>
        <w:tc>
          <w:tcPr>
            <w:tcW w:w="1260" w:type="dxa"/>
            <w:vAlign w:val="bottom"/>
          </w:tcPr>
          <w:p>
            <w:pPr>
              <w:jc w:val="right"/>
              <w:rPr>
                <w:rFonts w:cs="Arial"/>
                <w:sz w:val="20"/>
                <w:szCs w:val="20"/>
              </w:rPr>
            </w:pPr>
            <w:r>
              <w:rPr>
                <w:rFonts w:cs="Arial"/>
                <w:sz w:val="20"/>
                <w:szCs w:val="20"/>
              </w:rPr>
              <w:t>1891</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SPRIMONT</w:t>
            </w:r>
          </w:p>
        </w:tc>
        <w:tc>
          <w:tcPr>
            <w:tcW w:w="1153" w:type="dxa"/>
          </w:tcPr>
          <w:p>
            <w:pPr>
              <w:rPr>
                <w:sz w:val="20"/>
                <w:szCs w:val="20"/>
              </w:rPr>
            </w:pPr>
            <w:r>
              <w:rPr>
                <w:sz w:val="20"/>
                <w:szCs w:val="20"/>
              </w:rPr>
              <w:t>194</w:t>
            </w:r>
          </w:p>
        </w:tc>
        <w:tc>
          <w:tcPr>
            <w:tcW w:w="2909" w:type="dxa"/>
            <w:vAlign w:val="center"/>
          </w:tcPr>
          <w:p>
            <w:pPr>
              <w:ind w:left="110"/>
              <w:rPr>
                <w:rFonts w:ascii="Tahoma" w:eastAsia="Arial Unicode MS" w:hAnsi="Tahoma"/>
                <w:sz w:val="20"/>
                <w:szCs w:val="20"/>
              </w:rPr>
            </w:pPr>
            <w:r>
              <w:rPr>
                <w:rFonts w:ascii="Tahoma" w:hAnsi="Tahoma"/>
                <w:sz w:val="20"/>
                <w:szCs w:val="20"/>
              </w:rPr>
              <w:t>WAVRE</w:t>
            </w:r>
          </w:p>
        </w:tc>
        <w:tc>
          <w:tcPr>
            <w:tcW w:w="1260" w:type="dxa"/>
            <w:vAlign w:val="bottom"/>
          </w:tcPr>
          <w:p>
            <w:pPr>
              <w:jc w:val="right"/>
              <w:rPr>
                <w:rFonts w:cs="Arial"/>
                <w:sz w:val="20"/>
                <w:szCs w:val="20"/>
              </w:rPr>
            </w:pPr>
            <w:r>
              <w:rPr>
                <w:rFonts w:cs="Arial"/>
                <w:sz w:val="20"/>
                <w:szCs w:val="20"/>
              </w:rPr>
              <w:t>804</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STAVELOT</w:t>
            </w:r>
          </w:p>
        </w:tc>
        <w:tc>
          <w:tcPr>
            <w:tcW w:w="1153" w:type="dxa"/>
          </w:tcPr>
          <w:p>
            <w:pPr>
              <w:rPr>
                <w:sz w:val="20"/>
                <w:szCs w:val="20"/>
              </w:rPr>
            </w:pPr>
            <w:r>
              <w:rPr>
                <w:sz w:val="20"/>
                <w:szCs w:val="20"/>
              </w:rPr>
              <w:t>84</w:t>
            </w:r>
          </w:p>
        </w:tc>
        <w:tc>
          <w:tcPr>
            <w:tcW w:w="2909" w:type="dxa"/>
            <w:vAlign w:val="center"/>
          </w:tcPr>
          <w:p>
            <w:pPr>
              <w:ind w:left="110"/>
              <w:rPr>
                <w:rFonts w:ascii="Tahoma" w:eastAsia="Arial Unicode MS" w:hAnsi="Tahoma"/>
                <w:sz w:val="20"/>
                <w:szCs w:val="20"/>
              </w:rPr>
            </w:pPr>
            <w:r>
              <w:rPr>
                <w:rFonts w:ascii="Tahoma" w:hAnsi="Tahoma"/>
                <w:sz w:val="20"/>
                <w:szCs w:val="20"/>
              </w:rPr>
              <w:t>WELKENRAEDT</w:t>
            </w:r>
          </w:p>
        </w:tc>
        <w:tc>
          <w:tcPr>
            <w:tcW w:w="1260" w:type="dxa"/>
            <w:vAlign w:val="bottom"/>
          </w:tcPr>
          <w:p>
            <w:pPr>
              <w:jc w:val="right"/>
              <w:rPr>
                <w:rFonts w:cs="Arial"/>
                <w:sz w:val="20"/>
                <w:szCs w:val="20"/>
              </w:rPr>
            </w:pPr>
            <w:r>
              <w:rPr>
                <w:rFonts w:cs="Arial"/>
                <w:sz w:val="20"/>
                <w:szCs w:val="20"/>
              </w:rPr>
              <w:t>401</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STOUMONT</w:t>
            </w:r>
          </w:p>
        </w:tc>
        <w:tc>
          <w:tcPr>
            <w:tcW w:w="1153" w:type="dxa"/>
          </w:tcPr>
          <w:p>
            <w:pPr>
              <w:rPr>
                <w:sz w:val="20"/>
                <w:szCs w:val="20"/>
              </w:rPr>
            </w:pPr>
            <w:r>
              <w:rPr>
                <w:sz w:val="20"/>
                <w:szCs w:val="20"/>
              </w:rPr>
              <w:t>29</w:t>
            </w:r>
          </w:p>
        </w:tc>
        <w:tc>
          <w:tcPr>
            <w:tcW w:w="2909" w:type="dxa"/>
            <w:vAlign w:val="center"/>
          </w:tcPr>
          <w:p>
            <w:pPr>
              <w:ind w:left="110"/>
              <w:rPr>
                <w:rFonts w:ascii="Tahoma" w:eastAsia="Arial Unicode MS" w:hAnsi="Tahoma"/>
                <w:sz w:val="20"/>
                <w:szCs w:val="20"/>
              </w:rPr>
            </w:pPr>
            <w:r>
              <w:rPr>
                <w:rFonts w:ascii="Tahoma" w:hAnsi="Tahoma"/>
                <w:sz w:val="20"/>
                <w:szCs w:val="20"/>
              </w:rPr>
              <w:t>WELLIN</w:t>
            </w:r>
          </w:p>
        </w:tc>
        <w:tc>
          <w:tcPr>
            <w:tcW w:w="1260" w:type="dxa"/>
            <w:vAlign w:val="bottom"/>
          </w:tcPr>
          <w:p>
            <w:pPr>
              <w:jc w:val="right"/>
              <w:rPr>
                <w:rFonts w:cs="Arial"/>
                <w:sz w:val="20"/>
                <w:szCs w:val="20"/>
              </w:rPr>
            </w:pPr>
            <w:r>
              <w:rPr>
                <w:rFonts w:cs="Arial"/>
                <w:sz w:val="20"/>
                <w:szCs w:val="20"/>
              </w:rPr>
              <w:t>45</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TELLIN</w:t>
            </w:r>
          </w:p>
        </w:tc>
        <w:tc>
          <w:tcPr>
            <w:tcW w:w="1153" w:type="dxa"/>
          </w:tcPr>
          <w:p>
            <w:pPr>
              <w:rPr>
                <w:sz w:val="20"/>
                <w:szCs w:val="20"/>
              </w:rPr>
            </w:pPr>
            <w:r>
              <w:rPr>
                <w:sz w:val="20"/>
                <w:szCs w:val="20"/>
              </w:rPr>
              <w:t>44</w:t>
            </w:r>
          </w:p>
        </w:tc>
        <w:tc>
          <w:tcPr>
            <w:tcW w:w="2909" w:type="dxa"/>
            <w:vAlign w:val="center"/>
          </w:tcPr>
          <w:p>
            <w:pPr>
              <w:ind w:left="110"/>
              <w:rPr>
                <w:rFonts w:ascii="Tahoma" w:eastAsia="Arial Unicode MS" w:hAnsi="Tahoma"/>
                <w:sz w:val="20"/>
                <w:szCs w:val="20"/>
              </w:rPr>
            </w:pPr>
            <w:r>
              <w:rPr>
                <w:rFonts w:ascii="Tahoma" w:hAnsi="Tahoma"/>
                <w:sz w:val="20"/>
                <w:szCs w:val="20"/>
              </w:rPr>
              <w:t>WOLUWE-SAINT-LAMBERT</w:t>
            </w:r>
          </w:p>
        </w:tc>
        <w:tc>
          <w:tcPr>
            <w:tcW w:w="1260" w:type="dxa"/>
            <w:vAlign w:val="bottom"/>
          </w:tcPr>
          <w:p>
            <w:pPr>
              <w:jc w:val="right"/>
              <w:rPr>
                <w:rFonts w:cs="Arial"/>
                <w:sz w:val="20"/>
                <w:szCs w:val="20"/>
              </w:rPr>
            </w:pPr>
            <w:r>
              <w:rPr>
                <w:rFonts w:cs="Arial"/>
                <w:sz w:val="20"/>
                <w:szCs w:val="20"/>
              </w:rPr>
              <w:t>7477</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TENNEVILLE</w:t>
            </w:r>
          </w:p>
        </w:tc>
        <w:tc>
          <w:tcPr>
            <w:tcW w:w="1153" w:type="dxa"/>
          </w:tcPr>
          <w:p>
            <w:pPr>
              <w:rPr>
                <w:sz w:val="20"/>
                <w:szCs w:val="20"/>
              </w:rPr>
            </w:pPr>
            <w:r>
              <w:rPr>
                <w:sz w:val="20"/>
                <w:szCs w:val="20"/>
              </w:rPr>
              <w:t>31</w:t>
            </w:r>
          </w:p>
        </w:tc>
        <w:tc>
          <w:tcPr>
            <w:tcW w:w="2909" w:type="dxa"/>
            <w:vAlign w:val="center"/>
          </w:tcPr>
          <w:p>
            <w:pPr>
              <w:ind w:left="110"/>
              <w:rPr>
                <w:rFonts w:ascii="Tahoma" w:eastAsia="Arial Unicode MS" w:hAnsi="Tahoma"/>
                <w:sz w:val="20"/>
                <w:szCs w:val="20"/>
              </w:rPr>
            </w:pPr>
            <w:r>
              <w:rPr>
                <w:rFonts w:ascii="Tahoma" w:hAnsi="Tahoma"/>
                <w:sz w:val="20"/>
                <w:szCs w:val="20"/>
              </w:rPr>
              <w:t>WOLUWE-SAINT-PIERRE</w:t>
            </w:r>
          </w:p>
        </w:tc>
        <w:tc>
          <w:tcPr>
            <w:tcW w:w="1260" w:type="dxa"/>
            <w:vAlign w:val="bottom"/>
          </w:tcPr>
          <w:p>
            <w:pPr>
              <w:jc w:val="right"/>
              <w:rPr>
                <w:rFonts w:cs="Arial"/>
                <w:sz w:val="20"/>
                <w:szCs w:val="20"/>
              </w:rPr>
            </w:pPr>
            <w:r>
              <w:rPr>
                <w:rFonts w:cs="Arial"/>
                <w:sz w:val="20"/>
                <w:szCs w:val="20"/>
              </w:rPr>
              <w:t>4641</w:t>
            </w:r>
          </w:p>
        </w:tc>
      </w:tr>
      <w:tr>
        <w:trPr>
          <w:trHeight w:val="227"/>
          <w:jc w:val="center"/>
        </w:trPr>
        <w:tc>
          <w:tcPr>
            <w:tcW w:w="2990" w:type="dxa"/>
            <w:tcBorders>
              <w:left w:val="single" w:sz="4" w:space="0" w:color="auto"/>
            </w:tcBorders>
            <w:vAlign w:val="center"/>
          </w:tcPr>
          <w:p>
            <w:pPr>
              <w:ind w:left="98"/>
              <w:rPr>
                <w:rFonts w:ascii="Tahoma" w:eastAsia="Arial Unicode MS" w:hAnsi="Tahoma"/>
                <w:sz w:val="20"/>
                <w:szCs w:val="20"/>
              </w:rPr>
            </w:pPr>
            <w:r>
              <w:rPr>
                <w:rFonts w:ascii="Tahoma" w:hAnsi="Tahoma"/>
                <w:sz w:val="20"/>
                <w:szCs w:val="20"/>
              </w:rPr>
              <w:t>THEUX</w:t>
            </w:r>
          </w:p>
        </w:tc>
        <w:tc>
          <w:tcPr>
            <w:tcW w:w="1153" w:type="dxa"/>
          </w:tcPr>
          <w:p>
            <w:pPr>
              <w:rPr>
                <w:sz w:val="20"/>
                <w:szCs w:val="20"/>
              </w:rPr>
            </w:pPr>
            <w:r>
              <w:rPr>
                <w:sz w:val="20"/>
                <w:szCs w:val="20"/>
              </w:rPr>
              <w:t>146</w:t>
            </w:r>
          </w:p>
        </w:tc>
        <w:tc>
          <w:tcPr>
            <w:tcW w:w="2909" w:type="dxa"/>
            <w:vAlign w:val="center"/>
          </w:tcPr>
          <w:p>
            <w:pPr>
              <w:ind w:left="110"/>
              <w:rPr>
                <w:rFonts w:ascii="Tahoma" w:eastAsia="Arial Unicode MS" w:hAnsi="Tahoma"/>
                <w:sz w:val="20"/>
                <w:szCs w:val="20"/>
              </w:rPr>
            </w:pPr>
            <w:r>
              <w:rPr>
                <w:rFonts w:ascii="Tahoma" w:hAnsi="Tahoma"/>
                <w:sz w:val="20"/>
                <w:szCs w:val="20"/>
              </w:rPr>
              <w:t>YVOIR</w:t>
            </w:r>
          </w:p>
        </w:tc>
        <w:tc>
          <w:tcPr>
            <w:tcW w:w="1260" w:type="dxa"/>
            <w:vAlign w:val="bottom"/>
          </w:tcPr>
          <w:p>
            <w:pPr>
              <w:jc w:val="right"/>
              <w:rPr>
                <w:rFonts w:cs="Arial"/>
                <w:sz w:val="20"/>
                <w:szCs w:val="20"/>
              </w:rPr>
            </w:pPr>
            <w:r>
              <w:rPr>
                <w:rFonts w:cs="Arial"/>
                <w:sz w:val="20"/>
                <w:szCs w:val="20"/>
              </w:rPr>
              <w:t>159</w:t>
            </w:r>
          </w:p>
        </w:tc>
      </w:tr>
    </w:tbl>
    <w:p>
      <w:pPr>
        <w:jc w:val="both"/>
      </w:pPr>
    </w:p>
    <w:p>
      <w:pPr>
        <w:jc w:val="both"/>
      </w:pPr>
    </w:p>
    <w:p>
      <w:pPr>
        <w:pStyle w:val="Titre2"/>
      </w:pPr>
      <w:bookmarkStart w:id="920" w:name="_Chapitre_3.2._Encadrement"/>
      <w:bookmarkEnd w:id="920"/>
      <w:r>
        <w:br w:type="page"/>
      </w:r>
      <w:bookmarkStart w:id="921" w:name="Chapitre3_2"/>
      <w:bookmarkStart w:id="922" w:name="_Toc295932025"/>
      <w:bookmarkStart w:id="923" w:name="_Toc295913757"/>
      <w:bookmarkStart w:id="924" w:name="_Toc423420044"/>
      <w:bookmarkStart w:id="925" w:name="_Toc450645251"/>
      <w:bookmarkStart w:id="926" w:name="_Toc453942487"/>
      <w:bookmarkStart w:id="927" w:name="_Toc454888104"/>
      <w:bookmarkStart w:id="928" w:name="_Toc486241766"/>
      <w:r>
        <w:t>Chapitre 3.2.</w:t>
      </w:r>
      <w:bookmarkEnd w:id="921"/>
      <w:r>
        <w:t xml:space="preserve"> Encadrement dans l'enseignement primaire</w:t>
      </w:r>
      <w:bookmarkEnd w:id="922"/>
      <w:bookmarkEnd w:id="923"/>
      <w:bookmarkEnd w:id="924"/>
      <w:bookmarkEnd w:id="925"/>
      <w:bookmarkEnd w:id="926"/>
      <w:bookmarkEnd w:id="927"/>
      <w:bookmarkEnd w:id="928"/>
      <w:r>
        <w:t xml:space="preserve"> </w:t>
      </w:r>
    </w:p>
    <w:p>
      <w:pPr>
        <w:rPr>
          <w:i/>
          <w:sz w:val="28"/>
        </w:rPr>
      </w:pPr>
    </w:p>
    <w:p>
      <w:pPr>
        <w:autoSpaceDE w:val="0"/>
        <w:autoSpaceDN w:val="0"/>
        <w:adjustRightInd w:val="0"/>
        <w:ind w:left="1417" w:hanging="1418"/>
        <w:rPr>
          <w:i/>
        </w:rPr>
      </w:pPr>
      <w:r>
        <w:rPr>
          <w:b/>
          <w:i/>
          <w:u w:val="single"/>
        </w:rPr>
        <w:t>Base légale</w:t>
      </w:r>
      <w:r>
        <w:rPr>
          <w:b/>
          <w:i/>
        </w:rPr>
        <w:t>:</w:t>
      </w:r>
      <w:r>
        <w:rPr>
          <w:i/>
        </w:rPr>
        <w:t xml:space="preserve"> </w:t>
      </w:r>
      <w:r>
        <w:rPr>
          <w:i/>
        </w:rPr>
        <w:tab/>
      </w:r>
      <w:hyperlink r:id="rId98" w:history="1">
        <w:r>
          <w:rPr>
            <w:rStyle w:val="Lienhypertexte"/>
            <w:i/>
            <w:color w:val="auto"/>
          </w:rPr>
          <w:t>Décret-Cadre du 13/07/1998, articles 26 à 40</w:t>
        </w:r>
      </w:hyperlink>
      <w:r>
        <w:rPr>
          <w:i/>
        </w:rPr>
        <w:t>.</w:t>
      </w:r>
      <w:r>
        <w:rPr>
          <w:i/>
        </w:rPr>
        <w:br/>
      </w:r>
      <w:hyperlink r:id="rId99" w:history="1">
        <w:r>
          <w:rPr>
            <w:rStyle w:val="Lienhypertexte"/>
            <w:i/>
            <w:color w:val="auto"/>
          </w:rPr>
          <w:t>Décret du 30/04/2009 organisant un encadrement différencié au sein des établissements scolaires de la Communauté française afin d'assurer à chaque élève des chances égales d'émancipation sociale dans un environnement pédagogique de qualité</w:t>
        </w:r>
      </w:hyperlink>
    </w:p>
    <w:p>
      <w:pPr>
        <w:autoSpaceDE w:val="0"/>
        <w:autoSpaceDN w:val="0"/>
        <w:adjustRightInd w:val="0"/>
        <w:ind w:left="1417" w:firstLine="23"/>
        <w:rPr>
          <w:i/>
          <w:u w:val="single"/>
        </w:rPr>
      </w:pPr>
      <w:hyperlink r:id="rId100" w:history="1">
        <w:r>
          <w:rPr>
            <w:rStyle w:val="Lienhypertexte"/>
            <w:i/>
            <w:color w:val="auto"/>
          </w:rPr>
          <w:t>Décret du 03/05/2012 portant diverses mesures relatives à l’enseignement fondamental et à l’enseignement secondaire ordinaires, notamment en matière de taille des classes.</w:t>
        </w:r>
      </w:hyperlink>
      <w:r>
        <w:rPr>
          <w:i/>
          <w:u w:val="single"/>
        </w:rPr>
        <w:t xml:space="preserve"> </w:t>
      </w:r>
    </w:p>
    <w:p>
      <w:pPr>
        <w:autoSpaceDE w:val="0"/>
        <w:autoSpaceDN w:val="0"/>
        <w:adjustRightInd w:val="0"/>
        <w:rPr>
          <w:i/>
          <w:u w:val="single"/>
        </w:rPr>
      </w:pPr>
    </w:p>
    <w:p>
      <w:pPr>
        <w:rPr>
          <w:szCs w:val="22"/>
        </w:rPr>
      </w:pPr>
    </w:p>
    <w:p>
      <w:pPr>
        <w:pStyle w:val="Titre3"/>
      </w:pPr>
      <w:bookmarkStart w:id="929" w:name="_3.2.1._Capital-périodes_et"/>
      <w:bookmarkStart w:id="930" w:name="_Toc295932026"/>
      <w:bookmarkStart w:id="931" w:name="_Toc295913758"/>
      <w:bookmarkStart w:id="932" w:name="_Toc423420045"/>
      <w:bookmarkStart w:id="933" w:name="_Toc450645252"/>
      <w:bookmarkStart w:id="934" w:name="_Toc453942488"/>
      <w:bookmarkStart w:id="935" w:name="_Toc454888105"/>
      <w:bookmarkStart w:id="936" w:name="_Toc486241767"/>
      <w:bookmarkEnd w:id="929"/>
      <w:r>
        <w:t>3.2.1. Capital-périodes et populations à prendre en compte</w:t>
      </w:r>
      <w:bookmarkEnd w:id="930"/>
      <w:bookmarkEnd w:id="931"/>
      <w:bookmarkEnd w:id="932"/>
      <w:bookmarkEnd w:id="933"/>
      <w:bookmarkEnd w:id="934"/>
      <w:bookmarkEnd w:id="935"/>
      <w:bookmarkEnd w:id="936"/>
      <w:r>
        <w:t xml:space="preserve"> </w:t>
      </w:r>
    </w:p>
    <w:p>
      <w:pPr>
        <w:jc w:val="both"/>
        <w:rPr>
          <w:lang w:val="fr-BE"/>
        </w:rPr>
      </w:pPr>
    </w:p>
    <w:p>
      <w:pPr>
        <w:pStyle w:val="Titre4"/>
      </w:pPr>
      <w:bookmarkStart w:id="937" w:name="_Toc161569467"/>
      <w:bookmarkStart w:id="938" w:name="_Toc165786046"/>
      <w:bookmarkStart w:id="939" w:name="_Toc170813456"/>
      <w:bookmarkStart w:id="940" w:name="_Toc170903324"/>
      <w:bookmarkStart w:id="941" w:name="_Toc172713857"/>
      <w:bookmarkStart w:id="942" w:name="_Toc172714102"/>
      <w:bookmarkStart w:id="943" w:name="_Toc295932027"/>
      <w:bookmarkStart w:id="944" w:name="_Toc423420046"/>
      <w:bookmarkStart w:id="945" w:name="_Toc450645253"/>
      <w:bookmarkStart w:id="946" w:name="_Toc453942489"/>
      <w:bookmarkStart w:id="947" w:name="_Toc454888106"/>
      <w:bookmarkStart w:id="948" w:name="_Toc486241768"/>
      <w:r>
        <w:t>3.2.1.1. Capital-périodes</w:t>
      </w:r>
      <w:bookmarkEnd w:id="937"/>
      <w:bookmarkEnd w:id="938"/>
      <w:bookmarkEnd w:id="939"/>
      <w:bookmarkEnd w:id="940"/>
      <w:bookmarkEnd w:id="941"/>
      <w:bookmarkEnd w:id="942"/>
      <w:bookmarkEnd w:id="943"/>
      <w:bookmarkEnd w:id="944"/>
      <w:bookmarkEnd w:id="945"/>
      <w:bookmarkEnd w:id="946"/>
      <w:bookmarkEnd w:id="947"/>
      <w:bookmarkEnd w:id="948"/>
    </w:p>
    <w:p>
      <w:pPr>
        <w:jc w:val="both"/>
        <w:rPr>
          <w:spacing w:val="-2"/>
          <w:sz w:val="16"/>
          <w:szCs w:val="16"/>
        </w:rPr>
      </w:pPr>
    </w:p>
    <w:p>
      <w:pPr>
        <w:jc w:val="both"/>
        <w:rPr>
          <w:spacing w:val="-2"/>
        </w:rPr>
      </w:pPr>
      <w:r>
        <w:rPr>
          <w:spacing w:val="-2"/>
        </w:rPr>
        <w:t xml:space="preserve">L’encadrement dans l'enseignement primaire résulte d'un calcul de périodes, hors cours philosophiques (voir </w:t>
      </w:r>
      <w:hyperlink w:anchor="section3_2_10" w:history="1">
        <w:r>
          <w:rPr>
            <w:rStyle w:val="Lienhypertexte"/>
            <w:color w:val="auto"/>
            <w:spacing w:val="-2"/>
          </w:rPr>
          <w:t>section 3.2.9.</w:t>
        </w:r>
      </w:hyperlink>
      <w:r>
        <w:rPr>
          <w:spacing w:val="-2"/>
        </w:rPr>
        <w:t xml:space="preserve">), effectué sur base des populations scolaires des différents lieux d’implantation. Le total des périodes calculées est le </w:t>
      </w:r>
      <w:r>
        <w:rPr>
          <w:spacing w:val="-2"/>
          <w:u w:val="single"/>
        </w:rPr>
        <w:t>capital-périodes</w:t>
      </w:r>
      <w:r>
        <w:rPr>
          <w:spacing w:val="-2"/>
        </w:rPr>
        <w:t xml:space="preserve">. Celui-ci est fixé par école. </w:t>
      </w:r>
    </w:p>
    <w:p>
      <w:pPr>
        <w:pStyle w:val="Corpsdetexte3"/>
        <w:rPr>
          <w:sz w:val="12"/>
          <w:szCs w:val="12"/>
        </w:rPr>
      </w:pPr>
    </w:p>
    <w:p>
      <w:pPr>
        <w:pStyle w:val="Corpsdetexte3"/>
        <w:rPr>
          <w:b w:val="0"/>
          <w:spacing w:val="0"/>
        </w:rPr>
      </w:pPr>
      <w:r>
        <w:rPr>
          <w:b w:val="0"/>
          <w:spacing w:val="0"/>
        </w:rPr>
        <w:t xml:space="preserve">Le </w:t>
      </w:r>
      <w:r>
        <w:rPr>
          <w:b w:val="0"/>
          <w:spacing w:val="0"/>
          <w:u w:val="single"/>
        </w:rPr>
        <w:t>capital-périodes</w:t>
      </w:r>
      <w:r>
        <w:rPr>
          <w:b w:val="0"/>
          <w:spacing w:val="0"/>
        </w:rPr>
        <w:t xml:space="preserve"> est l'addition des périodes générées pour les titulaires de classe, les instituteurs chargés de l’adaptation et du soutien pédagogique, et les maîtres d’éducation physique, le complément de périodes destiné à l’encadrement spécifique des élèves de P1 et P2, auxquelles on ajoute l'éventuel complément de direction, les périodes à réserver au cours de langue moderne, et les éventuelles périodes à réserver à l’adaptation à la langue de l’enseignement.</w:t>
      </w:r>
    </w:p>
    <w:p>
      <w:pPr>
        <w:jc w:val="both"/>
        <w:rPr>
          <w:spacing w:val="-2"/>
          <w:sz w:val="12"/>
          <w:szCs w:val="12"/>
        </w:rPr>
      </w:pPr>
    </w:p>
    <w:p>
      <w:pPr>
        <w:jc w:val="both"/>
        <w:rPr>
          <w:spacing w:val="-2"/>
        </w:rPr>
      </w:pPr>
      <w:r>
        <w:rPr>
          <w:spacing w:val="-2"/>
        </w:rPr>
        <w:t xml:space="preserve">Pour effectuer les calculs, </w:t>
      </w:r>
    </w:p>
    <w:p>
      <w:pPr>
        <w:numPr>
          <w:ilvl w:val="0"/>
          <w:numId w:val="101"/>
        </w:numPr>
        <w:tabs>
          <w:tab w:val="clear" w:pos="1077"/>
          <w:tab w:val="num" w:pos="900"/>
        </w:tabs>
        <w:spacing w:before="80"/>
        <w:ind w:left="899"/>
        <w:jc w:val="both"/>
        <w:rPr>
          <w:spacing w:val="-2"/>
        </w:rPr>
      </w:pPr>
      <w:r>
        <w:rPr>
          <w:spacing w:val="-2"/>
          <w:u w:val="single"/>
        </w:rPr>
        <w:t xml:space="preserve">les implantations situées à au moins </w:t>
      </w:r>
      <w:smartTag w:uri="urn:schemas-microsoft-com:office:smarttags" w:element="metricconverter">
        <w:smartTagPr>
          <w:attr w:name="ProductID" w:val="2 kilom￨tres"/>
        </w:smartTagPr>
        <w:r>
          <w:rPr>
            <w:spacing w:val="-2"/>
            <w:u w:val="single"/>
          </w:rPr>
          <w:t>2 kilomètres</w:t>
        </w:r>
      </w:smartTag>
      <w:r>
        <w:rPr>
          <w:spacing w:val="-2"/>
        </w:rPr>
        <w:t xml:space="preserve"> de toute autre implantation de la même école et où le niveau primaire est organisé, font l’objet d’un </w:t>
      </w:r>
      <w:r>
        <w:rPr>
          <w:b/>
          <w:spacing w:val="-2"/>
        </w:rPr>
        <w:t>comptage séparé</w:t>
      </w:r>
      <w:r>
        <w:rPr>
          <w:spacing w:val="-2"/>
        </w:rPr>
        <w:t xml:space="preserve">. </w:t>
      </w:r>
    </w:p>
    <w:p>
      <w:pPr>
        <w:numPr>
          <w:ilvl w:val="0"/>
          <w:numId w:val="101"/>
        </w:numPr>
        <w:tabs>
          <w:tab w:val="clear" w:pos="1077"/>
          <w:tab w:val="num" w:pos="900"/>
        </w:tabs>
        <w:spacing w:before="80"/>
        <w:ind w:left="899"/>
        <w:jc w:val="both"/>
        <w:rPr>
          <w:spacing w:val="-2"/>
        </w:rPr>
      </w:pPr>
      <w:r>
        <w:rPr>
          <w:spacing w:val="-2"/>
          <w:u w:val="single"/>
        </w:rPr>
        <w:t>les autres implantations</w:t>
      </w:r>
      <w:r>
        <w:rPr>
          <w:spacing w:val="-2"/>
        </w:rPr>
        <w:t xml:space="preserve"> font l'objet d'un </w:t>
      </w:r>
      <w:r>
        <w:rPr>
          <w:b/>
          <w:spacing w:val="-2"/>
        </w:rPr>
        <w:t>comptage global</w:t>
      </w:r>
      <w:r>
        <w:rPr>
          <w:spacing w:val="-2"/>
        </w:rPr>
        <w:t>.</w:t>
      </w:r>
    </w:p>
    <w:p>
      <w:pPr>
        <w:jc w:val="both"/>
        <w:rPr>
          <w:sz w:val="12"/>
          <w:szCs w:val="12"/>
        </w:rPr>
      </w:pPr>
    </w:p>
    <w:p>
      <w:pPr>
        <w:jc w:val="both"/>
      </w:pPr>
      <w:r>
        <w:t>Le capital-périodes est applicable du 1</w:t>
      </w:r>
      <w:r>
        <w:rPr>
          <w:vertAlign w:val="superscript"/>
        </w:rPr>
        <w:t>er</w:t>
      </w:r>
      <w:r>
        <w:t xml:space="preserve"> septembre au 31 août suivant, sauf pour les maîtres d’adaptation à la langue de l’enseignement et le complément de périodes destiné à l’encadrement spécifique des élèves de P1 et P2 où il s'applique du 1</w:t>
      </w:r>
      <w:r>
        <w:rPr>
          <w:vertAlign w:val="superscript"/>
        </w:rPr>
        <w:t>er</w:t>
      </w:r>
      <w:r>
        <w:t xml:space="preserve"> octobre au 30 septembre.</w:t>
      </w:r>
    </w:p>
    <w:p>
      <w:pPr>
        <w:jc w:val="both"/>
        <w:rPr>
          <w:szCs w:val="22"/>
        </w:rPr>
      </w:pPr>
    </w:p>
    <w:p>
      <w:pPr>
        <w:pStyle w:val="Titre4"/>
      </w:pPr>
      <w:bookmarkStart w:id="949" w:name="_3.2.1.2._Populations_scolaires"/>
      <w:bookmarkStart w:id="950" w:name="_Toc161569468"/>
      <w:bookmarkStart w:id="951" w:name="_Toc165786047"/>
      <w:bookmarkStart w:id="952" w:name="_Toc170813457"/>
      <w:bookmarkStart w:id="953" w:name="_Toc170903325"/>
      <w:bookmarkStart w:id="954" w:name="_Toc172713858"/>
      <w:bookmarkStart w:id="955" w:name="_Toc172714103"/>
      <w:bookmarkStart w:id="956" w:name="_Toc295932028"/>
      <w:bookmarkStart w:id="957" w:name="_Toc423420047"/>
      <w:bookmarkStart w:id="958" w:name="_Toc450645254"/>
      <w:bookmarkStart w:id="959" w:name="_Toc453942490"/>
      <w:bookmarkStart w:id="960" w:name="_Toc454888107"/>
      <w:bookmarkStart w:id="961" w:name="_Toc486241769"/>
      <w:bookmarkEnd w:id="949"/>
      <w:r>
        <w:t>3.2.1.2. Populations scolaires à prendre en compte</w:t>
      </w:r>
      <w:bookmarkEnd w:id="950"/>
      <w:bookmarkEnd w:id="951"/>
      <w:bookmarkEnd w:id="952"/>
      <w:bookmarkEnd w:id="953"/>
      <w:bookmarkEnd w:id="954"/>
      <w:bookmarkEnd w:id="955"/>
      <w:bookmarkEnd w:id="956"/>
      <w:bookmarkEnd w:id="957"/>
      <w:bookmarkEnd w:id="958"/>
      <w:bookmarkEnd w:id="959"/>
      <w:bookmarkEnd w:id="960"/>
      <w:bookmarkEnd w:id="961"/>
    </w:p>
    <w:p>
      <w:pPr>
        <w:jc w:val="both"/>
        <w:rPr>
          <w:sz w:val="16"/>
        </w:rPr>
      </w:pPr>
    </w:p>
    <w:p>
      <w:pPr>
        <w:jc w:val="both"/>
        <w:rPr>
          <w:strike/>
        </w:rPr>
      </w:pPr>
      <w:r>
        <w:rPr>
          <w:spacing w:val="-2"/>
          <w:szCs w:val="22"/>
        </w:rPr>
        <w:t xml:space="preserve">En règle générale, le calcul se fait sur base du nombre d’élèves régulièrement inscrits et observant une fréquentation régulière au </w:t>
      </w:r>
      <w:r>
        <w:rPr>
          <w:b/>
          <w:spacing w:val="-2"/>
          <w:szCs w:val="22"/>
          <w:u w:val="single"/>
        </w:rPr>
        <w:t>15 janvier de l'année scolaire précédente à la dernière heure de cours.</w:t>
      </w:r>
    </w:p>
    <w:p>
      <w:pPr>
        <w:jc w:val="both"/>
        <w:rPr>
          <w:spacing w:val="-4"/>
          <w:sz w:val="8"/>
          <w:szCs w:val="8"/>
        </w:rPr>
      </w:pPr>
    </w:p>
    <w:p>
      <w:pPr>
        <w:jc w:val="both"/>
        <w:rPr>
          <w:i/>
        </w:rPr>
      </w:pPr>
      <w:r>
        <w:rPr>
          <w:b/>
          <w:u w:val="single"/>
        </w:rPr>
        <w:t>Attention !</w:t>
      </w:r>
      <w:r>
        <w:rPr>
          <w:b/>
        </w:rPr>
        <w:t xml:space="preserve"> </w:t>
      </w:r>
      <w:r>
        <w:rPr>
          <w:i/>
        </w:rPr>
        <w:t xml:space="preserve">L'élève qui fait l'objet d'une exclusion définitive après le 15 janvier n'est plus considéré comme régulièrement inscrit au 15 janvier dans l'école qui l'a exclu, mais dans celle qui, le cas échéant, l'accueille après cette exclusion. Afin de pouvoir comptabiliser correctement les élèves concernés, </w:t>
      </w:r>
      <w:r>
        <w:rPr>
          <w:i/>
          <w:u w:val="single"/>
        </w:rPr>
        <w:t xml:space="preserve">toute décision </w:t>
      </w:r>
      <w:r>
        <w:rPr>
          <w:i/>
        </w:rPr>
        <w:t xml:space="preserve">d'exclusion définitive doit être signalée auprès de </w:t>
      </w:r>
      <w:smartTag w:uri="urn:schemas-microsoft-com:office:smarttags" w:element="PersonName">
        <w:smartTagPr>
          <w:attr w:name="ProductID" w:val="la Direction"/>
        </w:smartTagPr>
        <w:r>
          <w:rPr>
            <w:i/>
          </w:rPr>
          <w:t>la Direction</w:t>
        </w:r>
      </w:smartTag>
      <w:r>
        <w:rPr>
          <w:i/>
        </w:rPr>
        <w:t xml:space="preserve"> générale de l'Enseignement obligatoire. L'école qui accueille un élève exclu doit également le signaler à </w:t>
      </w:r>
      <w:smartTag w:uri="urn:schemas-microsoft-com:office:smarttags" w:element="PersonName">
        <w:smartTagPr>
          <w:attr w:name="ProductID" w:val="la DGEO"/>
        </w:smartTagPr>
        <w:r>
          <w:rPr>
            <w:i/>
          </w:rPr>
          <w:t>la DGEO</w:t>
        </w:r>
      </w:smartTag>
      <w:r>
        <w:rPr>
          <w:i/>
        </w:rPr>
        <w:t xml:space="preserve"> au plus tard le 15 juillet suivant </w:t>
      </w:r>
      <w:r>
        <w:rPr>
          <w:bCs/>
          <w:i/>
          <w:iCs/>
          <w:spacing w:val="-4"/>
          <w:szCs w:val="22"/>
        </w:rPr>
        <w:t xml:space="preserve">via le formulaire électronique « Exclusion » (voir le site </w:t>
      </w:r>
      <w:hyperlink r:id="rId101" w:history="1">
        <w:r>
          <w:rPr>
            <w:rStyle w:val="Lienhypertexte"/>
            <w:bCs/>
            <w:i/>
            <w:iCs/>
            <w:color w:val="auto"/>
            <w:spacing w:val="-4"/>
            <w:szCs w:val="22"/>
          </w:rPr>
          <w:t>http://www.am.cfwb.be</w:t>
        </w:r>
      </w:hyperlink>
      <w:r>
        <w:rPr>
          <w:bCs/>
          <w:i/>
          <w:iCs/>
          <w:spacing w:val="-4"/>
          <w:szCs w:val="22"/>
        </w:rPr>
        <w:t xml:space="preserve"> et la </w:t>
      </w:r>
      <w:hyperlink r:id="rId102" w:history="1">
        <w:r>
          <w:rPr>
            <w:rStyle w:val="Lienhypertexte"/>
            <w:bCs/>
            <w:i/>
            <w:iCs/>
            <w:color w:val="auto"/>
            <w:spacing w:val="-4"/>
            <w:szCs w:val="22"/>
          </w:rPr>
          <w:t>circulaire n° 3783</w:t>
        </w:r>
      </w:hyperlink>
      <w:r>
        <w:rPr>
          <w:bCs/>
          <w:i/>
          <w:iCs/>
          <w:spacing w:val="-4"/>
          <w:szCs w:val="22"/>
        </w:rPr>
        <w:t xml:space="preserve"> du 28/10/2011). A défaut, l’élève n’est pas pris en considération pour l’encadrement et le calcul des subventions/dotations de fonctionnement.</w:t>
      </w:r>
    </w:p>
    <w:p>
      <w:pPr>
        <w:spacing w:before="160" w:after="160"/>
        <w:jc w:val="both"/>
      </w:pPr>
      <w:r>
        <w:t xml:space="preserve">Le calcul se fait toutefois sur base des élèves régulièrement inscrits le </w:t>
      </w:r>
      <w:r>
        <w:rPr>
          <w:b/>
          <w:u w:val="single"/>
        </w:rPr>
        <w:t>30 septembre, à la dernière heure de cours, de l'année scolaire en cours</w:t>
      </w:r>
      <w:r>
        <w:t xml:space="preserve"> dans les </w:t>
      </w:r>
      <w:r>
        <w:rPr>
          <w:u w:val="single"/>
        </w:rPr>
        <w:t>cas suivants</w:t>
      </w:r>
      <w:r>
        <w:t>:</w:t>
      </w:r>
    </w:p>
    <w:p>
      <w:pPr>
        <w:spacing w:after="80"/>
        <w:ind w:left="538" w:hanging="360"/>
        <w:jc w:val="both"/>
      </w:pPr>
      <w:r>
        <w:t>1.</w:t>
      </w:r>
      <w:r>
        <w:tab/>
        <w:t xml:space="preserve">l'encadrement pour les cours de morale et de religion (voir </w:t>
      </w:r>
      <w:hyperlink w:anchor="section3_2_10" w:history="1">
        <w:r>
          <w:rPr>
            <w:rStyle w:val="Lienhypertexte"/>
            <w:color w:val="auto"/>
          </w:rPr>
          <w:t>section 3.2.9.</w:t>
        </w:r>
      </w:hyperlink>
      <w:r>
        <w:t>);</w:t>
      </w:r>
    </w:p>
    <w:p>
      <w:pPr>
        <w:spacing w:after="80"/>
        <w:ind w:left="538" w:hanging="360"/>
        <w:jc w:val="both"/>
      </w:pPr>
      <w:r>
        <w:t xml:space="preserve">2. </w:t>
      </w:r>
      <w:r>
        <w:tab/>
        <w:t xml:space="preserve">les périodes de cours d’adaptation à la langue de l’enseignement (voir </w:t>
      </w:r>
      <w:hyperlink w:anchor="Section3_2_5" w:history="1">
        <w:r>
          <w:rPr>
            <w:rStyle w:val="Lienhypertexte"/>
            <w:color w:val="auto"/>
          </w:rPr>
          <w:t>section 3.2.5.</w:t>
        </w:r>
      </w:hyperlink>
      <w:r>
        <w:t>);</w:t>
      </w:r>
    </w:p>
    <w:p>
      <w:pPr>
        <w:spacing w:after="80"/>
        <w:ind w:left="538" w:hanging="360"/>
        <w:jc w:val="both"/>
        <w:rPr>
          <w:spacing w:val="-4"/>
        </w:rPr>
      </w:pPr>
      <w:r>
        <w:rPr>
          <w:spacing w:val="-4"/>
        </w:rPr>
        <w:t>3.</w:t>
      </w:r>
      <w:r>
        <w:rPr>
          <w:spacing w:val="-4"/>
        </w:rPr>
        <w:tab/>
        <w:t xml:space="preserve">le complément de périodes destiné à l’encadrement spécifique des élèves de P1-P2 (voir </w:t>
      </w:r>
      <w:hyperlink w:anchor="_3.2.3._Complément_de" w:history="1">
        <w:r>
          <w:rPr>
            <w:rStyle w:val="Lienhypertexte"/>
            <w:color w:val="auto"/>
            <w:spacing w:val="-4"/>
          </w:rPr>
          <w:t>section 3.2.3.</w:t>
        </w:r>
      </w:hyperlink>
      <w:r>
        <w:rPr>
          <w:spacing w:val="-4"/>
        </w:rPr>
        <w:t>);</w:t>
      </w:r>
    </w:p>
    <w:p>
      <w:pPr>
        <w:spacing w:after="60"/>
        <w:ind w:left="539" w:hanging="357"/>
        <w:jc w:val="both"/>
      </w:pPr>
      <w:r>
        <w:t>4.</w:t>
      </w:r>
      <w:r>
        <w:tab/>
        <w:t>lorsqu'il y a une variation d'au moins 5% du nombre d’élèves (sans application des coefficients) au 30 septembre par rapport au 15 janvier précédent de toutes les écoles:</w:t>
      </w:r>
    </w:p>
    <w:p>
      <w:pPr>
        <w:numPr>
          <w:ilvl w:val="0"/>
          <w:numId w:val="28"/>
        </w:numPr>
        <w:spacing w:after="60"/>
        <w:ind w:left="899"/>
        <w:jc w:val="both"/>
        <w:rPr>
          <w:spacing w:val="-4"/>
        </w:rPr>
      </w:pPr>
      <w:r>
        <w:rPr>
          <w:spacing w:val="-4"/>
        </w:rPr>
        <w:t xml:space="preserve">sur le territoire de la commune pour l’enseignement de </w:t>
      </w:r>
      <w:smartTag w:uri="urn:schemas-microsoft-com:office:smarttags" w:element="PersonName">
        <w:smartTagPr>
          <w:attr w:name="ProductID" w:val="la F￩d￩ration Wallonie-Bruxelles"/>
        </w:smartTagPr>
        <w:r>
          <w:rPr>
            <w:spacing w:val="-4"/>
          </w:rPr>
          <w:t>la Fédération Wallonie-Bruxelles</w:t>
        </w:r>
      </w:smartTag>
      <w:r>
        <w:rPr>
          <w:spacing w:val="-4"/>
        </w:rPr>
        <w:t xml:space="preserve"> et l’enseignement officiel subventionné. Le comptage des élèves s’effectue pour l'ensemble de l'école, même si celle-ci est constituée de 2 ou plusieurs implantations situées sur des communes différentes, en prenant comme référence la commune de l'implantation siège. </w:t>
      </w:r>
    </w:p>
    <w:p>
      <w:pPr>
        <w:pStyle w:val="Retraitcorpsdetexte3"/>
        <w:numPr>
          <w:ilvl w:val="0"/>
          <w:numId w:val="28"/>
        </w:numPr>
        <w:spacing w:after="60"/>
        <w:ind w:left="899"/>
      </w:pPr>
      <w:r>
        <w:t>sur le territoire de l’entité pour l’enseignement libre subventionné et ce par caractère (catholique, protestante, israélite, islamique, orthodoxe et non confessionnelle).</w:t>
      </w:r>
    </w:p>
    <w:p>
      <w:pPr>
        <w:ind w:left="538"/>
        <w:jc w:val="both"/>
      </w:pPr>
      <w:r>
        <w:t xml:space="preserve">Au cas où les 5% correspondent à un nombre comprenant des décimales, il faut atteindre l'unité supérieure. Exemple: 5% = 20,7 ou 20,1 =&gt; 20 élèves ne peuvent suffire; il faut une variation d'au moins 21 élèves pour qu'il y ait recomptage. </w:t>
      </w:r>
    </w:p>
    <w:p>
      <w:pPr>
        <w:ind w:left="538"/>
        <w:jc w:val="both"/>
      </w:pPr>
    </w:p>
    <w:p>
      <w:pPr>
        <w:spacing w:after="80"/>
        <w:ind w:left="538" w:hanging="360"/>
        <w:jc w:val="both"/>
      </w:pPr>
      <w:r>
        <w:t>5.</w:t>
      </w:r>
      <w:r>
        <w:tab/>
        <w:t xml:space="preserve">la programmation d’une nouvelle école, pour chaque année de la phase de programmation. </w:t>
      </w:r>
    </w:p>
    <w:p>
      <w:pPr>
        <w:spacing w:after="60"/>
        <w:jc w:val="both"/>
        <w:rPr>
          <w:sz w:val="8"/>
          <w:szCs w:val="8"/>
        </w:rPr>
      </w:pPr>
    </w:p>
    <w:p>
      <w:pPr>
        <w:spacing w:after="60"/>
        <w:jc w:val="both"/>
      </w:pPr>
      <w:r>
        <w:t xml:space="preserve">Dans les cas 1, 2 et </w:t>
      </w:r>
      <w:smartTag w:uri="urn:schemas-microsoft-com:office:smarttags" w:element="metricconverter">
        <w:smartTagPr>
          <w:attr w:name="ProductID" w:val="3, l"/>
        </w:smartTagPr>
        <w:r>
          <w:t>3, l</w:t>
        </w:r>
      </w:smartTag>
      <w:r>
        <w:t>'encadrement calculé est valable du 1</w:t>
      </w:r>
      <w:r>
        <w:rPr>
          <w:vertAlign w:val="superscript"/>
        </w:rPr>
        <w:t>er</w:t>
      </w:r>
      <w:r>
        <w:t xml:space="preserve"> octobre au 30 septembre suivant.</w:t>
      </w:r>
    </w:p>
    <w:p>
      <w:pPr>
        <w:jc w:val="both"/>
      </w:pPr>
      <w:r>
        <w:t xml:space="preserve">Dans le cas </w:t>
      </w:r>
      <w:smartTag w:uri="urn:schemas-microsoft-com:office:smarttags" w:element="metricconverter">
        <w:smartTagPr>
          <w:attr w:name="ProductID" w:val="4, l"/>
        </w:smartTagPr>
        <w:r>
          <w:t>4, l</w:t>
        </w:r>
      </w:smartTag>
      <w:r>
        <w:t>'encadrement calculé est d'application du 1</w:t>
      </w:r>
      <w:r>
        <w:rPr>
          <w:vertAlign w:val="superscript"/>
        </w:rPr>
        <w:t>er</w:t>
      </w:r>
      <w:r>
        <w:t xml:space="preserve"> octobre au 30 juin.</w:t>
      </w:r>
    </w:p>
    <w:p>
      <w:pPr>
        <w:spacing w:after="60"/>
        <w:jc w:val="both"/>
      </w:pPr>
      <w:r>
        <w:t xml:space="preserve">Dans le cas </w:t>
      </w:r>
      <w:smartTag w:uri="urn:schemas-microsoft-com:office:smarttags" w:element="metricconverter">
        <w:smartTagPr>
          <w:attr w:name="ProductID" w:val="5, l"/>
        </w:smartTagPr>
        <w:r>
          <w:t>5</w:t>
        </w:r>
        <w:r>
          <w:rPr>
            <w:sz w:val="18"/>
            <w:szCs w:val="18"/>
          </w:rPr>
          <w:t>,</w:t>
        </w:r>
        <w:r>
          <w:t xml:space="preserve"> l</w:t>
        </w:r>
      </w:smartTag>
      <w:r>
        <w:t>'encadrement calculé est d'application du 1</w:t>
      </w:r>
      <w:r>
        <w:rPr>
          <w:vertAlign w:val="superscript"/>
        </w:rPr>
        <w:t>er</w:t>
      </w:r>
      <w:r>
        <w:t xml:space="preserve"> septembre au 30 juin. </w:t>
      </w:r>
    </w:p>
    <w:p>
      <w:pPr>
        <w:jc w:val="both"/>
        <w:rPr>
          <w:sz w:val="8"/>
          <w:szCs w:val="8"/>
        </w:rPr>
      </w:pPr>
    </w:p>
    <w:p>
      <w:pPr>
        <w:jc w:val="both"/>
      </w:pPr>
      <w:r>
        <w:rPr>
          <w:u w:val="single"/>
        </w:rPr>
        <w:t>Restructurations</w:t>
      </w:r>
      <w:r>
        <w:t>: Suivant le type de restructuration opéré, le calcul de l’encadrement s’effectue:</w:t>
      </w:r>
    </w:p>
    <w:p>
      <w:pPr>
        <w:numPr>
          <w:ilvl w:val="0"/>
          <w:numId w:val="116"/>
        </w:numPr>
        <w:ind w:left="719"/>
        <w:jc w:val="both"/>
      </w:pPr>
      <w:r>
        <w:t>soit sur base des élèves du 15 janvier précédent, en comptabilisant les élèves concernés dans leur nouvelle école et/ou implantation après restructuration;</w:t>
      </w:r>
    </w:p>
    <w:p>
      <w:pPr>
        <w:numPr>
          <w:ilvl w:val="0"/>
          <w:numId w:val="116"/>
        </w:numPr>
        <w:ind w:left="719"/>
        <w:jc w:val="both"/>
      </w:pPr>
      <w:r>
        <w:t>soit sur base des élèves du 30 septembre de l’année scolaire en cours.</w:t>
      </w:r>
    </w:p>
    <w:p>
      <w:pPr>
        <w:jc w:val="both"/>
      </w:pPr>
      <w:r>
        <w:t>Dans tous les cas, préalablement à tous calculs d’encadrement, il y a lieu d’exposer le contexte de la restructuration à l’administration qui notifiera à chaque école ou Pouvoir organisateur les populations scolaires à prendre en compte pour les calculs d’encadrement des écoles et/ou implantations restructurées.</w:t>
      </w:r>
    </w:p>
    <w:p>
      <w:pPr>
        <w:jc w:val="both"/>
        <w:rPr>
          <w:sz w:val="16"/>
          <w:szCs w:val="16"/>
        </w:rPr>
      </w:pPr>
    </w:p>
    <w:p>
      <w:pPr>
        <w:jc w:val="center"/>
      </w:pPr>
      <w:r>
        <w:rPr>
          <w:u w:val="single"/>
        </w:rPr>
        <w:t>Coordonnées</w:t>
      </w:r>
    </w:p>
    <w:p>
      <w:pPr>
        <w:spacing w:before="120"/>
        <w:jc w:val="center"/>
      </w:pPr>
      <w:r>
        <w:t>Direction générale de l'Enseignement obligatoire</w:t>
      </w:r>
    </w:p>
    <w:p>
      <w:pPr>
        <w:jc w:val="center"/>
      </w:pPr>
      <w:r>
        <w:t xml:space="preserve">Direction de l'Organisation des Etablissements d’Enseignement fondamental ordinaire </w:t>
      </w:r>
    </w:p>
    <w:p>
      <w:pPr>
        <w:jc w:val="center"/>
      </w:pPr>
      <w:r>
        <w:t>Rue Adolphe Lavallée, 1 (2F211) à 1080  Bruxelles</w:t>
      </w:r>
    </w:p>
    <w:p>
      <w:pPr>
        <w:spacing w:before="120" w:after="120"/>
        <w:jc w:val="center"/>
      </w:pPr>
      <w:r>
        <w:t>ou</w:t>
      </w:r>
    </w:p>
    <w:p>
      <w:pPr>
        <w:jc w:val="center"/>
      </w:pPr>
      <w:hyperlink r:id="rId103" w:history="1">
        <w:r>
          <w:rPr>
            <w:rStyle w:val="Lienhypertexte"/>
          </w:rPr>
          <w:t>secretariat.fondamental@cfwb.be</w:t>
        </w:r>
      </w:hyperlink>
    </w:p>
    <w:p>
      <w:pPr>
        <w:jc w:val="both"/>
        <w:rPr>
          <w:iCs/>
          <w:spacing w:val="-4"/>
          <w:sz w:val="16"/>
          <w:szCs w:val="16"/>
        </w:rPr>
      </w:pPr>
    </w:p>
    <w:p>
      <w:pPr>
        <w:jc w:val="both"/>
        <w:rPr>
          <w:i/>
          <w:iCs/>
          <w:spacing w:val="-4"/>
        </w:rPr>
      </w:pPr>
      <w:r>
        <w:rPr>
          <w:i/>
          <w:iCs/>
          <w:spacing w:val="-4"/>
        </w:rPr>
        <w:t>La suspension des cours dans le cadre de journées de formation en cours de carrière obligatoire ne peut avoir d'implication sur les comptages du 15 janvier et du 30 septembre. Ces journées sont assimilées à des jours de présence des élèves.</w:t>
      </w:r>
    </w:p>
    <w:p>
      <w:pPr>
        <w:jc w:val="both"/>
        <w:rPr>
          <w:spacing w:val="-4"/>
          <w:szCs w:val="22"/>
        </w:rPr>
      </w:pPr>
    </w:p>
    <w:p>
      <w:pPr>
        <w:pStyle w:val="Corpsdetexte2"/>
        <w:rPr>
          <w:spacing w:val="-4"/>
          <w:szCs w:val="22"/>
        </w:rPr>
      </w:pPr>
      <w:r>
        <w:rPr>
          <w:spacing w:val="-4"/>
          <w:szCs w:val="22"/>
        </w:rPr>
        <w:t xml:space="preserve">Chaque élève compte pour 1, à l'exception des élèves suivants qui, </w:t>
      </w:r>
      <w:r>
        <w:rPr>
          <w:i/>
          <w:spacing w:val="-4"/>
          <w:szCs w:val="22"/>
          <w:u w:val="single"/>
        </w:rPr>
        <w:t>exclusivement</w:t>
      </w:r>
      <w:r>
        <w:rPr>
          <w:i/>
          <w:spacing w:val="-4"/>
          <w:szCs w:val="22"/>
        </w:rPr>
        <w:t xml:space="preserve"> pour le calcul des emplois d’instituteur titulaire de classe, d’instituteur chargé de l’adaptation et du soutien pédagogique, et de maître d’éducation physique ainsi que pour le complément de périodes aux directions,</w:t>
      </w:r>
      <w:r>
        <w:rPr>
          <w:spacing w:val="-4"/>
          <w:szCs w:val="22"/>
        </w:rPr>
        <w:t xml:space="preserve"> sont comptabilisés au </w:t>
      </w:r>
      <w:r>
        <w:rPr>
          <w:spacing w:val="-4"/>
          <w:szCs w:val="22"/>
          <w:u w:val="single"/>
        </w:rPr>
        <w:t>coefficient 1,5</w:t>
      </w:r>
      <w:r>
        <w:rPr>
          <w:spacing w:val="-4"/>
          <w:szCs w:val="22"/>
        </w:rPr>
        <w:t>:</w:t>
      </w:r>
    </w:p>
    <w:p>
      <w:pPr>
        <w:autoSpaceDE w:val="0"/>
        <w:autoSpaceDN w:val="0"/>
        <w:adjustRightInd w:val="0"/>
        <w:jc w:val="both"/>
        <w:rPr>
          <w:szCs w:val="22"/>
        </w:rPr>
      </w:pPr>
    </w:p>
    <w:p>
      <w:pPr>
        <w:autoSpaceDE w:val="0"/>
        <w:autoSpaceDN w:val="0"/>
        <w:adjustRightInd w:val="0"/>
        <w:spacing w:after="80"/>
        <w:ind w:left="537" w:hanging="357"/>
        <w:jc w:val="both"/>
        <w:rPr>
          <w:szCs w:val="22"/>
        </w:rPr>
      </w:pPr>
      <w:r>
        <w:rPr>
          <w:szCs w:val="22"/>
        </w:rPr>
        <w:t>a)</w:t>
      </w:r>
      <w:r>
        <w:rPr>
          <w:szCs w:val="22"/>
        </w:rPr>
        <w:tab/>
        <w:t>les élèves qui fréquentent les écoles:</w:t>
      </w:r>
    </w:p>
    <w:p>
      <w:pPr>
        <w:numPr>
          <w:ilvl w:val="0"/>
          <w:numId w:val="27"/>
        </w:numPr>
        <w:autoSpaceDE w:val="0"/>
        <w:autoSpaceDN w:val="0"/>
        <w:adjustRightInd w:val="0"/>
        <w:ind w:left="1439" w:hanging="180"/>
        <w:jc w:val="both"/>
        <w:rPr>
          <w:szCs w:val="22"/>
        </w:rPr>
      </w:pPr>
      <w:r>
        <w:rPr>
          <w:szCs w:val="22"/>
        </w:rPr>
        <w:t>annexées à un centre d’accueil organisé ou reconnu par l’ONE;</w:t>
      </w:r>
    </w:p>
    <w:p>
      <w:pPr>
        <w:numPr>
          <w:ilvl w:val="0"/>
          <w:numId w:val="27"/>
        </w:numPr>
        <w:autoSpaceDE w:val="0"/>
        <w:autoSpaceDN w:val="0"/>
        <w:adjustRightInd w:val="0"/>
        <w:ind w:left="1439" w:hanging="180"/>
        <w:jc w:val="both"/>
        <w:rPr>
          <w:szCs w:val="22"/>
        </w:rPr>
      </w:pPr>
      <w:r>
        <w:rPr>
          <w:szCs w:val="22"/>
        </w:rPr>
        <w:t>annexées à un internat pour enfants dont les parents n’ont pas de résidence fixe;</w:t>
      </w:r>
    </w:p>
    <w:p>
      <w:pPr>
        <w:numPr>
          <w:ilvl w:val="0"/>
          <w:numId w:val="27"/>
        </w:numPr>
        <w:autoSpaceDE w:val="0"/>
        <w:autoSpaceDN w:val="0"/>
        <w:adjustRightInd w:val="0"/>
        <w:ind w:left="1439" w:hanging="180"/>
        <w:jc w:val="both"/>
        <w:rPr>
          <w:szCs w:val="22"/>
        </w:rPr>
      </w:pPr>
      <w:r>
        <w:rPr>
          <w:szCs w:val="22"/>
        </w:rPr>
        <w:t>relevant d’un home d’enfants placés par le Juge.</w:t>
      </w:r>
    </w:p>
    <w:p>
      <w:pPr>
        <w:pStyle w:val="Retraitcorpsdetexte"/>
        <w:autoSpaceDE w:val="0"/>
        <w:autoSpaceDN w:val="0"/>
        <w:adjustRightInd w:val="0"/>
        <w:spacing w:before="120" w:after="80"/>
        <w:ind w:left="537" w:hanging="357"/>
        <w:rPr>
          <w:szCs w:val="22"/>
        </w:rPr>
      </w:pPr>
      <w:r>
        <w:rPr>
          <w:szCs w:val="22"/>
        </w:rPr>
        <w:t>b)</w:t>
      </w:r>
      <w:r>
        <w:rPr>
          <w:szCs w:val="22"/>
        </w:rPr>
        <w:tab/>
        <w:t>les élèves provenant, quelle que soit l’école fréquentée:</w:t>
      </w:r>
    </w:p>
    <w:p>
      <w:pPr>
        <w:numPr>
          <w:ilvl w:val="0"/>
          <w:numId w:val="27"/>
        </w:numPr>
        <w:autoSpaceDE w:val="0"/>
        <w:autoSpaceDN w:val="0"/>
        <w:adjustRightInd w:val="0"/>
        <w:ind w:left="1439" w:hanging="180"/>
        <w:jc w:val="both"/>
        <w:rPr>
          <w:szCs w:val="22"/>
        </w:rPr>
      </w:pPr>
      <w:r>
        <w:rPr>
          <w:szCs w:val="22"/>
        </w:rPr>
        <w:t xml:space="preserve">d’une structure ou d’une famille d’accueil pour autant qu’ils aient été placés par un </w:t>
      </w:r>
      <w:r>
        <w:rPr>
          <w:szCs w:val="22"/>
          <w:u w:val="single"/>
        </w:rPr>
        <w:t>Juge de la jeunesse agissant sur le territoire belge</w:t>
      </w:r>
      <w:r>
        <w:rPr>
          <w:szCs w:val="22"/>
        </w:rPr>
        <w:t xml:space="preserve"> ou un </w:t>
      </w:r>
      <w:r>
        <w:rPr>
          <w:szCs w:val="22"/>
          <w:u w:val="single"/>
        </w:rPr>
        <w:t>conseiller de l’aide à la jeunesse en Belgique</w:t>
      </w:r>
      <w:r>
        <w:rPr>
          <w:szCs w:val="22"/>
        </w:rPr>
        <w:t xml:space="preserve">; </w:t>
      </w:r>
    </w:p>
    <w:p>
      <w:pPr>
        <w:numPr>
          <w:ilvl w:val="0"/>
          <w:numId w:val="27"/>
        </w:numPr>
        <w:autoSpaceDE w:val="0"/>
        <w:autoSpaceDN w:val="0"/>
        <w:adjustRightInd w:val="0"/>
        <w:ind w:left="1439" w:hanging="180"/>
        <w:jc w:val="both"/>
        <w:rPr>
          <w:szCs w:val="22"/>
        </w:rPr>
      </w:pPr>
      <w:r>
        <w:rPr>
          <w:szCs w:val="22"/>
        </w:rPr>
        <w:t>d’un internat pour les enfants dont les parents n’ont pas de résidence fixe;</w:t>
      </w:r>
    </w:p>
    <w:p>
      <w:pPr>
        <w:numPr>
          <w:ilvl w:val="0"/>
          <w:numId w:val="27"/>
        </w:numPr>
        <w:autoSpaceDE w:val="0"/>
        <w:autoSpaceDN w:val="0"/>
        <w:adjustRightInd w:val="0"/>
        <w:ind w:left="1439" w:hanging="180"/>
        <w:jc w:val="both"/>
        <w:rPr>
          <w:szCs w:val="22"/>
        </w:rPr>
      </w:pPr>
      <w:r>
        <w:rPr>
          <w:szCs w:val="22"/>
        </w:rPr>
        <w:t>d’un centre d’accueil organisé ou reconnu par l’ONE.</w:t>
      </w:r>
    </w:p>
    <w:p>
      <w:pPr>
        <w:jc w:val="both"/>
        <w:rPr>
          <w:szCs w:val="22"/>
        </w:rPr>
      </w:pPr>
      <w:r>
        <w:rPr>
          <w:szCs w:val="22"/>
        </w:rPr>
        <w:t xml:space="preserve">Pour plus de précisions à ce sujet, voir la </w:t>
      </w:r>
      <w:hyperlink w:anchor="Section6_2_5" w:history="1">
        <w:r>
          <w:rPr>
            <w:rStyle w:val="Lienhypertexte"/>
            <w:color w:val="auto"/>
            <w:szCs w:val="22"/>
          </w:rPr>
          <w:t>section 6.2.5 à 6.2.7.</w:t>
        </w:r>
      </w:hyperlink>
    </w:p>
    <w:p>
      <w:pPr>
        <w:jc w:val="both"/>
        <w:rPr>
          <w:szCs w:val="22"/>
        </w:rPr>
      </w:pPr>
    </w:p>
    <w:p>
      <w:pPr>
        <w:jc w:val="both"/>
        <w:rPr>
          <w:szCs w:val="22"/>
        </w:rPr>
      </w:pPr>
      <w:r>
        <w:rPr>
          <w:szCs w:val="22"/>
        </w:rPr>
        <w:t>Si le total des élèves comptés à 1,5 n'est pas un nombre entier, on arrondit à l'unité supérieure.</w:t>
      </w:r>
    </w:p>
    <w:p>
      <w:pPr>
        <w:jc w:val="both"/>
        <w:rPr>
          <w:szCs w:val="22"/>
        </w:rPr>
      </w:pPr>
    </w:p>
    <w:p>
      <w:pPr>
        <w:jc w:val="both"/>
        <w:rPr>
          <w:szCs w:val="22"/>
        </w:rPr>
      </w:pPr>
    </w:p>
    <w:p>
      <w:pPr>
        <w:pStyle w:val="Titre3"/>
      </w:pPr>
      <w:bookmarkStart w:id="962" w:name="Section3_2_2"/>
      <w:bookmarkStart w:id="963" w:name="_Toc295932029"/>
      <w:bookmarkStart w:id="964" w:name="_Toc295913759"/>
      <w:bookmarkStart w:id="965" w:name="_Toc423420048"/>
      <w:bookmarkStart w:id="966" w:name="_Toc450645255"/>
      <w:bookmarkStart w:id="967" w:name="_Toc453942491"/>
      <w:bookmarkStart w:id="968" w:name="_Toc454888108"/>
      <w:bookmarkStart w:id="969" w:name="_Toc486241770"/>
      <w:r>
        <w:t>3.2.2</w:t>
      </w:r>
      <w:bookmarkEnd w:id="962"/>
      <w:r>
        <w:t>. Titulaires de classe, maîtres d'adaptation et de soutien pédagogique, et maîtres d'éducation physique</w:t>
      </w:r>
      <w:bookmarkEnd w:id="963"/>
      <w:bookmarkEnd w:id="964"/>
      <w:bookmarkEnd w:id="965"/>
      <w:bookmarkEnd w:id="966"/>
      <w:bookmarkEnd w:id="967"/>
      <w:bookmarkEnd w:id="968"/>
      <w:bookmarkEnd w:id="969"/>
    </w:p>
    <w:p>
      <w:pPr>
        <w:jc w:val="both"/>
        <w:rPr>
          <w:szCs w:val="22"/>
          <w:lang w:val="fr-BE"/>
        </w:rPr>
      </w:pPr>
    </w:p>
    <w:p>
      <w:pPr>
        <w:pStyle w:val="Corpsdetexte2"/>
        <w:rPr>
          <w:szCs w:val="22"/>
        </w:rPr>
      </w:pPr>
      <w:r>
        <w:rPr>
          <w:szCs w:val="22"/>
        </w:rPr>
        <w:t>Le nombre de périodes à réserver globalement aux titulaires de classe, maîtres d’adaptation et de soutien pédagogique, et maîtres d’éducation physique pour chaque école ou implantation à comptage séparé, est déterminé suivant la grille présentée à la page suivante.</w:t>
      </w:r>
    </w:p>
    <w:p>
      <w:pPr>
        <w:pStyle w:val="Corpsdetexte2"/>
        <w:rPr>
          <w:szCs w:val="22"/>
        </w:rPr>
      </w:pPr>
    </w:p>
    <w:p>
      <w:pPr>
        <w:pStyle w:val="Corpsdetexte2"/>
        <w:rPr>
          <w:szCs w:val="22"/>
        </w:rPr>
      </w:pPr>
      <w:r>
        <w:rPr>
          <w:szCs w:val="22"/>
        </w:rPr>
        <w:t xml:space="preserve">Pour chaque classe organisée, 24 périodes sont attribuées aux instituteurs titulaires de classe et 2 périodes aux cours d’éducation physique. Toutefois, il est autorisé de regrouper les élèves d’un même degré pour l’éducation physique, pour autant que le nombre d’élèves ne dépasse pas 25. </w:t>
      </w:r>
    </w:p>
    <w:p>
      <w:pPr>
        <w:pStyle w:val="Corpsdetexte2"/>
        <w:rPr>
          <w:szCs w:val="22"/>
        </w:rPr>
      </w:pPr>
    </w:p>
    <w:p>
      <w:pPr>
        <w:pStyle w:val="Corpsdetexte2"/>
        <w:rPr>
          <w:szCs w:val="22"/>
        </w:rPr>
      </w:pPr>
      <w:r>
        <w:rPr>
          <w:szCs w:val="22"/>
        </w:rPr>
        <w:t xml:space="preserve">Chaque école ou implantation à comptage séparé a également la possibilité d'organiser, sur son capital-périodes, 12 ou 24 périodes d'adaptation. L'enseignant chargé de l’adaptation ou "maître d’adaptation" est un instituteur, un maître spécial d’éducation physique ou un maître spécial de langues modernes porteur des titres requis. Il assure la remédiation et le soutien des élèves en difficulté dans une ou plusieurs classes de l’école ou de l’implantation. </w:t>
      </w:r>
    </w:p>
    <w:p>
      <w:pPr>
        <w:pStyle w:val="Corpsdetexte2"/>
        <w:rPr>
          <w:i/>
          <w:szCs w:val="22"/>
          <w:highlight w:val="yellow"/>
          <w:u w:val="single"/>
        </w:rPr>
      </w:pPr>
    </w:p>
    <w:p>
      <w:pPr>
        <w:jc w:val="both"/>
        <w:rPr>
          <w:rFonts w:cs="Arial"/>
          <w:szCs w:val="22"/>
        </w:rPr>
      </w:pPr>
      <w:r>
        <w:rPr>
          <w:rFonts w:cs="Arial"/>
          <w:szCs w:val="22"/>
        </w:rPr>
        <w:t xml:space="preserve">Le maître d’adaptation peut également assurer des missions de soutien et de coordination pédagogique, telles que : </w:t>
      </w:r>
    </w:p>
    <w:p>
      <w:pPr>
        <w:numPr>
          <w:ilvl w:val="0"/>
          <w:numId w:val="161"/>
        </w:numPr>
        <w:tabs>
          <w:tab w:val="clear" w:pos="1440"/>
        </w:tabs>
        <w:ind w:left="720"/>
        <w:jc w:val="both"/>
        <w:rPr>
          <w:rFonts w:cs="Arial"/>
          <w:szCs w:val="22"/>
        </w:rPr>
      </w:pPr>
      <w:r>
        <w:rPr>
          <w:rFonts w:cs="Arial"/>
          <w:szCs w:val="22"/>
        </w:rPr>
        <w:t>la coordination des différents soutiens mis en œuvre dans le cadre des heures d’adaptation.</w:t>
      </w:r>
    </w:p>
    <w:p>
      <w:pPr>
        <w:numPr>
          <w:ilvl w:val="0"/>
          <w:numId w:val="161"/>
        </w:numPr>
        <w:tabs>
          <w:tab w:val="clear" w:pos="1440"/>
        </w:tabs>
        <w:ind w:left="720"/>
        <w:jc w:val="both"/>
        <w:rPr>
          <w:rFonts w:cs="Arial"/>
          <w:szCs w:val="22"/>
        </w:rPr>
      </w:pPr>
      <w:r>
        <w:rPr>
          <w:rFonts w:cs="Arial"/>
          <w:szCs w:val="22"/>
        </w:rPr>
        <w:t>la coordination avec les différents acteurs scolaires ou extra-scolaires prenant en charge l’enfant en difficulté.</w:t>
      </w:r>
    </w:p>
    <w:p>
      <w:pPr>
        <w:numPr>
          <w:ilvl w:val="0"/>
          <w:numId w:val="161"/>
        </w:numPr>
        <w:tabs>
          <w:tab w:val="clear" w:pos="1440"/>
        </w:tabs>
        <w:ind w:left="720"/>
        <w:jc w:val="both"/>
        <w:rPr>
          <w:rFonts w:cs="Arial"/>
          <w:szCs w:val="22"/>
        </w:rPr>
      </w:pPr>
      <w:r>
        <w:rPr>
          <w:rFonts w:cs="Arial"/>
          <w:szCs w:val="22"/>
        </w:rPr>
        <w:t>le soutien à l’action pédagogique.</w:t>
      </w:r>
    </w:p>
    <w:p>
      <w:pPr>
        <w:numPr>
          <w:ilvl w:val="0"/>
          <w:numId w:val="161"/>
        </w:numPr>
        <w:tabs>
          <w:tab w:val="clear" w:pos="1440"/>
        </w:tabs>
        <w:ind w:left="720"/>
        <w:jc w:val="both"/>
        <w:rPr>
          <w:rFonts w:cs="Arial"/>
          <w:szCs w:val="22"/>
        </w:rPr>
      </w:pPr>
      <w:r>
        <w:t>le soutien à la relation école – famille.</w:t>
      </w:r>
    </w:p>
    <w:p>
      <w:pPr>
        <w:jc w:val="both"/>
      </w:pPr>
    </w:p>
    <w:p>
      <w:pPr>
        <w:jc w:val="both"/>
        <w:rPr>
          <w:szCs w:val="22"/>
        </w:rPr>
      </w:pPr>
      <w:r>
        <w:t xml:space="preserve">Lorsqu’elles sont utilisées à des fins de coordination et de soutien pédagogique, les périodes d’adaptation peuvent être prestées </w:t>
      </w:r>
      <w:r>
        <w:rPr>
          <w:szCs w:val="22"/>
        </w:rPr>
        <w:t xml:space="preserve">à hauteur de maximum 3 périodes par tranche de 12, de 6 périodes par tranche de 24, de 9 périodes par tranche de 36 (et ainsi de suite par multiple de 12). </w:t>
      </w:r>
    </w:p>
    <w:p>
      <w:pPr>
        <w:pStyle w:val="Corpsdetexte2"/>
        <w:rPr>
          <w:i/>
          <w:szCs w:val="22"/>
          <w:highlight w:val="yellow"/>
          <w:u w:val="single"/>
        </w:rPr>
      </w:pPr>
    </w:p>
    <w:p>
      <w:pPr>
        <w:pStyle w:val="Corpsdetexte2"/>
        <w:rPr>
          <w:szCs w:val="22"/>
        </w:rPr>
      </w:pPr>
      <w:r>
        <w:rPr>
          <w:szCs w:val="22"/>
        </w:rPr>
        <w:t>L’utilisation des périodes d’adaptation à des fins de coordination et de soutien pédagogique est soumise, à chaque rentrée scolaire, à l’avis favorable :</w:t>
      </w:r>
    </w:p>
    <w:p>
      <w:pPr>
        <w:pStyle w:val="Corpsdetexte2"/>
        <w:numPr>
          <w:ilvl w:val="0"/>
          <w:numId w:val="27"/>
        </w:numPr>
        <w:tabs>
          <w:tab w:val="clear" w:pos="1440"/>
        </w:tabs>
        <w:ind w:left="720" w:hanging="180"/>
        <w:rPr>
          <w:szCs w:val="22"/>
        </w:rPr>
      </w:pPr>
      <w:r>
        <w:rPr>
          <w:szCs w:val="22"/>
        </w:rPr>
        <w:t xml:space="preserve">du comité de concertation de base pour l’enseignement organisé par </w:t>
      </w:r>
      <w:smartTag w:uri="urn:schemas-microsoft-com:office:smarttags" w:element="PersonName">
        <w:smartTagPr>
          <w:attr w:name="ProductID" w:val="la F￩d￩ration Wallonie-Bruxelles"/>
        </w:smartTagPr>
        <w:r>
          <w:rPr>
            <w:szCs w:val="22"/>
          </w:rPr>
          <w:t>la Fédération Wallonie-Bruxelles</w:t>
        </w:r>
      </w:smartTag>
      <w:r>
        <w:rPr>
          <w:szCs w:val="22"/>
        </w:rPr>
        <w:t> ;</w:t>
      </w:r>
    </w:p>
    <w:p>
      <w:pPr>
        <w:pStyle w:val="Corpsdetexte2"/>
        <w:numPr>
          <w:ilvl w:val="0"/>
          <w:numId w:val="27"/>
        </w:numPr>
        <w:tabs>
          <w:tab w:val="clear" w:pos="1440"/>
        </w:tabs>
        <w:ind w:left="720" w:hanging="180"/>
        <w:rPr>
          <w:szCs w:val="22"/>
        </w:rPr>
      </w:pPr>
      <w:r>
        <w:rPr>
          <w:szCs w:val="22"/>
        </w:rPr>
        <w:t>de la commission paritaire locale pour l’enseignement officiel subventionné ;</w:t>
      </w:r>
    </w:p>
    <w:p>
      <w:pPr>
        <w:pStyle w:val="Corpsdetexte2"/>
        <w:numPr>
          <w:ilvl w:val="0"/>
          <w:numId w:val="27"/>
        </w:numPr>
        <w:tabs>
          <w:tab w:val="clear" w:pos="1440"/>
        </w:tabs>
        <w:ind w:left="720" w:hanging="180"/>
        <w:rPr>
          <w:szCs w:val="22"/>
        </w:rPr>
      </w:pPr>
      <w:r>
        <w:t>d’une concertation au sein de l’instance prévue à cet effet dans l’enseignement libre subventionné.</w:t>
      </w:r>
    </w:p>
    <w:p>
      <w:pPr>
        <w:pStyle w:val="Corpsdetexte2"/>
        <w:rPr>
          <w:szCs w:val="22"/>
        </w:rPr>
      </w:pPr>
    </w:p>
    <w:p>
      <w:pPr>
        <w:pStyle w:val="Corpsdetexte2"/>
        <w:rPr>
          <w:szCs w:val="22"/>
        </w:rPr>
      </w:pPr>
      <w:r>
        <w:rPr>
          <w:szCs w:val="22"/>
        </w:rPr>
        <w:t xml:space="preserve">Le module d’adaptation organisé sur le capital-périodes d'une école ou d'une implantation à comptage séparé, fonctionne dans l’école ou l’implantation qui l’a généré. Les périodes de reliquat d’une ou de plusieurs écoles (voir </w:t>
      </w:r>
      <w:hyperlink w:anchor="_3.2.7._Reliquat__" w:history="1">
        <w:r>
          <w:rPr>
            <w:rStyle w:val="Lienhypertexte"/>
            <w:color w:val="auto"/>
            <w:szCs w:val="22"/>
          </w:rPr>
          <w:t>section 3.2.7.</w:t>
        </w:r>
      </w:hyperlink>
      <w:r>
        <w:rPr>
          <w:szCs w:val="22"/>
        </w:rPr>
        <w:t>) générées et cédées au Pouvoir organisateur peuvent par contre être redistribuées et fonctionner dans différentes écoles ou implantations, même si celles-ci n’ont pas contribué à générer l’emploi.</w:t>
      </w:r>
    </w:p>
    <w:p>
      <w:pPr>
        <w:pStyle w:val="Titre6"/>
        <w:rPr>
          <w:sz w:val="8"/>
          <w:szCs w:val="8"/>
        </w:rPr>
      </w:pPr>
    </w:p>
    <w:p>
      <w:pPr>
        <w:ind w:left="179"/>
        <w:rPr>
          <w:rFonts w:cs="Arial"/>
          <w:b/>
          <w:i/>
          <w:szCs w:val="22"/>
          <w:u w:val="single"/>
        </w:rPr>
      </w:pPr>
      <w:r>
        <w:rPr>
          <w:rFonts w:cs="Arial"/>
          <w:b/>
          <w:i/>
          <w:szCs w:val="22"/>
          <w:u w:val="single"/>
        </w:rPr>
        <w:t>Remarque:</w:t>
      </w:r>
    </w:p>
    <w:p>
      <w:pPr>
        <w:ind w:left="179"/>
        <w:jc w:val="both"/>
        <w:rPr>
          <w:rFonts w:cs="Arial"/>
          <w:szCs w:val="22"/>
        </w:rPr>
      </w:pPr>
      <w:r>
        <w:rPr>
          <w:rFonts w:cs="Arial"/>
          <w:szCs w:val="22"/>
        </w:rPr>
        <w:t>Il est interdit d'augmenter fictivement le nombre de modules d'adaptation réservés sur le capital-périodes dans le seul but d'influencer le calcul des reliquats, du complément P1/P2 et des périodes de soutien pédagogique. Le nombre de classes organisées déclaré sur base du capital-périodes doit correspondre à la réalité. On ne reforme pas ensuite des classes uniquement sur base de ces modules d’adaptation.</w:t>
      </w:r>
    </w:p>
    <w:p>
      <w:pPr>
        <w:ind w:left="179"/>
        <w:jc w:val="both"/>
        <w:rPr>
          <w:rFonts w:cs="Arial"/>
          <w:szCs w:val="22"/>
        </w:rPr>
      </w:pPr>
      <w:r>
        <w:rPr>
          <w:rFonts w:cs="Arial"/>
          <w:szCs w:val="22"/>
        </w:rPr>
        <w:t>La création d'une classe supplémentaire à l'aide d'un module d'adaptation (12 ou 24 périodes) complété par un apport de reliquats reçus, de périodes "encadrement différencié" ou autres périodes (art.36, art. 37) reçues est quant à elle autorisée.</w:t>
      </w:r>
    </w:p>
    <w:p>
      <w:pPr>
        <w:rPr>
          <w:b/>
        </w:rPr>
      </w:pPr>
      <w:bookmarkStart w:id="970" w:name="_Toc295913760"/>
      <w:r>
        <w:br w:type="page"/>
      </w:r>
      <w:bookmarkStart w:id="971" w:name="_Toc295932030"/>
      <w:bookmarkEnd w:id="970"/>
      <w:r>
        <w:rPr>
          <w:b/>
        </w:rPr>
        <w:t>Tableau - Périodes à réserver aux titulaires de classe, maîtres d’adaptation et de soutien pédagogique, et maîtres d’éducation physique</w:t>
      </w:r>
      <w:bookmarkEnd w:id="971"/>
    </w:p>
    <w:p>
      <w:pPr>
        <w:rPr>
          <w:sz w:val="12"/>
          <w:szCs w:val="12"/>
          <w:lang w:val="fr-B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4"/>
        <w:gridCol w:w="531"/>
        <w:gridCol w:w="764"/>
        <w:gridCol w:w="579"/>
        <w:gridCol w:w="765"/>
        <w:gridCol w:w="579"/>
        <w:gridCol w:w="765"/>
        <w:gridCol w:w="579"/>
        <w:gridCol w:w="765"/>
        <w:gridCol w:w="579"/>
        <w:gridCol w:w="765"/>
        <w:gridCol w:w="579"/>
        <w:gridCol w:w="765"/>
        <w:gridCol w:w="839"/>
      </w:tblGrid>
      <w:tr>
        <w:trPr>
          <w:trHeight w:hRule="exact" w:val="397"/>
          <w:tblHeader/>
          <w:jc w:val="center"/>
        </w:trPr>
        <w:tc>
          <w:tcPr>
            <w:tcW w:w="473" w:type="pct"/>
            <w:vAlign w:val="center"/>
          </w:tcPr>
          <w:p>
            <w:pPr>
              <w:rPr>
                <w:b/>
                <w:sz w:val="18"/>
                <w:u w:val="single"/>
              </w:rPr>
            </w:pPr>
            <w:r>
              <w:rPr>
                <w:b/>
                <w:sz w:val="18"/>
                <w:u w:val="single"/>
              </w:rPr>
              <w:t>Elèves</w:t>
            </w:r>
          </w:p>
        </w:tc>
        <w:tc>
          <w:tcPr>
            <w:tcW w:w="272"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296" w:type="pct"/>
            <w:vAlign w:val="center"/>
          </w:tcPr>
          <w:p>
            <w:pPr>
              <w:rPr>
                <w:b/>
                <w:sz w:val="18"/>
                <w:u w:val="single"/>
              </w:rPr>
            </w:pPr>
            <w:r>
              <w:rPr>
                <w:b/>
                <w:sz w:val="18"/>
                <w:u w:val="single"/>
              </w:rPr>
              <w:t>Pér.</w:t>
            </w:r>
          </w:p>
        </w:tc>
        <w:tc>
          <w:tcPr>
            <w:tcW w:w="391" w:type="pct"/>
            <w:vAlign w:val="center"/>
          </w:tcPr>
          <w:p>
            <w:pPr>
              <w:rPr>
                <w:sz w:val="18"/>
                <w:u w:val="single"/>
              </w:rPr>
            </w:pPr>
            <w:r>
              <w:rPr>
                <w:sz w:val="18"/>
                <w:u w:val="single"/>
              </w:rPr>
              <w:t>Elèves</w:t>
            </w:r>
          </w:p>
        </w:tc>
        <w:tc>
          <w:tcPr>
            <w:tcW w:w="429" w:type="pct"/>
            <w:vAlign w:val="center"/>
          </w:tcPr>
          <w:p>
            <w:pPr>
              <w:jc w:val="center"/>
              <w:rPr>
                <w:b/>
                <w:sz w:val="18"/>
                <w:u w:val="single"/>
              </w:rPr>
            </w:pPr>
            <w:r>
              <w:rPr>
                <w:b/>
                <w:sz w:val="18"/>
                <w:u w:val="single"/>
              </w:rPr>
              <w:t>Pér.</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8 à 19</w:t>
            </w:r>
          </w:p>
        </w:tc>
        <w:tc>
          <w:tcPr>
            <w:tcW w:w="272" w:type="pct"/>
            <w:vAlign w:val="center"/>
          </w:tcPr>
          <w:p>
            <w:pPr>
              <w:autoSpaceDE w:val="0"/>
              <w:autoSpaceDN w:val="0"/>
              <w:adjustRightInd w:val="0"/>
              <w:jc w:val="center"/>
              <w:rPr>
                <w:b/>
                <w:sz w:val="16"/>
                <w:szCs w:val="16"/>
              </w:rPr>
            </w:pPr>
            <w:r>
              <w:rPr>
                <w:b/>
                <w:sz w:val="16"/>
                <w:szCs w:val="16"/>
              </w:rPr>
              <w:t>32</w:t>
            </w:r>
          </w:p>
        </w:tc>
        <w:tc>
          <w:tcPr>
            <w:tcW w:w="391" w:type="pct"/>
            <w:vAlign w:val="center"/>
          </w:tcPr>
          <w:p>
            <w:pPr>
              <w:autoSpaceDE w:val="0"/>
              <w:autoSpaceDN w:val="0"/>
              <w:adjustRightInd w:val="0"/>
              <w:jc w:val="center"/>
              <w:rPr>
                <w:sz w:val="16"/>
                <w:szCs w:val="16"/>
              </w:rPr>
            </w:pPr>
            <w:r>
              <w:rPr>
                <w:sz w:val="16"/>
                <w:szCs w:val="16"/>
              </w:rPr>
              <w:t>153</w:t>
            </w:r>
          </w:p>
        </w:tc>
        <w:tc>
          <w:tcPr>
            <w:tcW w:w="296" w:type="pct"/>
            <w:vAlign w:val="center"/>
          </w:tcPr>
          <w:p>
            <w:pPr>
              <w:autoSpaceDE w:val="0"/>
              <w:autoSpaceDN w:val="0"/>
              <w:adjustRightInd w:val="0"/>
              <w:jc w:val="center"/>
              <w:rPr>
                <w:b/>
                <w:sz w:val="16"/>
                <w:szCs w:val="16"/>
              </w:rPr>
            </w:pPr>
            <w:r>
              <w:rPr>
                <w:b/>
                <w:sz w:val="16"/>
                <w:szCs w:val="16"/>
              </w:rPr>
              <w:t>202</w:t>
            </w:r>
          </w:p>
        </w:tc>
        <w:tc>
          <w:tcPr>
            <w:tcW w:w="391" w:type="pct"/>
            <w:vAlign w:val="center"/>
          </w:tcPr>
          <w:p>
            <w:pPr>
              <w:autoSpaceDE w:val="0"/>
              <w:autoSpaceDN w:val="0"/>
              <w:adjustRightInd w:val="0"/>
              <w:jc w:val="center"/>
              <w:rPr>
                <w:sz w:val="16"/>
                <w:szCs w:val="16"/>
              </w:rPr>
            </w:pPr>
            <w:r>
              <w:rPr>
                <w:sz w:val="16"/>
                <w:szCs w:val="16"/>
              </w:rPr>
              <w:t>215</w:t>
            </w:r>
          </w:p>
        </w:tc>
        <w:tc>
          <w:tcPr>
            <w:tcW w:w="296" w:type="pct"/>
            <w:vAlign w:val="center"/>
          </w:tcPr>
          <w:p>
            <w:pPr>
              <w:autoSpaceDE w:val="0"/>
              <w:autoSpaceDN w:val="0"/>
              <w:adjustRightInd w:val="0"/>
              <w:jc w:val="center"/>
              <w:rPr>
                <w:b/>
                <w:sz w:val="16"/>
                <w:szCs w:val="16"/>
              </w:rPr>
            </w:pPr>
            <w:r>
              <w:rPr>
                <w:b/>
                <w:sz w:val="16"/>
                <w:szCs w:val="16"/>
              </w:rPr>
              <w:t>276</w:t>
            </w:r>
          </w:p>
        </w:tc>
        <w:tc>
          <w:tcPr>
            <w:tcW w:w="391" w:type="pct"/>
            <w:vAlign w:val="center"/>
          </w:tcPr>
          <w:p>
            <w:pPr>
              <w:autoSpaceDE w:val="0"/>
              <w:autoSpaceDN w:val="0"/>
              <w:adjustRightInd w:val="0"/>
              <w:jc w:val="center"/>
              <w:rPr>
                <w:sz w:val="16"/>
                <w:szCs w:val="16"/>
              </w:rPr>
            </w:pPr>
            <w:r>
              <w:rPr>
                <w:sz w:val="16"/>
                <w:szCs w:val="16"/>
              </w:rPr>
              <w:t>277</w:t>
            </w:r>
          </w:p>
        </w:tc>
        <w:tc>
          <w:tcPr>
            <w:tcW w:w="296" w:type="pct"/>
            <w:vAlign w:val="center"/>
          </w:tcPr>
          <w:p>
            <w:pPr>
              <w:autoSpaceDE w:val="0"/>
              <w:autoSpaceDN w:val="0"/>
              <w:adjustRightInd w:val="0"/>
              <w:jc w:val="center"/>
              <w:rPr>
                <w:b/>
                <w:sz w:val="16"/>
                <w:szCs w:val="16"/>
              </w:rPr>
            </w:pPr>
            <w:r>
              <w:rPr>
                <w:b/>
                <w:sz w:val="16"/>
                <w:szCs w:val="16"/>
              </w:rPr>
              <w:t>350</w:t>
            </w:r>
          </w:p>
        </w:tc>
        <w:tc>
          <w:tcPr>
            <w:tcW w:w="391" w:type="pct"/>
            <w:vAlign w:val="center"/>
          </w:tcPr>
          <w:p>
            <w:pPr>
              <w:autoSpaceDE w:val="0"/>
              <w:autoSpaceDN w:val="0"/>
              <w:adjustRightInd w:val="0"/>
              <w:jc w:val="center"/>
              <w:rPr>
                <w:sz w:val="16"/>
                <w:szCs w:val="16"/>
              </w:rPr>
            </w:pPr>
            <w:r>
              <w:rPr>
                <w:sz w:val="16"/>
                <w:szCs w:val="16"/>
              </w:rPr>
              <w:t>339</w:t>
            </w:r>
          </w:p>
        </w:tc>
        <w:tc>
          <w:tcPr>
            <w:tcW w:w="296" w:type="pct"/>
            <w:vAlign w:val="center"/>
          </w:tcPr>
          <w:p>
            <w:pPr>
              <w:autoSpaceDE w:val="0"/>
              <w:autoSpaceDN w:val="0"/>
              <w:adjustRightInd w:val="0"/>
              <w:jc w:val="center"/>
              <w:rPr>
                <w:b/>
                <w:sz w:val="16"/>
                <w:szCs w:val="16"/>
              </w:rPr>
            </w:pPr>
            <w:r>
              <w:rPr>
                <w:b/>
                <w:sz w:val="16"/>
                <w:szCs w:val="16"/>
              </w:rPr>
              <w:t>425</w:t>
            </w:r>
          </w:p>
        </w:tc>
        <w:tc>
          <w:tcPr>
            <w:tcW w:w="391" w:type="pct"/>
            <w:vAlign w:val="center"/>
          </w:tcPr>
          <w:p>
            <w:pPr>
              <w:autoSpaceDE w:val="0"/>
              <w:autoSpaceDN w:val="0"/>
              <w:adjustRightInd w:val="0"/>
              <w:jc w:val="center"/>
              <w:rPr>
                <w:sz w:val="16"/>
                <w:szCs w:val="16"/>
              </w:rPr>
            </w:pPr>
            <w:r>
              <w:rPr>
                <w:sz w:val="16"/>
                <w:szCs w:val="16"/>
              </w:rPr>
              <w:t>401</w:t>
            </w:r>
          </w:p>
        </w:tc>
        <w:tc>
          <w:tcPr>
            <w:tcW w:w="296" w:type="pct"/>
            <w:vAlign w:val="center"/>
          </w:tcPr>
          <w:p>
            <w:pPr>
              <w:autoSpaceDE w:val="0"/>
              <w:autoSpaceDN w:val="0"/>
              <w:adjustRightInd w:val="0"/>
              <w:jc w:val="center"/>
              <w:rPr>
                <w:b/>
                <w:sz w:val="16"/>
                <w:szCs w:val="16"/>
              </w:rPr>
            </w:pPr>
            <w:r>
              <w:rPr>
                <w:b/>
                <w:sz w:val="16"/>
                <w:szCs w:val="16"/>
              </w:rPr>
              <w:t>499</w:t>
            </w:r>
          </w:p>
        </w:tc>
        <w:tc>
          <w:tcPr>
            <w:tcW w:w="391" w:type="pct"/>
            <w:vAlign w:val="bottom"/>
          </w:tcPr>
          <w:p>
            <w:pPr>
              <w:jc w:val="center"/>
              <w:rPr>
                <w:rFonts w:eastAsia="Arial Unicode MS"/>
                <w:sz w:val="16"/>
                <w:szCs w:val="16"/>
              </w:rPr>
            </w:pPr>
            <w:r>
              <w:rPr>
                <w:sz w:val="16"/>
                <w:szCs w:val="16"/>
              </w:rPr>
              <w:t>463</w:t>
            </w:r>
          </w:p>
        </w:tc>
        <w:tc>
          <w:tcPr>
            <w:tcW w:w="429" w:type="pct"/>
          </w:tcPr>
          <w:p>
            <w:pPr>
              <w:autoSpaceDE w:val="0"/>
              <w:autoSpaceDN w:val="0"/>
              <w:adjustRightInd w:val="0"/>
              <w:jc w:val="center"/>
              <w:rPr>
                <w:b/>
                <w:sz w:val="16"/>
                <w:szCs w:val="16"/>
              </w:rPr>
            </w:pPr>
            <w:r>
              <w:rPr>
                <w:b/>
                <w:sz w:val="16"/>
                <w:szCs w:val="16"/>
              </w:rPr>
              <w:t>574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20 à 25</w:t>
            </w:r>
          </w:p>
        </w:tc>
        <w:tc>
          <w:tcPr>
            <w:tcW w:w="272" w:type="pct"/>
            <w:vAlign w:val="center"/>
          </w:tcPr>
          <w:p>
            <w:pPr>
              <w:autoSpaceDE w:val="0"/>
              <w:autoSpaceDN w:val="0"/>
              <w:adjustRightInd w:val="0"/>
              <w:jc w:val="center"/>
              <w:rPr>
                <w:b/>
                <w:sz w:val="16"/>
                <w:szCs w:val="16"/>
              </w:rPr>
            </w:pPr>
            <w:r>
              <w:rPr>
                <w:b/>
                <w:sz w:val="16"/>
                <w:szCs w:val="16"/>
              </w:rPr>
              <w:t>38</w:t>
            </w:r>
          </w:p>
        </w:tc>
        <w:tc>
          <w:tcPr>
            <w:tcW w:w="391" w:type="pct"/>
            <w:vAlign w:val="center"/>
          </w:tcPr>
          <w:p>
            <w:pPr>
              <w:autoSpaceDE w:val="0"/>
              <w:autoSpaceDN w:val="0"/>
              <w:adjustRightInd w:val="0"/>
              <w:jc w:val="center"/>
              <w:rPr>
                <w:sz w:val="16"/>
                <w:szCs w:val="16"/>
              </w:rPr>
            </w:pPr>
            <w:r>
              <w:rPr>
                <w:sz w:val="16"/>
                <w:szCs w:val="16"/>
              </w:rPr>
              <w:t>154</w:t>
            </w:r>
          </w:p>
        </w:tc>
        <w:tc>
          <w:tcPr>
            <w:tcW w:w="296" w:type="pct"/>
            <w:vAlign w:val="center"/>
          </w:tcPr>
          <w:p>
            <w:pPr>
              <w:autoSpaceDE w:val="0"/>
              <w:autoSpaceDN w:val="0"/>
              <w:adjustRightInd w:val="0"/>
              <w:jc w:val="center"/>
              <w:rPr>
                <w:b/>
                <w:sz w:val="16"/>
                <w:szCs w:val="16"/>
              </w:rPr>
            </w:pPr>
            <w:r>
              <w:rPr>
                <w:b/>
                <w:sz w:val="16"/>
                <w:szCs w:val="16"/>
              </w:rPr>
              <w:t>203</w:t>
            </w:r>
          </w:p>
        </w:tc>
        <w:tc>
          <w:tcPr>
            <w:tcW w:w="391" w:type="pct"/>
            <w:vAlign w:val="center"/>
          </w:tcPr>
          <w:p>
            <w:pPr>
              <w:autoSpaceDE w:val="0"/>
              <w:autoSpaceDN w:val="0"/>
              <w:adjustRightInd w:val="0"/>
              <w:jc w:val="center"/>
              <w:rPr>
                <w:sz w:val="16"/>
                <w:szCs w:val="16"/>
              </w:rPr>
            </w:pPr>
            <w:r>
              <w:rPr>
                <w:sz w:val="16"/>
                <w:szCs w:val="16"/>
              </w:rPr>
              <w:t>216</w:t>
            </w:r>
          </w:p>
        </w:tc>
        <w:tc>
          <w:tcPr>
            <w:tcW w:w="296" w:type="pct"/>
            <w:vAlign w:val="center"/>
          </w:tcPr>
          <w:p>
            <w:pPr>
              <w:autoSpaceDE w:val="0"/>
              <w:autoSpaceDN w:val="0"/>
              <w:adjustRightInd w:val="0"/>
              <w:jc w:val="center"/>
              <w:rPr>
                <w:b/>
                <w:sz w:val="16"/>
                <w:szCs w:val="16"/>
              </w:rPr>
            </w:pPr>
            <w:r>
              <w:rPr>
                <w:b/>
                <w:sz w:val="16"/>
                <w:szCs w:val="16"/>
              </w:rPr>
              <w:t>277</w:t>
            </w:r>
          </w:p>
        </w:tc>
        <w:tc>
          <w:tcPr>
            <w:tcW w:w="391" w:type="pct"/>
            <w:vAlign w:val="center"/>
          </w:tcPr>
          <w:p>
            <w:pPr>
              <w:autoSpaceDE w:val="0"/>
              <w:autoSpaceDN w:val="0"/>
              <w:adjustRightInd w:val="0"/>
              <w:jc w:val="center"/>
              <w:rPr>
                <w:sz w:val="16"/>
                <w:szCs w:val="16"/>
              </w:rPr>
            </w:pPr>
            <w:r>
              <w:rPr>
                <w:sz w:val="16"/>
                <w:szCs w:val="16"/>
              </w:rPr>
              <w:t>278</w:t>
            </w:r>
          </w:p>
        </w:tc>
        <w:tc>
          <w:tcPr>
            <w:tcW w:w="296" w:type="pct"/>
            <w:vAlign w:val="center"/>
          </w:tcPr>
          <w:p>
            <w:pPr>
              <w:autoSpaceDE w:val="0"/>
              <w:autoSpaceDN w:val="0"/>
              <w:adjustRightInd w:val="0"/>
              <w:jc w:val="center"/>
              <w:rPr>
                <w:b/>
                <w:sz w:val="16"/>
                <w:szCs w:val="16"/>
              </w:rPr>
            </w:pPr>
            <w:r>
              <w:rPr>
                <w:b/>
                <w:sz w:val="16"/>
                <w:szCs w:val="16"/>
              </w:rPr>
              <w:t>352</w:t>
            </w:r>
          </w:p>
        </w:tc>
        <w:tc>
          <w:tcPr>
            <w:tcW w:w="391" w:type="pct"/>
            <w:vAlign w:val="center"/>
          </w:tcPr>
          <w:p>
            <w:pPr>
              <w:autoSpaceDE w:val="0"/>
              <w:autoSpaceDN w:val="0"/>
              <w:adjustRightInd w:val="0"/>
              <w:jc w:val="center"/>
              <w:rPr>
                <w:sz w:val="16"/>
                <w:szCs w:val="16"/>
              </w:rPr>
            </w:pPr>
            <w:r>
              <w:rPr>
                <w:sz w:val="16"/>
                <w:szCs w:val="16"/>
              </w:rPr>
              <w:t>340</w:t>
            </w:r>
          </w:p>
        </w:tc>
        <w:tc>
          <w:tcPr>
            <w:tcW w:w="296" w:type="pct"/>
            <w:vAlign w:val="center"/>
          </w:tcPr>
          <w:p>
            <w:pPr>
              <w:autoSpaceDE w:val="0"/>
              <w:autoSpaceDN w:val="0"/>
              <w:adjustRightInd w:val="0"/>
              <w:jc w:val="center"/>
              <w:rPr>
                <w:b/>
                <w:sz w:val="16"/>
                <w:szCs w:val="16"/>
              </w:rPr>
            </w:pPr>
            <w:r>
              <w:rPr>
                <w:b/>
                <w:sz w:val="16"/>
                <w:szCs w:val="16"/>
              </w:rPr>
              <w:t>426</w:t>
            </w:r>
          </w:p>
        </w:tc>
        <w:tc>
          <w:tcPr>
            <w:tcW w:w="391" w:type="pct"/>
            <w:vAlign w:val="center"/>
          </w:tcPr>
          <w:p>
            <w:pPr>
              <w:autoSpaceDE w:val="0"/>
              <w:autoSpaceDN w:val="0"/>
              <w:adjustRightInd w:val="0"/>
              <w:jc w:val="center"/>
              <w:rPr>
                <w:sz w:val="16"/>
                <w:szCs w:val="16"/>
              </w:rPr>
            </w:pPr>
            <w:r>
              <w:rPr>
                <w:sz w:val="16"/>
                <w:szCs w:val="16"/>
              </w:rPr>
              <w:t>402</w:t>
            </w:r>
          </w:p>
        </w:tc>
        <w:tc>
          <w:tcPr>
            <w:tcW w:w="296" w:type="pct"/>
            <w:vAlign w:val="center"/>
          </w:tcPr>
          <w:p>
            <w:pPr>
              <w:autoSpaceDE w:val="0"/>
              <w:autoSpaceDN w:val="0"/>
              <w:adjustRightInd w:val="0"/>
              <w:jc w:val="center"/>
              <w:rPr>
                <w:b/>
                <w:sz w:val="16"/>
                <w:szCs w:val="16"/>
              </w:rPr>
            </w:pPr>
            <w:r>
              <w:rPr>
                <w:b/>
                <w:sz w:val="16"/>
                <w:szCs w:val="16"/>
              </w:rPr>
              <w:t>500</w:t>
            </w:r>
          </w:p>
        </w:tc>
        <w:tc>
          <w:tcPr>
            <w:tcW w:w="391" w:type="pct"/>
            <w:vAlign w:val="bottom"/>
          </w:tcPr>
          <w:p>
            <w:pPr>
              <w:jc w:val="center"/>
              <w:rPr>
                <w:rFonts w:eastAsia="Arial Unicode MS"/>
                <w:sz w:val="16"/>
                <w:szCs w:val="16"/>
              </w:rPr>
            </w:pPr>
            <w:r>
              <w:rPr>
                <w:sz w:val="16"/>
                <w:szCs w:val="16"/>
              </w:rPr>
              <w:t>464</w:t>
            </w:r>
          </w:p>
        </w:tc>
        <w:tc>
          <w:tcPr>
            <w:tcW w:w="429" w:type="pct"/>
          </w:tcPr>
          <w:p>
            <w:pPr>
              <w:autoSpaceDE w:val="0"/>
              <w:autoSpaceDN w:val="0"/>
              <w:adjustRightInd w:val="0"/>
              <w:jc w:val="center"/>
              <w:rPr>
                <w:b/>
                <w:sz w:val="16"/>
                <w:szCs w:val="16"/>
              </w:rPr>
            </w:pPr>
            <w:r>
              <w:rPr>
                <w:b/>
                <w:sz w:val="16"/>
                <w:szCs w:val="16"/>
              </w:rPr>
              <w:t>575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26 à 30</w:t>
            </w:r>
          </w:p>
        </w:tc>
        <w:tc>
          <w:tcPr>
            <w:tcW w:w="272" w:type="pct"/>
            <w:vAlign w:val="center"/>
          </w:tcPr>
          <w:p>
            <w:pPr>
              <w:autoSpaceDE w:val="0"/>
              <w:autoSpaceDN w:val="0"/>
              <w:adjustRightInd w:val="0"/>
              <w:jc w:val="center"/>
              <w:rPr>
                <w:b/>
                <w:sz w:val="16"/>
                <w:szCs w:val="16"/>
              </w:rPr>
            </w:pPr>
            <w:r>
              <w:rPr>
                <w:b/>
                <w:sz w:val="16"/>
                <w:szCs w:val="16"/>
              </w:rPr>
              <w:t>52</w:t>
            </w:r>
          </w:p>
        </w:tc>
        <w:tc>
          <w:tcPr>
            <w:tcW w:w="391" w:type="pct"/>
            <w:vAlign w:val="center"/>
          </w:tcPr>
          <w:p>
            <w:pPr>
              <w:autoSpaceDE w:val="0"/>
              <w:autoSpaceDN w:val="0"/>
              <w:adjustRightInd w:val="0"/>
              <w:jc w:val="center"/>
              <w:rPr>
                <w:sz w:val="16"/>
                <w:szCs w:val="16"/>
              </w:rPr>
            </w:pPr>
            <w:r>
              <w:rPr>
                <w:sz w:val="16"/>
                <w:szCs w:val="16"/>
              </w:rPr>
              <w:t>155</w:t>
            </w:r>
          </w:p>
        </w:tc>
        <w:tc>
          <w:tcPr>
            <w:tcW w:w="296" w:type="pct"/>
            <w:vAlign w:val="center"/>
          </w:tcPr>
          <w:p>
            <w:pPr>
              <w:autoSpaceDE w:val="0"/>
              <w:autoSpaceDN w:val="0"/>
              <w:adjustRightInd w:val="0"/>
              <w:jc w:val="center"/>
              <w:rPr>
                <w:b/>
                <w:sz w:val="16"/>
                <w:szCs w:val="16"/>
              </w:rPr>
            </w:pPr>
            <w:r>
              <w:rPr>
                <w:b/>
                <w:sz w:val="16"/>
                <w:szCs w:val="16"/>
              </w:rPr>
              <w:t>204</w:t>
            </w:r>
          </w:p>
        </w:tc>
        <w:tc>
          <w:tcPr>
            <w:tcW w:w="391" w:type="pct"/>
            <w:vAlign w:val="center"/>
          </w:tcPr>
          <w:p>
            <w:pPr>
              <w:autoSpaceDE w:val="0"/>
              <w:autoSpaceDN w:val="0"/>
              <w:adjustRightInd w:val="0"/>
              <w:jc w:val="center"/>
              <w:rPr>
                <w:sz w:val="16"/>
                <w:szCs w:val="16"/>
              </w:rPr>
            </w:pPr>
            <w:r>
              <w:rPr>
                <w:sz w:val="16"/>
                <w:szCs w:val="16"/>
              </w:rPr>
              <w:t>217</w:t>
            </w:r>
          </w:p>
        </w:tc>
        <w:tc>
          <w:tcPr>
            <w:tcW w:w="296" w:type="pct"/>
            <w:vAlign w:val="center"/>
          </w:tcPr>
          <w:p>
            <w:pPr>
              <w:autoSpaceDE w:val="0"/>
              <w:autoSpaceDN w:val="0"/>
              <w:adjustRightInd w:val="0"/>
              <w:jc w:val="center"/>
              <w:rPr>
                <w:b/>
                <w:sz w:val="16"/>
                <w:szCs w:val="16"/>
              </w:rPr>
            </w:pPr>
            <w:r>
              <w:rPr>
                <w:b/>
                <w:sz w:val="16"/>
                <w:szCs w:val="16"/>
              </w:rPr>
              <w:t>278</w:t>
            </w:r>
          </w:p>
        </w:tc>
        <w:tc>
          <w:tcPr>
            <w:tcW w:w="391" w:type="pct"/>
            <w:vAlign w:val="center"/>
          </w:tcPr>
          <w:p>
            <w:pPr>
              <w:autoSpaceDE w:val="0"/>
              <w:autoSpaceDN w:val="0"/>
              <w:adjustRightInd w:val="0"/>
              <w:jc w:val="center"/>
              <w:rPr>
                <w:sz w:val="16"/>
                <w:szCs w:val="16"/>
              </w:rPr>
            </w:pPr>
            <w:r>
              <w:rPr>
                <w:sz w:val="16"/>
                <w:szCs w:val="16"/>
              </w:rPr>
              <w:t>279</w:t>
            </w:r>
          </w:p>
        </w:tc>
        <w:tc>
          <w:tcPr>
            <w:tcW w:w="296" w:type="pct"/>
            <w:vAlign w:val="center"/>
          </w:tcPr>
          <w:p>
            <w:pPr>
              <w:autoSpaceDE w:val="0"/>
              <w:autoSpaceDN w:val="0"/>
              <w:adjustRightInd w:val="0"/>
              <w:jc w:val="center"/>
              <w:rPr>
                <w:b/>
                <w:sz w:val="16"/>
                <w:szCs w:val="16"/>
              </w:rPr>
            </w:pPr>
            <w:r>
              <w:rPr>
                <w:b/>
                <w:sz w:val="16"/>
                <w:szCs w:val="16"/>
              </w:rPr>
              <w:t>353</w:t>
            </w:r>
          </w:p>
        </w:tc>
        <w:tc>
          <w:tcPr>
            <w:tcW w:w="391" w:type="pct"/>
            <w:vAlign w:val="center"/>
          </w:tcPr>
          <w:p>
            <w:pPr>
              <w:autoSpaceDE w:val="0"/>
              <w:autoSpaceDN w:val="0"/>
              <w:adjustRightInd w:val="0"/>
              <w:jc w:val="center"/>
              <w:rPr>
                <w:sz w:val="16"/>
                <w:szCs w:val="16"/>
              </w:rPr>
            </w:pPr>
            <w:r>
              <w:rPr>
                <w:sz w:val="16"/>
                <w:szCs w:val="16"/>
              </w:rPr>
              <w:t>341</w:t>
            </w:r>
          </w:p>
        </w:tc>
        <w:tc>
          <w:tcPr>
            <w:tcW w:w="296" w:type="pct"/>
            <w:vAlign w:val="center"/>
          </w:tcPr>
          <w:p>
            <w:pPr>
              <w:autoSpaceDE w:val="0"/>
              <w:autoSpaceDN w:val="0"/>
              <w:adjustRightInd w:val="0"/>
              <w:jc w:val="center"/>
              <w:rPr>
                <w:b/>
                <w:sz w:val="16"/>
                <w:szCs w:val="16"/>
              </w:rPr>
            </w:pPr>
            <w:r>
              <w:rPr>
                <w:b/>
                <w:sz w:val="16"/>
                <w:szCs w:val="16"/>
              </w:rPr>
              <w:t>427</w:t>
            </w:r>
          </w:p>
        </w:tc>
        <w:tc>
          <w:tcPr>
            <w:tcW w:w="391" w:type="pct"/>
            <w:vAlign w:val="center"/>
          </w:tcPr>
          <w:p>
            <w:pPr>
              <w:autoSpaceDE w:val="0"/>
              <w:autoSpaceDN w:val="0"/>
              <w:adjustRightInd w:val="0"/>
              <w:jc w:val="center"/>
              <w:rPr>
                <w:sz w:val="16"/>
                <w:szCs w:val="16"/>
              </w:rPr>
            </w:pPr>
            <w:r>
              <w:rPr>
                <w:sz w:val="16"/>
                <w:szCs w:val="16"/>
              </w:rPr>
              <w:t>403</w:t>
            </w:r>
          </w:p>
        </w:tc>
        <w:tc>
          <w:tcPr>
            <w:tcW w:w="296" w:type="pct"/>
            <w:vAlign w:val="center"/>
          </w:tcPr>
          <w:p>
            <w:pPr>
              <w:autoSpaceDE w:val="0"/>
              <w:autoSpaceDN w:val="0"/>
              <w:adjustRightInd w:val="0"/>
              <w:jc w:val="center"/>
              <w:rPr>
                <w:b/>
                <w:sz w:val="16"/>
                <w:szCs w:val="16"/>
              </w:rPr>
            </w:pPr>
            <w:r>
              <w:rPr>
                <w:b/>
                <w:sz w:val="16"/>
                <w:szCs w:val="16"/>
              </w:rPr>
              <w:t>502</w:t>
            </w:r>
          </w:p>
        </w:tc>
        <w:tc>
          <w:tcPr>
            <w:tcW w:w="391" w:type="pct"/>
            <w:vAlign w:val="bottom"/>
          </w:tcPr>
          <w:p>
            <w:pPr>
              <w:jc w:val="center"/>
              <w:rPr>
                <w:rFonts w:eastAsia="Arial Unicode MS"/>
                <w:sz w:val="16"/>
                <w:szCs w:val="16"/>
              </w:rPr>
            </w:pPr>
            <w:r>
              <w:rPr>
                <w:sz w:val="16"/>
                <w:szCs w:val="16"/>
              </w:rPr>
              <w:t>465</w:t>
            </w:r>
          </w:p>
        </w:tc>
        <w:tc>
          <w:tcPr>
            <w:tcW w:w="429" w:type="pct"/>
          </w:tcPr>
          <w:p>
            <w:pPr>
              <w:autoSpaceDE w:val="0"/>
              <w:autoSpaceDN w:val="0"/>
              <w:adjustRightInd w:val="0"/>
              <w:jc w:val="center"/>
              <w:rPr>
                <w:b/>
                <w:sz w:val="16"/>
                <w:szCs w:val="16"/>
              </w:rPr>
            </w:pPr>
            <w:r>
              <w:rPr>
                <w:b/>
                <w:sz w:val="16"/>
                <w:szCs w:val="16"/>
              </w:rPr>
              <w:t>576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31 à 44</w:t>
            </w:r>
          </w:p>
        </w:tc>
        <w:tc>
          <w:tcPr>
            <w:tcW w:w="272" w:type="pct"/>
            <w:vAlign w:val="center"/>
          </w:tcPr>
          <w:p>
            <w:pPr>
              <w:autoSpaceDE w:val="0"/>
              <w:autoSpaceDN w:val="0"/>
              <w:adjustRightInd w:val="0"/>
              <w:jc w:val="center"/>
              <w:rPr>
                <w:b/>
                <w:sz w:val="16"/>
                <w:szCs w:val="16"/>
              </w:rPr>
            </w:pPr>
            <w:r>
              <w:rPr>
                <w:b/>
                <w:sz w:val="16"/>
                <w:szCs w:val="16"/>
              </w:rPr>
              <w:t>64</w:t>
            </w:r>
          </w:p>
        </w:tc>
        <w:tc>
          <w:tcPr>
            <w:tcW w:w="391" w:type="pct"/>
            <w:vAlign w:val="center"/>
          </w:tcPr>
          <w:p>
            <w:pPr>
              <w:autoSpaceDE w:val="0"/>
              <w:autoSpaceDN w:val="0"/>
              <w:adjustRightInd w:val="0"/>
              <w:jc w:val="center"/>
              <w:rPr>
                <w:sz w:val="16"/>
                <w:szCs w:val="16"/>
              </w:rPr>
            </w:pPr>
            <w:r>
              <w:rPr>
                <w:sz w:val="16"/>
                <w:szCs w:val="16"/>
              </w:rPr>
              <w:t>156</w:t>
            </w:r>
          </w:p>
        </w:tc>
        <w:tc>
          <w:tcPr>
            <w:tcW w:w="296" w:type="pct"/>
            <w:vAlign w:val="center"/>
          </w:tcPr>
          <w:p>
            <w:pPr>
              <w:autoSpaceDE w:val="0"/>
              <w:autoSpaceDN w:val="0"/>
              <w:adjustRightInd w:val="0"/>
              <w:jc w:val="center"/>
              <w:rPr>
                <w:b/>
                <w:sz w:val="16"/>
                <w:szCs w:val="16"/>
              </w:rPr>
            </w:pPr>
            <w:r>
              <w:rPr>
                <w:b/>
                <w:sz w:val="16"/>
                <w:szCs w:val="16"/>
              </w:rPr>
              <w:t>205</w:t>
            </w:r>
          </w:p>
        </w:tc>
        <w:tc>
          <w:tcPr>
            <w:tcW w:w="391" w:type="pct"/>
            <w:vAlign w:val="center"/>
          </w:tcPr>
          <w:p>
            <w:pPr>
              <w:autoSpaceDE w:val="0"/>
              <w:autoSpaceDN w:val="0"/>
              <w:adjustRightInd w:val="0"/>
              <w:jc w:val="center"/>
              <w:rPr>
                <w:sz w:val="16"/>
                <w:szCs w:val="16"/>
              </w:rPr>
            </w:pPr>
            <w:r>
              <w:rPr>
                <w:sz w:val="16"/>
                <w:szCs w:val="16"/>
              </w:rPr>
              <w:t>218</w:t>
            </w:r>
          </w:p>
        </w:tc>
        <w:tc>
          <w:tcPr>
            <w:tcW w:w="296" w:type="pct"/>
            <w:vAlign w:val="center"/>
          </w:tcPr>
          <w:p>
            <w:pPr>
              <w:autoSpaceDE w:val="0"/>
              <w:autoSpaceDN w:val="0"/>
              <w:adjustRightInd w:val="0"/>
              <w:jc w:val="center"/>
              <w:rPr>
                <w:b/>
                <w:sz w:val="16"/>
                <w:szCs w:val="16"/>
              </w:rPr>
            </w:pPr>
            <w:r>
              <w:rPr>
                <w:b/>
                <w:sz w:val="16"/>
                <w:szCs w:val="16"/>
              </w:rPr>
              <w:t>280</w:t>
            </w:r>
          </w:p>
        </w:tc>
        <w:tc>
          <w:tcPr>
            <w:tcW w:w="391" w:type="pct"/>
            <w:vAlign w:val="center"/>
          </w:tcPr>
          <w:p>
            <w:pPr>
              <w:autoSpaceDE w:val="0"/>
              <w:autoSpaceDN w:val="0"/>
              <w:adjustRightInd w:val="0"/>
              <w:jc w:val="center"/>
              <w:rPr>
                <w:sz w:val="16"/>
                <w:szCs w:val="16"/>
              </w:rPr>
            </w:pPr>
            <w:r>
              <w:rPr>
                <w:sz w:val="16"/>
                <w:szCs w:val="16"/>
              </w:rPr>
              <w:t>280</w:t>
            </w:r>
          </w:p>
        </w:tc>
        <w:tc>
          <w:tcPr>
            <w:tcW w:w="296" w:type="pct"/>
            <w:vAlign w:val="center"/>
          </w:tcPr>
          <w:p>
            <w:pPr>
              <w:autoSpaceDE w:val="0"/>
              <w:autoSpaceDN w:val="0"/>
              <w:adjustRightInd w:val="0"/>
              <w:jc w:val="center"/>
              <w:rPr>
                <w:b/>
                <w:sz w:val="16"/>
                <w:szCs w:val="16"/>
              </w:rPr>
            </w:pPr>
            <w:r>
              <w:rPr>
                <w:b/>
                <w:sz w:val="16"/>
                <w:szCs w:val="16"/>
              </w:rPr>
              <w:t>354</w:t>
            </w:r>
          </w:p>
        </w:tc>
        <w:tc>
          <w:tcPr>
            <w:tcW w:w="391" w:type="pct"/>
            <w:vAlign w:val="center"/>
          </w:tcPr>
          <w:p>
            <w:pPr>
              <w:autoSpaceDE w:val="0"/>
              <w:autoSpaceDN w:val="0"/>
              <w:adjustRightInd w:val="0"/>
              <w:jc w:val="center"/>
              <w:rPr>
                <w:sz w:val="16"/>
                <w:szCs w:val="16"/>
              </w:rPr>
            </w:pPr>
            <w:r>
              <w:rPr>
                <w:sz w:val="16"/>
                <w:szCs w:val="16"/>
              </w:rPr>
              <w:t>342</w:t>
            </w:r>
          </w:p>
        </w:tc>
        <w:tc>
          <w:tcPr>
            <w:tcW w:w="296" w:type="pct"/>
            <w:vAlign w:val="center"/>
          </w:tcPr>
          <w:p>
            <w:pPr>
              <w:autoSpaceDE w:val="0"/>
              <w:autoSpaceDN w:val="0"/>
              <w:adjustRightInd w:val="0"/>
              <w:jc w:val="center"/>
              <w:rPr>
                <w:b/>
                <w:sz w:val="16"/>
                <w:szCs w:val="16"/>
              </w:rPr>
            </w:pPr>
            <w:r>
              <w:rPr>
                <w:b/>
                <w:sz w:val="16"/>
                <w:szCs w:val="16"/>
              </w:rPr>
              <w:t>428</w:t>
            </w:r>
          </w:p>
        </w:tc>
        <w:tc>
          <w:tcPr>
            <w:tcW w:w="391" w:type="pct"/>
            <w:vAlign w:val="center"/>
          </w:tcPr>
          <w:p>
            <w:pPr>
              <w:autoSpaceDE w:val="0"/>
              <w:autoSpaceDN w:val="0"/>
              <w:adjustRightInd w:val="0"/>
              <w:jc w:val="center"/>
              <w:rPr>
                <w:sz w:val="16"/>
                <w:szCs w:val="16"/>
              </w:rPr>
            </w:pPr>
            <w:r>
              <w:rPr>
                <w:sz w:val="16"/>
                <w:szCs w:val="16"/>
              </w:rPr>
              <w:t>404</w:t>
            </w:r>
          </w:p>
        </w:tc>
        <w:tc>
          <w:tcPr>
            <w:tcW w:w="296" w:type="pct"/>
            <w:vAlign w:val="center"/>
          </w:tcPr>
          <w:p>
            <w:pPr>
              <w:autoSpaceDE w:val="0"/>
              <w:autoSpaceDN w:val="0"/>
              <w:adjustRightInd w:val="0"/>
              <w:jc w:val="center"/>
              <w:rPr>
                <w:b/>
                <w:sz w:val="16"/>
                <w:szCs w:val="16"/>
              </w:rPr>
            </w:pPr>
            <w:r>
              <w:rPr>
                <w:b/>
                <w:sz w:val="16"/>
                <w:szCs w:val="16"/>
              </w:rPr>
              <w:t>503</w:t>
            </w:r>
          </w:p>
        </w:tc>
        <w:tc>
          <w:tcPr>
            <w:tcW w:w="391" w:type="pct"/>
            <w:vAlign w:val="bottom"/>
          </w:tcPr>
          <w:p>
            <w:pPr>
              <w:jc w:val="center"/>
              <w:rPr>
                <w:rFonts w:eastAsia="Arial Unicode MS"/>
                <w:sz w:val="16"/>
                <w:szCs w:val="16"/>
              </w:rPr>
            </w:pPr>
            <w:r>
              <w:rPr>
                <w:sz w:val="16"/>
                <w:szCs w:val="16"/>
              </w:rPr>
              <w:t>466</w:t>
            </w:r>
          </w:p>
        </w:tc>
        <w:tc>
          <w:tcPr>
            <w:tcW w:w="429" w:type="pct"/>
          </w:tcPr>
          <w:p>
            <w:pPr>
              <w:autoSpaceDE w:val="0"/>
              <w:autoSpaceDN w:val="0"/>
              <w:adjustRightInd w:val="0"/>
              <w:jc w:val="center"/>
              <w:rPr>
                <w:b/>
                <w:sz w:val="16"/>
                <w:szCs w:val="16"/>
              </w:rPr>
            </w:pPr>
            <w:r>
              <w:rPr>
                <w:b/>
                <w:sz w:val="16"/>
                <w:szCs w:val="16"/>
              </w:rPr>
              <w:t>577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45 à 50</w:t>
            </w:r>
          </w:p>
        </w:tc>
        <w:tc>
          <w:tcPr>
            <w:tcW w:w="272" w:type="pct"/>
            <w:vAlign w:val="center"/>
          </w:tcPr>
          <w:p>
            <w:pPr>
              <w:autoSpaceDE w:val="0"/>
              <w:autoSpaceDN w:val="0"/>
              <w:adjustRightInd w:val="0"/>
              <w:jc w:val="center"/>
              <w:rPr>
                <w:b/>
                <w:sz w:val="16"/>
                <w:szCs w:val="16"/>
              </w:rPr>
            </w:pPr>
            <w:r>
              <w:rPr>
                <w:b/>
                <w:sz w:val="16"/>
                <w:szCs w:val="16"/>
              </w:rPr>
              <w:t>78</w:t>
            </w:r>
          </w:p>
        </w:tc>
        <w:tc>
          <w:tcPr>
            <w:tcW w:w="391" w:type="pct"/>
            <w:vAlign w:val="center"/>
          </w:tcPr>
          <w:p>
            <w:pPr>
              <w:autoSpaceDE w:val="0"/>
              <w:autoSpaceDN w:val="0"/>
              <w:adjustRightInd w:val="0"/>
              <w:jc w:val="center"/>
              <w:rPr>
                <w:sz w:val="16"/>
                <w:szCs w:val="16"/>
              </w:rPr>
            </w:pPr>
            <w:r>
              <w:rPr>
                <w:sz w:val="16"/>
                <w:szCs w:val="16"/>
              </w:rPr>
              <w:t>157</w:t>
            </w:r>
          </w:p>
        </w:tc>
        <w:tc>
          <w:tcPr>
            <w:tcW w:w="296" w:type="pct"/>
            <w:vAlign w:val="center"/>
          </w:tcPr>
          <w:p>
            <w:pPr>
              <w:autoSpaceDE w:val="0"/>
              <w:autoSpaceDN w:val="0"/>
              <w:adjustRightInd w:val="0"/>
              <w:jc w:val="center"/>
              <w:rPr>
                <w:b/>
                <w:sz w:val="16"/>
                <w:szCs w:val="16"/>
              </w:rPr>
            </w:pPr>
            <w:r>
              <w:rPr>
                <w:b/>
                <w:sz w:val="16"/>
                <w:szCs w:val="16"/>
              </w:rPr>
              <w:t>206</w:t>
            </w:r>
          </w:p>
        </w:tc>
        <w:tc>
          <w:tcPr>
            <w:tcW w:w="391" w:type="pct"/>
            <w:vAlign w:val="center"/>
          </w:tcPr>
          <w:p>
            <w:pPr>
              <w:autoSpaceDE w:val="0"/>
              <w:autoSpaceDN w:val="0"/>
              <w:adjustRightInd w:val="0"/>
              <w:jc w:val="center"/>
              <w:rPr>
                <w:sz w:val="16"/>
                <w:szCs w:val="16"/>
              </w:rPr>
            </w:pPr>
            <w:r>
              <w:rPr>
                <w:sz w:val="16"/>
                <w:szCs w:val="16"/>
              </w:rPr>
              <w:t>219</w:t>
            </w:r>
          </w:p>
        </w:tc>
        <w:tc>
          <w:tcPr>
            <w:tcW w:w="296" w:type="pct"/>
            <w:vAlign w:val="center"/>
          </w:tcPr>
          <w:p>
            <w:pPr>
              <w:autoSpaceDE w:val="0"/>
              <w:autoSpaceDN w:val="0"/>
              <w:adjustRightInd w:val="0"/>
              <w:jc w:val="center"/>
              <w:rPr>
                <w:b/>
                <w:sz w:val="16"/>
                <w:szCs w:val="16"/>
              </w:rPr>
            </w:pPr>
            <w:r>
              <w:rPr>
                <w:b/>
                <w:sz w:val="16"/>
                <w:szCs w:val="16"/>
              </w:rPr>
              <w:t>281</w:t>
            </w:r>
          </w:p>
        </w:tc>
        <w:tc>
          <w:tcPr>
            <w:tcW w:w="391" w:type="pct"/>
            <w:vAlign w:val="center"/>
          </w:tcPr>
          <w:p>
            <w:pPr>
              <w:autoSpaceDE w:val="0"/>
              <w:autoSpaceDN w:val="0"/>
              <w:adjustRightInd w:val="0"/>
              <w:jc w:val="center"/>
              <w:rPr>
                <w:sz w:val="16"/>
                <w:szCs w:val="16"/>
              </w:rPr>
            </w:pPr>
            <w:r>
              <w:rPr>
                <w:sz w:val="16"/>
                <w:szCs w:val="16"/>
              </w:rPr>
              <w:t>281</w:t>
            </w:r>
          </w:p>
        </w:tc>
        <w:tc>
          <w:tcPr>
            <w:tcW w:w="296" w:type="pct"/>
            <w:vAlign w:val="center"/>
          </w:tcPr>
          <w:p>
            <w:pPr>
              <w:autoSpaceDE w:val="0"/>
              <w:autoSpaceDN w:val="0"/>
              <w:adjustRightInd w:val="0"/>
              <w:jc w:val="center"/>
              <w:rPr>
                <w:b/>
                <w:sz w:val="16"/>
                <w:szCs w:val="16"/>
              </w:rPr>
            </w:pPr>
            <w:r>
              <w:rPr>
                <w:b/>
                <w:sz w:val="16"/>
                <w:szCs w:val="16"/>
              </w:rPr>
              <w:t>355</w:t>
            </w:r>
          </w:p>
        </w:tc>
        <w:tc>
          <w:tcPr>
            <w:tcW w:w="391" w:type="pct"/>
            <w:vAlign w:val="center"/>
          </w:tcPr>
          <w:p>
            <w:pPr>
              <w:autoSpaceDE w:val="0"/>
              <w:autoSpaceDN w:val="0"/>
              <w:adjustRightInd w:val="0"/>
              <w:jc w:val="center"/>
              <w:rPr>
                <w:sz w:val="16"/>
                <w:szCs w:val="16"/>
              </w:rPr>
            </w:pPr>
            <w:r>
              <w:rPr>
                <w:sz w:val="16"/>
                <w:szCs w:val="16"/>
              </w:rPr>
              <w:t>343</w:t>
            </w:r>
          </w:p>
        </w:tc>
        <w:tc>
          <w:tcPr>
            <w:tcW w:w="296" w:type="pct"/>
            <w:vAlign w:val="center"/>
          </w:tcPr>
          <w:p>
            <w:pPr>
              <w:autoSpaceDE w:val="0"/>
              <w:autoSpaceDN w:val="0"/>
              <w:adjustRightInd w:val="0"/>
              <w:jc w:val="center"/>
              <w:rPr>
                <w:b/>
                <w:sz w:val="16"/>
                <w:szCs w:val="16"/>
              </w:rPr>
            </w:pPr>
            <w:r>
              <w:rPr>
                <w:b/>
                <w:sz w:val="16"/>
                <w:szCs w:val="16"/>
              </w:rPr>
              <w:t>430</w:t>
            </w:r>
          </w:p>
        </w:tc>
        <w:tc>
          <w:tcPr>
            <w:tcW w:w="391" w:type="pct"/>
            <w:vAlign w:val="center"/>
          </w:tcPr>
          <w:p>
            <w:pPr>
              <w:autoSpaceDE w:val="0"/>
              <w:autoSpaceDN w:val="0"/>
              <w:adjustRightInd w:val="0"/>
              <w:jc w:val="center"/>
              <w:rPr>
                <w:sz w:val="16"/>
                <w:szCs w:val="16"/>
              </w:rPr>
            </w:pPr>
            <w:r>
              <w:rPr>
                <w:sz w:val="16"/>
                <w:szCs w:val="16"/>
              </w:rPr>
              <w:t>405</w:t>
            </w:r>
          </w:p>
        </w:tc>
        <w:tc>
          <w:tcPr>
            <w:tcW w:w="296" w:type="pct"/>
            <w:vAlign w:val="center"/>
          </w:tcPr>
          <w:p>
            <w:pPr>
              <w:autoSpaceDE w:val="0"/>
              <w:autoSpaceDN w:val="0"/>
              <w:adjustRightInd w:val="0"/>
              <w:jc w:val="center"/>
              <w:rPr>
                <w:b/>
                <w:sz w:val="16"/>
                <w:szCs w:val="16"/>
              </w:rPr>
            </w:pPr>
            <w:r>
              <w:rPr>
                <w:b/>
                <w:sz w:val="16"/>
                <w:szCs w:val="16"/>
              </w:rPr>
              <w:t>504</w:t>
            </w:r>
          </w:p>
        </w:tc>
        <w:tc>
          <w:tcPr>
            <w:tcW w:w="391" w:type="pct"/>
            <w:vAlign w:val="bottom"/>
          </w:tcPr>
          <w:p>
            <w:pPr>
              <w:jc w:val="center"/>
              <w:rPr>
                <w:rFonts w:eastAsia="Arial Unicode MS"/>
                <w:sz w:val="16"/>
                <w:szCs w:val="16"/>
              </w:rPr>
            </w:pPr>
            <w:r>
              <w:rPr>
                <w:sz w:val="16"/>
                <w:szCs w:val="16"/>
              </w:rPr>
              <w:t>467</w:t>
            </w:r>
          </w:p>
        </w:tc>
        <w:tc>
          <w:tcPr>
            <w:tcW w:w="429" w:type="pct"/>
          </w:tcPr>
          <w:p>
            <w:pPr>
              <w:autoSpaceDE w:val="0"/>
              <w:autoSpaceDN w:val="0"/>
              <w:adjustRightInd w:val="0"/>
              <w:jc w:val="center"/>
              <w:rPr>
                <w:b/>
                <w:sz w:val="16"/>
                <w:szCs w:val="16"/>
              </w:rPr>
            </w:pPr>
            <w:r>
              <w:rPr>
                <w:b/>
                <w:sz w:val="16"/>
                <w:szCs w:val="16"/>
              </w:rPr>
              <w:t>578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51 à 53</w:t>
            </w:r>
          </w:p>
        </w:tc>
        <w:tc>
          <w:tcPr>
            <w:tcW w:w="272" w:type="pct"/>
            <w:vAlign w:val="center"/>
          </w:tcPr>
          <w:p>
            <w:pPr>
              <w:autoSpaceDE w:val="0"/>
              <w:autoSpaceDN w:val="0"/>
              <w:adjustRightInd w:val="0"/>
              <w:jc w:val="center"/>
              <w:rPr>
                <w:b/>
                <w:sz w:val="16"/>
                <w:szCs w:val="16"/>
              </w:rPr>
            </w:pPr>
            <w:r>
              <w:rPr>
                <w:b/>
                <w:sz w:val="16"/>
                <w:szCs w:val="16"/>
              </w:rPr>
              <w:t>80</w:t>
            </w:r>
          </w:p>
        </w:tc>
        <w:tc>
          <w:tcPr>
            <w:tcW w:w="391" w:type="pct"/>
            <w:vAlign w:val="center"/>
          </w:tcPr>
          <w:p>
            <w:pPr>
              <w:autoSpaceDE w:val="0"/>
              <w:autoSpaceDN w:val="0"/>
              <w:adjustRightInd w:val="0"/>
              <w:jc w:val="center"/>
              <w:rPr>
                <w:sz w:val="16"/>
                <w:szCs w:val="16"/>
              </w:rPr>
            </w:pPr>
            <w:r>
              <w:rPr>
                <w:sz w:val="16"/>
                <w:szCs w:val="16"/>
              </w:rPr>
              <w:t>158</w:t>
            </w:r>
          </w:p>
        </w:tc>
        <w:tc>
          <w:tcPr>
            <w:tcW w:w="296" w:type="pct"/>
            <w:vAlign w:val="center"/>
          </w:tcPr>
          <w:p>
            <w:pPr>
              <w:autoSpaceDE w:val="0"/>
              <w:autoSpaceDN w:val="0"/>
              <w:adjustRightInd w:val="0"/>
              <w:jc w:val="center"/>
              <w:rPr>
                <w:b/>
                <w:sz w:val="16"/>
                <w:szCs w:val="16"/>
              </w:rPr>
            </w:pPr>
            <w:r>
              <w:rPr>
                <w:b/>
                <w:sz w:val="16"/>
                <w:szCs w:val="16"/>
              </w:rPr>
              <w:t>208</w:t>
            </w:r>
          </w:p>
        </w:tc>
        <w:tc>
          <w:tcPr>
            <w:tcW w:w="391" w:type="pct"/>
            <w:vAlign w:val="center"/>
          </w:tcPr>
          <w:p>
            <w:pPr>
              <w:autoSpaceDE w:val="0"/>
              <w:autoSpaceDN w:val="0"/>
              <w:adjustRightInd w:val="0"/>
              <w:jc w:val="center"/>
              <w:rPr>
                <w:sz w:val="16"/>
                <w:szCs w:val="16"/>
              </w:rPr>
            </w:pPr>
            <w:r>
              <w:rPr>
                <w:sz w:val="16"/>
                <w:szCs w:val="16"/>
              </w:rPr>
              <w:t>220</w:t>
            </w:r>
          </w:p>
        </w:tc>
        <w:tc>
          <w:tcPr>
            <w:tcW w:w="296" w:type="pct"/>
            <w:vAlign w:val="center"/>
          </w:tcPr>
          <w:p>
            <w:pPr>
              <w:autoSpaceDE w:val="0"/>
              <w:autoSpaceDN w:val="0"/>
              <w:adjustRightInd w:val="0"/>
              <w:jc w:val="center"/>
              <w:rPr>
                <w:b/>
                <w:sz w:val="16"/>
                <w:szCs w:val="16"/>
              </w:rPr>
            </w:pPr>
            <w:r>
              <w:rPr>
                <w:b/>
                <w:sz w:val="16"/>
                <w:szCs w:val="16"/>
              </w:rPr>
              <w:t>282</w:t>
            </w:r>
          </w:p>
        </w:tc>
        <w:tc>
          <w:tcPr>
            <w:tcW w:w="391" w:type="pct"/>
            <w:vAlign w:val="center"/>
          </w:tcPr>
          <w:p>
            <w:pPr>
              <w:autoSpaceDE w:val="0"/>
              <w:autoSpaceDN w:val="0"/>
              <w:adjustRightInd w:val="0"/>
              <w:jc w:val="center"/>
              <w:rPr>
                <w:sz w:val="16"/>
                <w:szCs w:val="16"/>
              </w:rPr>
            </w:pPr>
            <w:r>
              <w:rPr>
                <w:sz w:val="16"/>
                <w:szCs w:val="16"/>
              </w:rPr>
              <w:t>282</w:t>
            </w:r>
          </w:p>
        </w:tc>
        <w:tc>
          <w:tcPr>
            <w:tcW w:w="296" w:type="pct"/>
            <w:vAlign w:val="center"/>
          </w:tcPr>
          <w:p>
            <w:pPr>
              <w:autoSpaceDE w:val="0"/>
              <w:autoSpaceDN w:val="0"/>
              <w:adjustRightInd w:val="0"/>
              <w:jc w:val="center"/>
              <w:rPr>
                <w:b/>
                <w:sz w:val="16"/>
                <w:szCs w:val="16"/>
              </w:rPr>
            </w:pPr>
            <w:r>
              <w:rPr>
                <w:b/>
                <w:sz w:val="16"/>
                <w:szCs w:val="16"/>
              </w:rPr>
              <w:t>356</w:t>
            </w:r>
          </w:p>
        </w:tc>
        <w:tc>
          <w:tcPr>
            <w:tcW w:w="391" w:type="pct"/>
            <w:vAlign w:val="center"/>
          </w:tcPr>
          <w:p>
            <w:pPr>
              <w:autoSpaceDE w:val="0"/>
              <w:autoSpaceDN w:val="0"/>
              <w:adjustRightInd w:val="0"/>
              <w:jc w:val="center"/>
              <w:rPr>
                <w:sz w:val="16"/>
                <w:szCs w:val="16"/>
              </w:rPr>
            </w:pPr>
            <w:r>
              <w:rPr>
                <w:sz w:val="16"/>
                <w:szCs w:val="16"/>
              </w:rPr>
              <w:t>344</w:t>
            </w:r>
          </w:p>
        </w:tc>
        <w:tc>
          <w:tcPr>
            <w:tcW w:w="296" w:type="pct"/>
            <w:vAlign w:val="center"/>
          </w:tcPr>
          <w:p>
            <w:pPr>
              <w:autoSpaceDE w:val="0"/>
              <w:autoSpaceDN w:val="0"/>
              <w:adjustRightInd w:val="0"/>
              <w:jc w:val="center"/>
              <w:rPr>
                <w:b/>
                <w:sz w:val="16"/>
                <w:szCs w:val="16"/>
              </w:rPr>
            </w:pPr>
            <w:r>
              <w:rPr>
                <w:b/>
                <w:sz w:val="16"/>
                <w:szCs w:val="16"/>
              </w:rPr>
              <w:t>431</w:t>
            </w:r>
          </w:p>
        </w:tc>
        <w:tc>
          <w:tcPr>
            <w:tcW w:w="391" w:type="pct"/>
            <w:vAlign w:val="center"/>
          </w:tcPr>
          <w:p>
            <w:pPr>
              <w:autoSpaceDE w:val="0"/>
              <w:autoSpaceDN w:val="0"/>
              <w:adjustRightInd w:val="0"/>
              <w:jc w:val="center"/>
              <w:rPr>
                <w:sz w:val="16"/>
                <w:szCs w:val="16"/>
              </w:rPr>
            </w:pPr>
            <w:r>
              <w:rPr>
                <w:sz w:val="16"/>
                <w:szCs w:val="16"/>
              </w:rPr>
              <w:t>406</w:t>
            </w:r>
          </w:p>
        </w:tc>
        <w:tc>
          <w:tcPr>
            <w:tcW w:w="296" w:type="pct"/>
            <w:vAlign w:val="center"/>
          </w:tcPr>
          <w:p>
            <w:pPr>
              <w:autoSpaceDE w:val="0"/>
              <w:autoSpaceDN w:val="0"/>
              <w:adjustRightInd w:val="0"/>
              <w:jc w:val="center"/>
              <w:rPr>
                <w:b/>
                <w:sz w:val="16"/>
                <w:szCs w:val="16"/>
              </w:rPr>
            </w:pPr>
            <w:r>
              <w:rPr>
                <w:b/>
                <w:sz w:val="16"/>
                <w:szCs w:val="16"/>
              </w:rPr>
              <w:t>505</w:t>
            </w:r>
          </w:p>
        </w:tc>
        <w:tc>
          <w:tcPr>
            <w:tcW w:w="391" w:type="pct"/>
            <w:vAlign w:val="bottom"/>
          </w:tcPr>
          <w:p>
            <w:pPr>
              <w:jc w:val="center"/>
              <w:rPr>
                <w:rFonts w:eastAsia="Arial Unicode MS"/>
                <w:sz w:val="16"/>
                <w:szCs w:val="16"/>
              </w:rPr>
            </w:pPr>
            <w:r>
              <w:rPr>
                <w:sz w:val="16"/>
                <w:szCs w:val="16"/>
              </w:rPr>
              <w:t>468</w:t>
            </w:r>
          </w:p>
        </w:tc>
        <w:tc>
          <w:tcPr>
            <w:tcW w:w="429" w:type="pct"/>
          </w:tcPr>
          <w:p>
            <w:pPr>
              <w:autoSpaceDE w:val="0"/>
              <w:autoSpaceDN w:val="0"/>
              <w:adjustRightInd w:val="0"/>
              <w:jc w:val="center"/>
              <w:rPr>
                <w:b/>
                <w:sz w:val="16"/>
                <w:szCs w:val="16"/>
              </w:rPr>
            </w:pPr>
            <w:r>
              <w:rPr>
                <w:b/>
                <w:sz w:val="16"/>
                <w:szCs w:val="16"/>
              </w:rPr>
              <w:t>580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54 à 56</w:t>
            </w:r>
          </w:p>
        </w:tc>
        <w:tc>
          <w:tcPr>
            <w:tcW w:w="272" w:type="pct"/>
            <w:vAlign w:val="center"/>
          </w:tcPr>
          <w:p>
            <w:pPr>
              <w:autoSpaceDE w:val="0"/>
              <w:autoSpaceDN w:val="0"/>
              <w:adjustRightInd w:val="0"/>
              <w:jc w:val="center"/>
              <w:rPr>
                <w:b/>
                <w:sz w:val="16"/>
                <w:szCs w:val="16"/>
              </w:rPr>
            </w:pPr>
            <w:r>
              <w:rPr>
                <w:b/>
                <w:sz w:val="16"/>
                <w:szCs w:val="16"/>
              </w:rPr>
              <w:t>82</w:t>
            </w:r>
          </w:p>
        </w:tc>
        <w:tc>
          <w:tcPr>
            <w:tcW w:w="391" w:type="pct"/>
            <w:vAlign w:val="center"/>
          </w:tcPr>
          <w:p>
            <w:pPr>
              <w:autoSpaceDE w:val="0"/>
              <w:autoSpaceDN w:val="0"/>
              <w:adjustRightInd w:val="0"/>
              <w:jc w:val="center"/>
              <w:rPr>
                <w:sz w:val="16"/>
                <w:szCs w:val="16"/>
              </w:rPr>
            </w:pPr>
            <w:r>
              <w:rPr>
                <w:sz w:val="16"/>
                <w:szCs w:val="16"/>
              </w:rPr>
              <w:t>159</w:t>
            </w:r>
          </w:p>
        </w:tc>
        <w:tc>
          <w:tcPr>
            <w:tcW w:w="296" w:type="pct"/>
            <w:vAlign w:val="center"/>
          </w:tcPr>
          <w:p>
            <w:pPr>
              <w:autoSpaceDE w:val="0"/>
              <w:autoSpaceDN w:val="0"/>
              <w:adjustRightInd w:val="0"/>
              <w:jc w:val="center"/>
              <w:rPr>
                <w:b/>
                <w:sz w:val="16"/>
                <w:szCs w:val="16"/>
              </w:rPr>
            </w:pPr>
            <w:r>
              <w:rPr>
                <w:b/>
                <w:sz w:val="16"/>
                <w:szCs w:val="16"/>
              </w:rPr>
              <w:t>209</w:t>
            </w:r>
          </w:p>
        </w:tc>
        <w:tc>
          <w:tcPr>
            <w:tcW w:w="391" w:type="pct"/>
            <w:vAlign w:val="center"/>
          </w:tcPr>
          <w:p>
            <w:pPr>
              <w:autoSpaceDE w:val="0"/>
              <w:autoSpaceDN w:val="0"/>
              <w:adjustRightInd w:val="0"/>
              <w:jc w:val="center"/>
              <w:rPr>
                <w:sz w:val="16"/>
                <w:szCs w:val="16"/>
              </w:rPr>
            </w:pPr>
            <w:r>
              <w:rPr>
                <w:sz w:val="16"/>
                <w:szCs w:val="16"/>
              </w:rPr>
              <w:t>221</w:t>
            </w:r>
          </w:p>
        </w:tc>
        <w:tc>
          <w:tcPr>
            <w:tcW w:w="296" w:type="pct"/>
            <w:vAlign w:val="center"/>
          </w:tcPr>
          <w:p>
            <w:pPr>
              <w:autoSpaceDE w:val="0"/>
              <w:autoSpaceDN w:val="0"/>
              <w:adjustRightInd w:val="0"/>
              <w:jc w:val="center"/>
              <w:rPr>
                <w:b/>
                <w:sz w:val="16"/>
                <w:szCs w:val="16"/>
              </w:rPr>
            </w:pPr>
            <w:r>
              <w:rPr>
                <w:b/>
                <w:sz w:val="16"/>
                <w:szCs w:val="16"/>
              </w:rPr>
              <w:t>283</w:t>
            </w:r>
          </w:p>
        </w:tc>
        <w:tc>
          <w:tcPr>
            <w:tcW w:w="391" w:type="pct"/>
            <w:vAlign w:val="center"/>
          </w:tcPr>
          <w:p>
            <w:pPr>
              <w:autoSpaceDE w:val="0"/>
              <w:autoSpaceDN w:val="0"/>
              <w:adjustRightInd w:val="0"/>
              <w:jc w:val="center"/>
              <w:rPr>
                <w:sz w:val="16"/>
                <w:szCs w:val="16"/>
              </w:rPr>
            </w:pPr>
            <w:r>
              <w:rPr>
                <w:sz w:val="16"/>
                <w:szCs w:val="16"/>
              </w:rPr>
              <w:t>283</w:t>
            </w:r>
          </w:p>
        </w:tc>
        <w:tc>
          <w:tcPr>
            <w:tcW w:w="296" w:type="pct"/>
            <w:vAlign w:val="center"/>
          </w:tcPr>
          <w:p>
            <w:pPr>
              <w:autoSpaceDE w:val="0"/>
              <w:autoSpaceDN w:val="0"/>
              <w:adjustRightInd w:val="0"/>
              <w:jc w:val="center"/>
              <w:rPr>
                <w:b/>
                <w:sz w:val="16"/>
                <w:szCs w:val="16"/>
              </w:rPr>
            </w:pPr>
            <w:r>
              <w:rPr>
                <w:b/>
                <w:sz w:val="16"/>
                <w:szCs w:val="16"/>
              </w:rPr>
              <w:t>358</w:t>
            </w:r>
          </w:p>
        </w:tc>
        <w:tc>
          <w:tcPr>
            <w:tcW w:w="391" w:type="pct"/>
            <w:vAlign w:val="center"/>
          </w:tcPr>
          <w:p>
            <w:pPr>
              <w:autoSpaceDE w:val="0"/>
              <w:autoSpaceDN w:val="0"/>
              <w:adjustRightInd w:val="0"/>
              <w:jc w:val="center"/>
              <w:rPr>
                <w:sz w:val="16"/>
                <w:szCs w:val="16"/>
              </w:rPr>
            </w:pPr>
            <w:r>
              <w:rPr>
                <w:sz w:val="16"/>
                <w:szCs w:val="16"/>
              </w:rPr>
              <w:t>345</w:t>
            </w:r>
          </w:p>
        </w:tc>
        <w:tc>
          <w:tcPr>
            <w:tcW w:w="296" w:type="pct"/>
            <w:vAlign w:val="center"/>
          </w:tcPr>
          <w:p>
            <w:pPr>
              <w:autoSpaceDE w:val="0"/>
              <w:autoSpaceDN w:val="0"/>
              <w:adjustRightInd w:val="0"/>
              <w:jc w:val="center"/>
              <w:rPr>
                <w:b/>
                <w:sz w:val="16"/>
                <w:szCs w:val="16"/>
              </w:rPr>
            </w:pPr>
            <w:r>
              <w:rPr>
                <w:b/>
                <w:sz w:val="16"/>
                <w:szCs w:val="16"/>
              </w:rPr>
              <w:t>432</w:t>
            </w:r>
          </w:p>
        </w:tc>
        <w:tc>
          <w:tcPr>
            <w:tcW w:w="391" w:type="pct"/>
            <w:vAlign w:val="center"/>
          </w:tcPr>
          <w:p>
            <w:pPr>
              <w:autoSpaceDE w:val="0"/>
              <w:autoSpaceDN w:val="0"/>
              <w:adjustRightInd w:val="0"/>
              <w:jc w:val="center"/>
              <w:rPr>
                <w:sz w:val="16"/>
                <w:szCs w:val="16"/>
              </w:rPr>
            </w:pPr>
            <w:r>
              <w:rPr>
                <w:sz w:val="16"/>
                <w:szCs w:val="16"/>
              </w:rPr>
              <w:t>407</w:t>
            </w:r>
          </w:p>
        </w:tc>
        <w:tc>
          <w:tcPr>
            <w:tcW w:w="296" w:type="pct"/>
            <w:vAlign w:val="center"/>
          </w:tcPr>
          <w:p>
            <w:pPr>
              <w:autoSpaceDE w:val="0"/>
              <w:autoSpaceDN w:val="0"/>
              <w:adjustRightInd w:val="0"/>
              <w:jc w:val="center"/>
              <w:rPr>
                <w:b/>
                <w:sz w:val="16"/>
                <w:szCs w:val="16"/>
              </w:rPr>
            </w:pPr>
            <w:r>
              <w:rPr>
                <w:b/>
                <w:sz w:val="16"/>
                <w:szCs w:val="16"/>
              </w:rPr>
              <w:t>506</w:t>
            </w:r>
          </w:p>
        </w:tc>
        <w:tc>
          <w:tcPr>
            <w:tcW w:w="391" w:type="pct"/>
            <w:vAlign w:val="bottom"/>
          </w:tcPr>
          <w:p>
            <w:pPr>
              <w:jc w:val="center"/>
              <w:rPr>
                <w:rFonts w:eastAsia="Arial Unicode MS"/>
                <w:sz w:val="16"/>
                <w:szCs w:val="16"/>
              </w:rPr>
            </w:pPr>
            <w:r>
              <w:rPr>
                <w:sz w:val="16"/>
                <w:szCs w:val="16"/>
              </w:rPr>
              <w:t>469</w:t>
            </w:r>
          </w:p>
        </w:tc>
        <w:tc>
          <w:tcPr>
            <w:tcW w:w="429" w:type="pct"/>
          </w:tcPr>
          <w:p>
            <w:pPr>
              <w:autoSpaceDE w:val="0"/>
              <w:autoSpaceDN w:val="0"/>
              <w:adjustRightInd w:val="0"/>
              <w:jc w:val="center"/>
              <w:rPr>
                <w:b/>
                <w:sz w:val="16"/>
                <w:szCs w:val="16"/>
              </w:rPr>
            </w:pPr>
            <w:r>
              <w:rPr>
                <w:b/>
                <w:sz w:val="16"/>
                <w:szCs w:val="16"/>
              </w:rPr>
              <w:t>581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57 à 59</w:t>
            </w:r>
          </w:p>
        </w:tc>
        <w:tc>
          <w:tcPr>
            <w:tcW w:w="272" w:type="pct"/>
            <w:vAlign w:val="center"/>
          </w:tcPr>
          <w:p>
            <w:pPr>
              <w:autoSpaceDE w:val="0"/>
              <w:autoSpaceDN w:val="0"/>
              <w:adjustRightInd w:val="0"/>
              <w:jc w:val="center"/>
              <w:rPr>
                <w:b/>
                <w:sz w:val="16"/>
                <w:szCs w:val="16"/>
              </w:rPr>
            </w:pPr>
            <w:r>
              <w:rPr>
                <w:b/>
                <w:sz w:val="16"/>
                <w:szCs w:val="16"/>
              </w:rPr>
              <w:t>84</w:t>
            </w:r>
          </w:p>
        </w:tc>
        <w:tc>
          <w:tcPr>
            <w:tcW w:w="391" w:type="pct"/>
            <w:vAlign w:val="center"/>
          </w:tcPr>
          <w:p>
            <w:pPr>
              <w:autoSpaceDE w:val="0"/>
              <w:autoSpaceDN w:val="0"/>
              <w:adjustRightInd w:val="0"/>
              <w:jc w:val="center"/>
              <w:rPr>
                <w:sz w:val="16"/>
                <w:szCs w:val="16"/>
              </w:rPr>
            </w:pPr>
            <w:r>
              <w:rPr>
                <w:sz w:val="16"/>
                <w:szCs w:val="16"/>
              </w:rPr>
              <w:t>160</w:t>
            </w:r>
          </w:p>
        </w:tc>
        <w:tc>
          <w:tcPr>
            <w:tcW w:w="296" w:type="pct"/>
            <w:vAlign w:val="center"/>
          </w:tcPr>
          <w:p>
            <w:pPr>
              <w:autoSpaceDE w:val="0"/>
              <w:autoSpaceDN w:val="0"/>
              <w:adjustRightInd w:val="0"/>
              <w:jc w:val="center"/>
              <w:rPr>
                <w:b/>
                <w:sz w:val="16"/>
                <w:szCs w:val="16"/>
              </w:rPr>
            </w:pPr>
            <w:r>
              <w:rPr>
                <w:b/>
                <w:sz w:val="16"/>
                <w:szCs w:val="16"/>
              </w:rPr>
              <w:t>210</w:t>
            </w:r>
          </w:p>
        </w:tc>
        <w:tc>
          <w:tcPr>
            <w:tcW w:w="391" w:type="pct"/>
            <w:vAlign w:val="center"/>
          </w:tcPr>
          <w:p>
            <w:pPr>
              <w:autoSpaceDE w:val="0"/>
              <w:autoSpaceDN w:val="0"/>
              <w:adjustRightInd w:val="0"/>
              <w:jc w:val="center"/>
              <w:rPr>
                <w:sz w:val="16"/>
                <w:szCs w:val="16"/>
              </w:rPr>
            </w:pPr>
            <w:r>
              <w:rPr>
                <w:sz w:val="16"/>
                <w:szCs w:val="16"/>
              </w:rPr>
              <w:t>222</w:t>
            </w:r>
          </w:p>
        </w:tc>
        <w:tc>
          <w:tcPr>
            <w:tcW w:w="296" w:type="pct"/>
            <w:vAlign w:val="center"/>
          </w:tcPr>
          <w:p>
            <w:pPr>
              <w:autoSpaceDE w:val="0"/>
              <w:autoSpaceDN w:val="0"/>
              <w:adjustRightInd w:val="0"/>
              <w:jc w:val="center"/>
              <w:rPr>
                <w:b/>
                <w:sz w:val="16"/>
                <w:szCs w:val="16"/>
              </w:rPr>
            </w:pPr>
            <w:r>
              <w:rPr>
                <w:b/>
                <w:sz w:val="16"/>
                <w:szCs w:val="16"/>
              </w:rPr>
              <w:t>284</w:t>
            </w:r>
          </w:p>
        </w:tc>
        <w:tc>
          <w:tcPr>
            <w:tcW w:w="391" w:type="pct"/>
            <w:vAlign w:val="center"/>
          </w:tcPr>
          <w:p>
            <w:pPr>
              <w:autoSpaceDE w:val="0"/>
              <w:autoSpaceDN w:val="0"/>
              <w:adjustRightInd w:val="0"/>
              <w:jc w:val="center"/>
              <w:rPr>
                <w:sz w:val="16"/>
                <w:szCs w:val="16"/>
              </w:rPr>
            </w:pPr>
            <w:r>
              <w:rPr>
                <w:sz w:val="16"/>
                <w:szCs w:val="16"/>
              </w:rPr>
              <w:t>284</w:t>
            </w:r>
          </w:p>
        </w:tc>
        <w:tc>
          <w:tcPr>
            <w:tcW w:w="296" w:type="pct"/>
            <w:vAlign w:val="center"/>
          </w:tcPr>
          <w:p>
            <w:pPr>
              <w:autoSpaceDE w:val="0"/>
              <w:autoSpaceDN w:val="0"/>
              <w:adjustRightInd w:val="0"/>
              <w:jc w:val="center"/>
              <w:rPr>
                <w:b/>
                <w:sz w:val="16"/>
                <w:szCs w:val="16"/>
              </w:rPr>
            </w:pPr>
            <w:r>
              <w:rPr>
                <w:b/>
                <w:sz w:val="16"/>
                <w:szCs w:val="16"/>
              </w:rPr>
              <w:t>359</w:t>
            </w:r>
          </w:p>
        </w:tc>
        <w:tc>
          <w:tcPr>
            <w:tcW w:w="391" w:type="pct"/>
            <w:vAlign w:val="center"/>
          </w:tcPr>
          <w:p>
            <w:pPr>
              <w:autoSpaceDE w:val="0"/>
              <w:autoSpaceDN w:val="0"/>
              <w:adjustRightInd w:val="0"/>
              <w:jc w:val="center"/>
              <w:rPr>
                <w:sz w:val="16"/>
                <w:szCs w:val="16"/>
              </w:rPr>
            </w:pPr>
            <w:r>
              <w:rPr>
                <w:sz w:val="16"/>
                <w:szCs w:val="16"/>
              </w:rPr>
              <w:t>346</w:t>
            </w:r>
          </w:p>
        </w:tc>
        <w:tc>
          <w:tcPr>
            <w:tcW w:w="296" w:type="pct"/>
            <w:vAlign w:val="center"/>
          </w:tcPr>
          <w:p>
            <w:pPr>
              <w:autoSpaceDE w:val="0"/>
              <w:autoSpaceDN w:val="0"/>
              <w:adjustRightInd w:val="0"/>
              <w:jc w:val="center"/>
              <w:rPr>
                <w:b/>
                <w:sz w:val="16"/>
                <w:szCs w:val="16"/>
              </w:rPr>
            </w:pPr>
            <w:r>
              <w:rPr>
                <w:b/>
                <w:sz w:val="16"/>
                <w:szCs w:val="16"/>
              </w:rPr>
              <w:t>433</w:t>
            </w:r>
          </w:p>
        </w:tc>
        <w:tc>
          <w:tcPr>
            <w:tcW w:w="391" w:type="pct"/>
            <w:vAlign w:val="center"/>
          </w:tcPr>
          <w:p>
            <w:pPr>
              <w:autoSpaceDE w:val="0"/>
              <w:autoSpaceDN w:val="0"/>
              <w:adjustRightInd w:val="0"/>
              <w:jc w:val="center"/>
              <w:rPr>
                <w:sz w:val="16"/>
                <w:szCs w:val="16"/>
              </w:rPr>
            </w:pPr>
            <w:r>
              <w:rPr>
                <w:sz w:val="16"/>
                <w:szCs w:val="16"/>
              </w:rPr>
              <w:t>408</w:t>
            </w:r>
          </w:p>
        </w:tc>
        <w:tc>
          <w:tcPr>
            <w:tcW w:w="296" w:type="pct"/>
            <w:vAlign w:val="center"/>
          </w:tcPr>
          <w:p>
            <w:pPr>
              <w:autoSpaceDE w:val="0"/>
              <w:autoSpaceDN w:val="0"/>
              <w:adjustRightInd w:val="0"/>
              <w:jc w:val="center"/>
              <w:rPr>
                <w:b/>
                <w:sz w:val="16"/>
                <w:szCs w:val="16"/>
              </w:rPr>
            </w:pPr>
            <w:r>
              <w:rPr>
                <w:b/>
                <w:sz w:val="16"/>
                <w:szCs w:val="16"/>
              </w:rPr>
              <w:t>508</w:t>
            </w:r>
          </w:p>
        </w:tc>
        <w:tc>
          <w:tcPr>
            <w:tcW w:w="391" w:type="pct"/>
            <w:vAlign w:val="bottom"/>
          </w:tcPr>
          <w:p>
            <w:pPr>
              <w:jc w:val="center"/>
              <w:rPr>
                <w:rFonts w:eastAsia="Arial Unicode MS"/>
                <w:sz w:val="16"/>
                <w:szCs w:val="16"/>
              </w:rPr>
            </w:pPr>
            <w:r>
              <w:rPr>
                <w:sz w:val="16"/>
                <w:szCs w:val="16"/>
              </w:rPr>
              <w:t>470</w:t>
            </w:r>
          </w:p>
        </w:tc>
        <w:tc>
          <w:tcPr>
            <w:tcW w:w="429" w:type="pct"/>
          </w:tcPr>
          <w:p>
            <w:pPr>
              <w:autoSpaceDE w:val="0"/>
              <w:autoSpaceDN w:val="0"/>
              <w:adjustRightInd w:val="0"/>
              <w:jc w:val="center"/>
              <w:rPr>
                <w:b/>
                <w:sz w:val="16"/>
                <w:szCs w:val="16"/>
              </w:rPr>
            </w:pPr>
            <w:r>
              <w:rPr>
                <w:b/>
                <w:sz w:val="16"/>
                <w:szCs w:val="16"/>
              </w:rPr>
              <w:t>582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60 à 62</w:t>
            </w:r>
          </w:p>
        </w:tc>
        <w:tc>
          <w:tcPr>
            <w:tcW w:w="272" w:type="pct"/>
            <w:vAlign w:val="center"/>
          </w:tcPr>
          <w:p>
            <w:pPr>
              <w:autoSpaceDE w:val="0"/>
              <w:autoSpaceDN w:val="0"/>
              <w:adjustRightInd w:val="0"/>
              <w:jc w:val="center"/>
              <w:rPr>
                <w:b/>
                <w:sz w:val="16"/>
                <w:szCs w:val="16"/>
              </w:rPr>
            </w:pPr>
            <w:r>
              <w:rPr>
                <w:b/>
                <w:sz w:val="16"/>
                <w:szCs w:val="16"/>
              </w:rPr>
              <w:t>86</w:t>
            </w:r>
          </w:p>
        </w:tc>
        <w:tc>
          <w:tcPr>
            <w:tcW w:w="391" w:type="pct"/>
            <w:vAlign w:val="center"/>
          </w:tcPr>
          <w:p>
            <w:pPr>
              <w:autoSpaceDE w:val="0"/>
              <w:autoSpaceDN w:val="0"/>
              <w:adjustRightInd w:val="0"/>
              <w:jc w:val="center"/>
              <w:rPr>
                <w:sz w:val="16"/>
                <w:szCs w:val="16"/>
              </w:rPr>
            </w:pPr>
            <w:r>
              <w:rPr>
                <w:sz w:val="16"/>
                <w:szCs w:val="16"/>
              </w:rPr>
              <w:t>161</w:t>
            </w:r>
          </w:p>
        </w:tc>
        <w:tc>
          <w:tcPr>
            <w:tcW w:w="296" w:type="pct"/>
            <w:vAlign w:val="center"/>
          </w:tcPr>
          <w:p>
            <w:pPr>
              <w:autoSpaceDE w:val="0"/>
              <w:autoSpaceDN w:val="0"/>
              <w:adjustRightInd w:val="0"/>
              <w:jc w:val="center"/>
              <w:rPr>
                <w:b/>
                <w:sz w:val="16"/>
                <w:szCs w:val="16"/>
              </w:rPr>
            </w:pPr>
            <w:r>
              <w:rPr>
                <w:b/>
                <w:sz w:val="16"/>
                <w:szCs w:val="16"/>
              </w:rPr>
              <w:t>211</w:t>
            </w:r>
          </w:p>
        </w:tc>
        <w:tc>
          <w:tcPr>
            <w:tcW w:w="391" w:type="pct"/>
            <w:vAlign w:val="center"/>
          </w:tcPr>
          <w:p>
            <w:pPr>
              <w:autoSpaceDE w:val="0"/>
              <w:autoSpaceDN w:val="0"/>
              <w:adjustRightInd w:val="0"/>
              <w:jc w:val="center"/>
              <w:rPr>
                <w:sz w:val="16"/>
                <w:szCs w:val="16"/>
              </w:rPr>
            </w:pPr>
            <w:r>
              <w:rPr>
                <w:sz w:val="16"/>
                <w:szCs w:val="16"/>
              </w:rPr>
              <w:t>223</w:t>
            </w:r>
          </w:p>
        </w:tc>
        <w:tc>
          <w:tcPr>
            <w:tcW w:w="296" w:type="pct"/>
            <w:vAlign w:val="center"/>
          </w:tcPr>
          <w:p>
            <w:pPr>
              <w:autoSpaceDE w:val="0"/>
              <w:autoSpaceDN w:val="0"/>
              <w:adjustRightInd w:val="0"/>
              <w:jc w:val="center"/>
              <w:rPr>
                <w:b/>
                <w:sz w:val="16"/>
                <w:szCs w:val="16"/>
              </w:rPr>
            </w:pPr>
            <w:r>
              <w:rPr>
                <w:b/>
                <w:sz w:val="16"/>
                <w:szCs w:val="16"/>
              </w:rPr>
              <w:t>286</w:t>
            </w:r>
          </w:p>
        </w:tc>
        <w:tc>
          <w:tcPr>
            <w:tcW w:w="391" w:type="pct"/>
            <w:vAlign w:val="center"/>
          </w:tcPr>
          <w:p>
            <w:pPr>
              <w:autoSpaceDE w:val="0"/>
              <w:autoSpaceDN w:val="0"/>
              <w:adjustRightInd w:val="0"/>
              <w:jc w:val="center"/>
              <w:rPr>
                <w:sz w:val="16"/>
                <w:szCs w:val="16"/>
              </w:rPr>
            </w:pPr>
            <w:r>
              <w:rPr>
                <w:sz w:val="16"/>
                <w:szCs w:val="16"/>
              </w:rPr>
              <w:t>285</w:t>
            </w:r>
          </w:p>
        </w:tc>
        <w:tc>
          <w:tcPr>
            <w:tcW w:w="296" w:type="pct"/>
            <w:vAlign w:val="center"/>
          </w:tcPr>
          <w:p>
            <w:pPr>
              <w:autoSpaceDE w:val="0"/>
              <w:autoSpaceDN w:val="0"/>
              <w:adjustRightInd w:val="0"/>
              <w:jc w:val="center"/>
              <w:rPr>
                <w:b/>
                <w:sz w:val="16"/>
                <w:szCs w:val="16"/>
              </w:rPr>
            </w:pPr>
            <w:r>
              <w:rPr>
                <w:b/>
                <w:sz w:val="16"/>
                <w:szCs w:val="16"/>
              </w:rPr>
              <w:t>360</w:t>
            </w:r>
          </w:p>
        </w:tc>
        <w:tc>
          <w:tcPr>
            <w:tcW w:w="391" w:type="pct"/>
            <w:vAlign w:val="center"/>
          </w:tcPr>
          <w:p>
            <w:pPr>
              <w:autoSpaceDE w:val="0"/>
              <w:autoSpaceDN w:val="0"/>
              <w:adjustRightInd w:val="0"/>
              <w:jc w:val="center"/>
              <w:rPr>
                <w:sz w:val="16"/>
                <w:szCs w:val="16"/>
              </w:rPr>
            </w:pPr>
            <w:r>
              <w:rPr>
                <w:sz w:val="16"/>
                <w:szCs w:val="16"/>
              </w:rPr>
              <w:t>347</w:t>
            </w:r>
          </w:p>
        </w:tc>
        <w:tc>
          <w:tcPr>
            <w:tcW w:w="296" w:type="pct"/>
            <w:vAlign w:val="center"/>
          </w:tcPr>
          <w:p>
            <w:pPr>
              <w:autoSpaceDE w:val="0"/>
              <w:autoSpaceDN w:val="0"/>
              <w:adjustRightInd w:val="0"/>
              <w:jc w:val="center"/>
              <w:rPr>
                <w:b/>
                <w:sz w:val="16"/>
                <w:szCs w:val="16"/>
              </w:rPr>
            </w:pPr>
            <w:r>
              <w:rPr>
                <w:b/>
                <w:sz w:val="16"/>
                <w:szCs w:val="16"/>
              </w:rPr>
              <w:t>434</w:t>
            </w:r>
          </w:p>
        </w:tc>
        <w:tc>
          <w:tcPr>
            <w:tcW w:w="391" w:type="pct"/>
            <w:vAlign w:val="center"/>
          </w:tcPr>
          <w:p>
            <w:pPr>
              <w:autoSpaceDE w:val="0"/>
              <w:autoSpaceDN w:val="0"/>
              <w:adjustRightInd w:val="0"/>
              <w:jc w:val="center"/>
              <w:rPr>
                <w:sz w:val="16"/>
                <w:szCs w:val="16"/>
              </w:rPr>
            </w:pPr>
            <w:r>
              <w:rPr>
                <w:sz w:val="16"/>
                <w:szCs w:val="16"/>
              </w:rPr>
              <w:t>409</w:t>
            </w:r>
          </w:p>
        </w:tc>
        <w:tc>
          <w:tcPr>
            <w:tcW w:w="296" w:type="pct"/>
            <w:vAlign w:val="center"/>
          </w:tcPr>
          <w:p>
            <w:pPr>
              <w:autoSpaceDE w:val="0"/>
              <w:autoSpaceDN w:val="0"/>
              <w:adjustRightInd w:val="0"/>
              <w:jc w:val="center"/>
              <w:rPr>
                <w:b/>
                <w:sz w:val="16"/>
                <w:szCs w:val="16"/>
              </w:rPr>
            </w:pPr>
            <w:r>
              <w:rPr>
                <w:b/>
                <w:sz w:val="16"/>
                <w:szCs w:val="16"/>
              </w:rPr>
              <w:t>509</w:t>
            </w:r>
          </w:p>
        </w:tc>
        <w:tc>
          <w:tcPr>
            <w:tcW w:w="391" w:type="pct"/>
            <w:vAlign w:val="bottom"/>
          </w:tcPr>
          <w:p>
            <w:pPr>
              <w:jc w:val="center"/>
              <w:rPr>
                <w:rFonts w:eastAsia="Arial Unicode MS"/>
                <w:sz w:val="16"/>
                <w:szCs w:val="16"/>
              </w:rPr>
            </w:pPr>
            <w:r>
              <w:rPr>
                <w:sz w:val="16"/>
                <w:szCs w:val="16"/>
              </w:rPr>
              <w:t>471</w:t>
            </w:r>
          </w:p>
        </w:tc>
        <w:tc>
          <w:tcPr>
            <w:tcW w:w="429" w:type="pct"/>
          </w:tcPr>
          <w:p>
            <w:pPr>
              <w:autoSpaceDE w:val="0"/>
              <w:autoSpaceDN w:val="0"/>
              <w:adjustRightInd w:val="0"/>
              <w:jc w:val="center"/>
              <w:rPr>
                <w:b/>
                <w:sz w:val="16"/>
                <w:szCs w:val="16"/>
              </w:rPr>
            </w:pPr>
            <w:r>
              <w:rPr>
                <w:b/>
                <w:sz w:val="16"/>
                <w:szCs w:val="16"/>
              </w:rPr>
              <w:t>583</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63 à 65</w:t>
            </w:r>
          </w:p>
        </w:tc>
        <w:tc>
          <w:tcPr>
            <w:tcW w:w="272" w:type="pct"/>
            <w:vAlign w:val="center"/>
          </w:tcPr>
          <w:p>
            <w:pPr>
              <w:autoSpaceDE w:val="0"/>
              <w:autoSpaceDN w:val="0"/>
              <w:adjustRightInd w:val="0"/>
              <w:jc w:val="center"/>
              <w:rPr>
                <w:b/>
                <w:sz w:val="16"/>
                <w:szCs w:val="16"/>
              </w:rPr>
            </w:pPr>
            <w:r>
              <w:rPr>
                <w:b/>
                <w:sz w:val="16"/>
                <w:szCs w:val="16"/>
              </w:rPr>
              <w:t>88</w:t>
            </w:r>
          </w:p>
        </w:tc>
        <w:tc>
          <w:tcPr>
            <w:tcW w:w="391" w:type="pct"/>
            <w:vAlign w:val="center"/>
          </w:tcPr>
          <w:p>
            <w:pPr>
              <w:autoSpaceDE w:val="0"/>
              <w:autoSpaceDN w:val="0"/>
              <w:adjustRightInd w:val="0"/>
              <w:jc w:val="center"/>
              <w:rPr>
                <w:sz w:val="16"/>
                <w:szCs w:val="16"/>
              </w:rPr>
            </w:pPr>
            <w:r>
              <w:rPr>
                <w:sz w:val="16"/>
                <w:szCs w:val="16"/>
              </w:rPr>
              <w:t>162</w:t>
            </w:r>
          </w:p>
        </w:tc>
        <w:tc>
          <w:tcPr>
            <w:tcW w:w="296" w:type="pct"/>
            <w:vAlign w:val="center"/>
          </w:tcPr>
          <w:p>
            <w:pPr>
              <w:autoSpaceDE w:val="0"/>
              <w:autoSpaceDN w:val="0"/>
              <w:adjustRightInd w:val="0"/>
              <w:jc w:val="center"/>
              <w:rPr>
                <w:b/>
                <w:sz w:val="16"/>
                <w:szCs w:val="16"/>
              </w:rPr>
            </w:pPr>
            <w:r>
              <w:rPr>
                <w:b/>
                <w:sz w:val="16"/>
                <w:szCs w:val="16"/>
              </w:rPr>
              <w:t>212</w:t>
            </w:r>
          </w:p>
        </w:tc>
        <w:tc>
          <w:tcPr>
            <w:tcW w:w="391" w:type="pct"/>
            <w:vAlign w:val="center"/>
          </w:tcPr>
          <w:p>
            <w:pPr>
              <w:autoSpaceDE w:val="0"/>
              <w:autoSpaceDN w:val="0"/>
              <w:adjustRightInd w:val="0"/>
              <w:jc w:val="center"/>
              <w:rPr>
                <w:sz w:val="16"/>
                <w:szCs w:val="16"/>
              </w:rPr>
            </w:pPr>
            <w:r>
              <w:rPr>
                <w:sz w:val="16"/>
                <w:szCs w:val="16"/>
              </w:rPr>
              <w:t>224</w:t>
            </w:r>
          </w:p>
        </w:tc>
        <w:tc>
          <w:tcPr>
            <w:tcW w:w="296" w:type="pct"/>
            <w:vAlign w:val="center"/>
          </w:tcPr>
          <w:p>
            <w:pPr>
              <w:autoSpaceDE w:val="0"/>
              <w:autoSpaceDN w:val="0"/>
              <w:adjustRightInd w:val="0"/>
              <w:jc w:val="center"/>
              <w:rPr>
                <w:b/>
                <w:sz w:val="16"/>
                <w:szCs w:val="16"/>
              </w:rPr>
            </w:pPr>
            <w:r>
              <w:rPr>
                <w:b/>
                <w:sz w:val="16"/>
                <w:szCs w:val="16"/>
              </w:rPr>
              <w:t>287</w:t>
            </w:r>
          </w:p>
        </w:tc>
        <w:tc>
          <w:tcPr>
            <w:tcW w:w="391" w:type="pct"/>
            <w:vAlign w:val="center"/>
          </w:tcPr>
          <w:p>
            <w:pPr>
              <w:autoSpaceDE w:val="0"/>
              <w:autoSpaceDN w:val="0"/>
              <w:adjustRightInd w:val="0"/>
              <w:jc w:val="center"/>
              <w:rPr>
                <w:sz w:val="16"/>
                <w:szCs w:val="16"/>
              </w:rPr>
            </w:pPr>
            <w:r>
              <w:rPr>
                <w:sz w:val="16"/>
                <w:szCs w:val="16"/>
              </w:rPr>
              <w:t>286</w:t>
            </w:r>
          </w:p>
        </w:tc>
        <w:tc>
          <w:tcPr>
            <w:tcW w:w="296" w:type="pct"/>
            <w:vAlign w:val="center"/>
          </w:tcPr>
          <w:p>
            <w:pPr>
              <w:autoSpaceDE w:val="0"/>
              <w:autoSpaceDN w:val="0"/>
              <w:adjustRightInd w:val="0"/>
              <w:jc w:val="center"/>
              <w:rPr>
                <w:b/>
                <w:sz w:val="16"/>
                <w:szCs w:val="16"/>
              </w:rPr>
            </w:pPr>
            <w:r>
              <w:rPr>
                <w:b/>
                <w:sz w:val="16"/>
                <w:szCs w:val="16"/>
              </w:rPr>
              <w:t>361</w:t>
            </w:r>
          </w:p>
        </w:tc>
        <w:tc>
          <w:tcPr>
            <w:tcW w:w="391" w:type="pct"/>
            <w:vAlign w:val="center"/>
          </w:tcPr>
          <w:p>
            <w:pPr>
              <w:autoSpaceDE w:val="0"/>
              <w:autoSpaceDN w:val="0"/>
              <w:adjustRightInd w:val="0"/>
              <w:jc w:val="center"/>
              <w:rPr>
                <w:sz w:val="16"/>
                <w:szCs w:val="16"/>
              </w:rPr>
            </w:pPr>
            <w:r>
              <w:rPr>
                <w:sz w:val="16"/>
                <w:szCs w:val="16"/>
              </w:rPr>
              <w:t>348</w:t>
            </w:r>
          </w:p>
        </w:tc>
        <w:tc>
          <w:tcPr>
            <w:tcW w:w="296" w:type="pct"/>
            <w:vAlign w:val="center"/>
          </w:tcPr>
          <w:p>
            <w:pPr>
              <w:autoSpaceDE w:val="0"/>
              <w:autoSpaceDN w:val="0"/>
              <w:adjustRightInd w:val="0"/>
              <w:jc w:val="center"/>
              <w:rPr>
                <w:b/>
                <w:sz w:val="16"/>
                <w:szCs w:val="16"/>
              </w:rPr>
            </w:pPr>
            <w:r>
              <w:rPr>
                <w:b/>
                <w:sz w:val="16"/>
                <w:szCs w:val="16"/>
              </w:rPr>
              <w:t>436</w:t>
            </w:r>
          </w:p>
        </w:tc>
        <w:tc>
          <w:tcPr>
            <w:tcW w:w="391" w:type="pct"/>
            <w:vAlign w:val="center"/>
          </w:tcPr>
          <w:p>
            <w:pPr>
              <w:autoSpaceDE w:val="0"/>
              <w:autoSpaceDN w:val="0"/>
              <w:adjustRightInd w:val="0"/>
              <w:jc w:val="center"/>
              <w:rPr>
                <w:sz w:val="16"/>
                <w:szCs w:val="16"/>
              </w:rPr>
            </w:pPr>
            <w:r>
              <w:rPr>
                <w:sz w:val="16"/>
                <w:szCs w:val="16"/>
              </w:rPr>
              <w:t>410</w:t>
            </w:r>
          </w:p>
        </w:tc>
        <w:tc>
          <w:tcPr>
            <w:tcW w:w="296" w:type="pct"/>
            <w:vAlign w:val="center"/>
          </w:tcPr>
          <w:p>
            <w:pPr>
              <w:autoSpaceDE w:val="0"/>
              <w:autoSpaceDN w:val="0"/>
              <w:adjustRightInd w:val="0"/>
              <w:jc w:val="center"/>
              <w:rPr>
                <w:b/>
                <w:sz w:val="16"/>
                <w:szCs w:val="16"/>
              </w:rPr>
            </w:pPr>
            <w:r>
              <w:rPr>
                <w:b/>
                <w:sz w:val="16"/>
                <w:szCs w:val="16"/>
              </w:rPr>
              <w:t>510</w:t>
            </w:r>
          </w:p>
        </w:tc>
        <w:tc>
          <w:tcPr>
            <w:tcW w:w="391" w:type="pct"/>
            <w:vAlign w:val="bottom"/>
          </w:tcPr>
          <w:p>
            <w:pPr>
              <w:jc w:val="center"/>
              <w:rPr>
                <w:rFonts w:eastAsia="Arial Unicode MS"/>
                <w:sz w:val="16"/>
                <w:szCs w:val="16"/>
              </w:rPr>
            </w:pPr>
            <w:r>
              <w:rPr>
                <w:sz w:val="16"/>
                <w:szCs w:val="16"/>
              </w:rPr>
              <w:t>472</w:t>
            </w:r>
          </w:p>
        </w:tc>
        <w:tc>
          <w:tcPr>
            <w:tcW w:w="429" w:type="pct"/>
          </w:tcPr>
          <w:p>
            <w:pPr>
              <w:autoSpaceDE w:val="0"/>
              <w:autoSpaceDN w:val="0"/>
              <w:adjustRightInd w:val="0"/>
              <w:jc w:val="center"/>
              <w:rPr>
                <w:b/>
                <w:sz w:val="16"/>
                <w:szCs w:val="16"/>
              </w:rPr>
            </w:pPr>
            <w:r>
              <w:rPr>
                <w:b/>
                <w:sz w:val="16"/>
                <w:szCs w:val="16"/>
              </w:rPr>
              <w:t>584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66 à 68</w:t>
            </w:r>
          </w:p>
        </w:tc>
        <w:tc>
          <w:tcPr>
            <w:tcW w:w="272" w:type="pct"/>
            <w:vAlign w:val="center"/>
          </w:tcPr>
          <w:p>
            <w:pPr>
              <w:autoSpaceDE w:val="0"/>
              <w:autoSpaceDN w:val="0"/>
              <w:adjustRightInd w:val="0"/>
              <w:jc w:val="center"/>
              <w:rPr>
                <w:b/>
                <w:sz w:val="16"/>
                <w:szCs w:val="16"/>
              </w:rPr>
            </w:pPr>
            <w:r>
              <w:rPr>
                <w:b/>
                <w:sz w:val="16"/>
                <w:szCs w:val="16"/>
              </w:rPr>
              <w:t>90</w:t>
            </w:r>
          </w:p>
        </w:tc>
        <w:tc>
          <w:tcPr>
            <w:tcW w:w="391" w:type="pct"/>
            <w:vAlign w:val="center"/>
          </w:tcPr>
          <w:p>
            <w:pPr>
              <w:autoSpaceDE w:val="0"/>
              <w:autoSpaceDN w:val="0"/>
              <w:adjustRightInd w:val="0"/>
              <w:jc w:val="center"/>
              <w:rPr>
                <w:sz w:val="16"/>
                <w:szCs w:val="16"/>
              </w:rPr>
            </w:pPr>
            <w:r>
              <w:rPr>
                <w:sz w:val="16"/>
                <w:szCs w:val="16"/>
              </w:rPr>
              <w:t>163</w:t>
            </w:r>
          </w:p>
        </w:tc>
        <w:tc>
          <w:tcPr>
            <w:tcW w:w="296" w:type="pct"/>
            <w:vAlign w:val="center"/>
          </w:tcPr>
          <w:p>
            <w:pPr>
              <w:autoSpaceDE w:val="0"/>
              <w:autoSpaceDN w:val="0"/>
              <w:adjustRightInd w:val="0"/>
              <w:jc w:val="center"/>
              <w:rPr>
                <w:b/>
                <w:sz w:val="16"/>
                <w:szCs w:val="16"/>
              </w:rPr>
            </w:pPr>
            <w:r>
              <w:rPr>
                <w:b/>
                <w:sz w:val="16"/>
                <w:szCs w:val="16"/>
              </w:rPr>
              <w:t>214</w:t>
            </w:r>
          </w:p>
        </w:tc>
        <w:tc>
          <w:tcPr>
            <w:tcW w:w="391" w:type="pct"/>
            <w:vAlign w:val="center"/>
          </w:tcPr>
          <w:p>
            <w:pPr>
              <w:autoSpaceDE w:val="0"/>
              <w:autoSpaceDN w:val="0"/>
              <w:adjustRightInd w:val="0"/>
              <w:jc w:val="center"/>
              <w:rPr>
                <w:sz w:val="16"/>
                <w:szCs w:val="16"/>
              </w:rPr>
            </w:pPr>
            <w:r>
              <w:rPr>
                <w:sz w:val="16"/>
                <w:szCs w:val="16"/>
              </w:rPr>
              <w:t>225</w:t>
            </w:r>
          </w:p>
        </w:tc>
        <w:tc>
          <w:tcPr>
            <w:tcW w:w="296" w:type="pct"/>
            <w:vAlign w:val="center"/>
          </w:tcPr>
          <w:p>
            <w:pPr>
              <w:autoSpaceDE w:val="0"/>
              <w:autoSpaceDN w:val="0"/>
              <w:adjustRightInd w:val="0"/>
              <w:jc w:val="center"/>
              <w:rPr>
                <w:b/>
                <w:sz w:val="16"/>
                <w:szCs w:val="16"/>
              </w:rPr>
            </w:pPr>
            <w:r>
              <w:rPr>
                <w:b/>
                <w:sz w:val="16"/>
                <w:szCs w:val="16"/>
              </w:rPr>
              <w:t>288</w:t>
            </w:r>
          </w:p>
        </w:tc>
        <w:tc>
          <w:tcPr>
            <w:tcW w:w="391" w:type="pct"/>
            <w:vAlign w:val="center"/>
          </w:tcPr>
          <w:p>
            <w:pPr>
              <w:autoSpaceDE w:val="0"/>
              <w:autoSpaceDN w:val="0"/>
              <w:adjustRightInd w:val="0"/>
              <w:jc w:val="center"/>
              <w:rPr>
                <w:sz w:val="16"/>
                <w:szCs w:val="16"/>
              </w:rPr>
            </w:pPr>
            <w:r>
              <w:rPr>
                <w:sz w:val="16"/>
                <w:szCs w:val="16"/>
              </w:rPr>
              <w:t>287</w:t>
            </w:r>
          </w:p>
        </w:tc>
        <w:tc>
          <w:tcPr>
            <w:tcW w:w="296" w:type="pct"/>
            <w:vAlign w:val="center"/>
          </w:tcPr>
          <w:p>
            <w:pPr>
              <w:autoSpaceDE w:val="0"/>
              <w:autoSpaceDN w:val="0"/>
              <w:adjustRightInd w:val="0"/>
              <w:jc w:val="center"/>
              <w:rPr>
                <w:b/>
                <w:sz w:val="16"/>
                <w:szCs w:val="16"/>
              </w:rPr>
            </w:pPr>
            <w:r>
              <w:rPr>
                <w:b/>
                <w:sz w:val="16"/>
                <w:szCs w:val="16"/>
              </w:rPr>
              <w:t>362</w:t>
            </w:r>
          </w:p>
        </w:tc>
        <w:tc>
          <w:tcPr>
            <w:tcW w:w="391" w:type="pct"/>
            <w:vAlign w:val="center"/>
          </w:tcPr>
          <w:p>
            <w:pPr>
              <w:autoSpaceDE w:val="0"/>
              <w:autoSpaceDN w:val="0"/>
              <w:adjustRightInd w:val="0"/>
              <w:jc w:val="center"/>
              <w:rPr>
                <w:sz w:val="16"/>
                <w:szCs w:val="16"/>
              </w:rPr>
            </w:pPr>
            <w:r>
              <w:rPr>
                <w:sz w:val="16"/>
                <w:szCs w:val="16"/>
              </w:rPr>
              <w:t>349</w:t>
            </w:r>
          </w:p>
        </w:tc>
        <w:tc>
          <w:tcPr>
            <w:tcW w:w="296" w:type="pct"/>
            <w:vAlign w:val="center"/>
          </w:tcPr>
          <w:p>
            <w:pPr>
              <w:autoSpaceDE w:val="0"/>
              <w:autoSpaceDN w:val="0"/>
              <w:adjustRightInd w:val="0"/>
              <w:jc w:val="center"/>
              <w:rPr>
                <w:b/>
                <w:sz w:val="16"/>
                <w:szCs w:val="16"/>
              </w:rPr>
            </w:pPr>
            <w:r>
              <w:rPr>
                <w:b/>
                <w:sz w:val="16"/>
                <w:szCs w:val="16"/>
              </w:rPr>
              <w:t>437</w:t>
            </w:r>
          </w:p>
        </w:tc>
        <w:tc>
          <w:tcPr>
            <w:tcW w:w="391" w:type="pct"/>
            <w:vAlign w:val="center"/>
          </w:tcPr>
          <w:p>
            <w:pPr>
              <w:autoSpaceDE w:val="0"/>
              <w:autoSpaceDN w:val="0"/>
              <w:adjustRightInd w:val="0"/>
              <w:jc w:val="center"/>
              <w:rPr>
                <w:sz w:val="16"/>
                <w:szCs w:val="16"/>
              </w:rPr>
            </w:pPr>
            <w:r>
              <w:rPr>
                <w:sz w:val="16"/>
                <w:szCs w:val="16"/>
              </w:rPr>
              <w:t>411</w:t>
            </w:r>
          </w:p>
        </w:tc>
        <w:tc>
          <w:tcPr>
            <w:tcW w:w="296" w:type="pct"/>
            <w:vAlign w:val="center"/>
          </w:tcPr>
          <w:p>
            <w:pPr>
              <w:autoSpaceDE w:val="0"/>
              <w:autoSpaceDN w:val="0"/>
              <w:adjustRightInd w:val="0"/>
              <w:jc w:val="center"/>
              <w:rPr>
                <w:b/>
                <w:sz w:val="16"/>
                <w:szCs w:val="16"/>
              </w:rPr>
            </w:pPr>
            <w:r>
              <w:rPr>
                <w:b/>
                <w:sz w:val="16"/>
                <w:szCs w:val="16"/>
              </w:rPr>
              <w:t>511</w:t>
            </w:r>
          </w:p>
        </w:tc>
        <w:tc>
          <w:tcPr>
            <w:tcW w:w="391" w:type="pct"/>
            <w:vAlign w:val="bottom"/>
          </w:tcPr>
          <w:p>
            <w:pPr>
              <w:jc w:val="center"/>
              <w:rPr>
                <w:rFonts w:eastAsia="Arial Unicode MS"/>
                <w:sz w:val="16"/>
                <w:szCs w:val="16"/>
              </w:rPr>
            </w:pPr>
            <w:r>
              <w:rPr>
                <w:sz w:val="16"/>
                <w:szCs w:val="16"/>
              </w:rPr>
              <w:t>473</w:t>
            </w:r>
          </w:p>
        </w:tc>
        <w:tc>
          <w:tcPr>
            <w:tcW w:w="429" w:type="pct"/>
          </w:tcPr>
          <w:p>
            <w:pPr>
              <w:autoSpaceDE w:val="0"/>
              <w:autoSpaceDN w:val="0"/>
              <w:adjustRightInd w:val="0"/>
              <w:jc w:val="center"/>
              <w:rPr>
                <w:b/>
                <w:sz w:val="16"/>
                <w:szCs w:val="16"/>
              </w:rPr>
            </w:pPr>
            <w:r>
              <w:rPr>
                <w:b/>
                <w:sz w:val="16"/>
                <w:szCs w:val="16"/>
              </w:rPr>
              <w:t>586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69 à 71</w:t>
            </w:r>
          </w:p>
        </w:tc>
        <w:tc>
          <w:tcPr>
            <w:tcW w:w="272" w:type="pct"/>
            <w:vAlign w:val="center"/>
          </w:tcPr>
          <w:p>
            <w:pPr>
              <w:autoSpaceDE w:val="0"/>
              <w:autoSpaceDN w:val="0"/>
              <w:adjustRightInd w:val="0"/>
              <w:jc w:val="center"/>
              <w:rPr>
                <w:b/>
                <w:sz w:val="16"/>
                <w:szCs w:val="16"/>
              </w:rPr>
            </w:pPr>
            <w:r>
              <w:rPr>
                <w:b/>
                <w:sz w:val="16"/>
                <w:szCs w:val="16"/>
              </w:rPr>
              <w:t>92</w:t>
            </w:r>
          </w:p>
        </w:tc>
        <w:tc>
          <w:tcPr>
            <w:tcW w:w="391" w:type="pct"/>
            <w:vAlign w:val="center"/>
          </w:tcPr>
          <w:p>
            <w:pPr>
              <w:autoSpaceDE w:val="0"/>
              <w:autoSpaceDN w:val="0"/>
              <w:adjustRightInd w:val="0"/>
              <w:jc w:val="center"/>
              <w:rPr>
                <w:sz w:val="16"/>
                <w:szCs w:val="16"/>
              </w:rPr>
            </w:pPr>
            <w:r>
              <w:rPr>
                <w:sz w:val="16"/>
                <w:szCs w:val="16"/>
              </w:rPr>
              <w:t>164</w:t>
            </w:r>
          </w:p>
        </w:tc>
        <w:tc>
          <w:tcPr>
            <w:tcW w:w="296" w:type="pct"/>
            <w:vAlign w:val="center"/>
          </w:tcPr>
          <w:p>
            <w:pPr>
              <w:autoSpaceDE w:val="0"/>
              <w:autoSpaceDN w:val="0"/>
              <w:adjustRightInd w:val="0"/>
              <w:jc w:val="center"/>
              <w:rPr>
                <w:b/>
                <w:sz w:val="16"/>
                <w:szCs w:val="16"/>
              </w:rPr>
            </w:pPr>
            <w:r>
              <w:rPr>
                <w:b/>
                <w:sz w:val="16"/>
                <w:szCs w:val="16"/>
              </w:rPr>
              <w:t>215</w:t>
            </w:r>
          </w:p>
        </w:tc>
        <w:tc>
          <w:tcPr>
            <w:tcW w:w="391" w:type="pct"/>
            <w:vAlign w:val="center"/>
          </w:tcPr>
          <w:p>
            <w:pPr>
              <w:autoSpaceDE w:val="0"/>
              <w:autoSpaceDN w:val="0"/>
              <w:adjustRightInd w:val="0"/>
              <w:jc w:val="center"/>
              <w:rPr>
                <w:sz w:val="16"/>
                <w:szCs w:val="16"/>
              </w:rPr>
            </w:pPr>
            <w:r>
              <w:rPr>
                <w:sz w:val="16"/>
                <w:szCs w:val="16"/>
              </w:rPr>
              <w:t>226</w:t>
            </w:r>
          </w:p>
        </w:tc>
        <w:tc>
          <w:tcPr>
            <w:tcW w:w="296" w:type="pct"/>
            <w:vAlign w:val="center"/>
          </w:tcPr>
          <w:p>
            <w:pPr>
              <w:autoSpaceDE w:val="0"/>
              <w:autoSpaceDN w:val="0"/>
              <w:adjustRightInd w:val="0"/>
              <w:jc w:val="center"/>
              <w:rPr>
                <w:b/>
                <w:sz w:val="16"/>
                <w:szCs w:val="16"/>
              </w:rPr>
            </w:pPr>
            <w:r>
              <w:rPr>
                <w:b/>
                <w:sz w:val="16"/>
                <w:szCs w:val="16"/>
              </w:rPr>
              <w:t>289</w:t>
            </w:r>
          </w:p>
        </w:tc>
        <w:tc>
          <w:tcPr>
            <w:tcW w:w="391" w:type="pct"/>
            <w:vAlign w:val="center"/>
          </w:tcPr>
          <w:p>
            <w:pPr>
              <w:autoSpaceDE w:val="0"/>
              <w:autoSpaceDN w:val="0"/>
              <w:adjustRightInd w:val="0"/>
              <w:jc w:val="center"/>
              <w:rPr>
                <w:sz w:val="16"/>
                <w:szCs w:val="16"/>
              </w:rPr>
            </w:pPr>
            <w:r>
              <w:rPr>
                <w:sz w:val="16"/>
                <w:szCs w:val="16"/>
              </w:rPr>
              <w:t>288</w:t>
            </w:r>
          </w:p>
        </w:tc>
        <w:tc>
          <w:tcPr>
            <w:tcW w:w="296" w:type="pct"/>
            <w:vAlign w:val="center"/>
          </w:tcPr>
          <w:p>
            <w:pPr>
              <w:autoSpaceDE w:val="0"/>
              <w:autoSpaceDN w:val="0"/>
              <w:adjustRightInd w:val="0"/>
              <w:jc w:val="center"/>
              <w:rPr>
                <w:b/>
                <w:sz w:val="16"/>
                <w:szCs w:val="16"/>
              </w:rPr>
            </w:pPr>
            <w:r>
              <w:rPr>
                <w:b/>
                <w:sz w:val="16"/>
                <w:szCs w:val="16"/>
              </w:rPr>
              <w:t>364</w:t>
            </w:r>
          </w:p>
        </w:tc>
        <w:tc>
          <w:tcPr>
            <w:tcW w:w="391" w:type="pct"/>
            <w:vAlign w:val="center"/>
          </w:tcPr>
          <w:p>
            <w:pPr>
              <w:autoSpaceDE w:val="0"/>
              <w:autoSpaceDN w:val="0"/>
              <w:adjustRightInd w:val="0"/>
              <w:jc w:val="center"/>
              <w:rPr>
                <w:sz w:val="16"/>
                <w:szCs w:val="16"/>
              </w:rPr>
            </w:pPr>
            <w:r>
              <w:rPr>
                <w:sz w:val="16"/>
                <w:szCs w:val="16"/>
              </w:rPr>
              <w:t>350</w:t>
            </w:r>
          </w:p>
        </w:tc>
        <w:tc>
          <w:tcPr>
            <w:tcW w:w="296" w:type="pct"/>
            <w:vAlign w:val="center"/>
          </w:tcPr>
          <w:p>
            <w:pPr>
              <w:autoSpaceDE w:val="0"/>
              <w:autoSpaceDN w:val="0"/>
              <w:adjustRightInd w:val="0"/>
              <w:jc w:val="center"/>
              <w:rPr>
                <w:b/>
                <w:sz w:val="16"/>
                <w:szCs w:val="16"/>
              </w:rPr>
            </w:pPr>
            <w:r>
              <w:rPr>
                <w:b/>
                <w:sz w:val="16"/>
                <w:szCs w:val="16"/>
              </w:rPr>
              <w:t>438</w:t>
            </w:r>
          </w:p>
        </w:tc>
        <w:tc>
          <w:tcPr>
            <w:tcW w:w="391" w:type="pct"/>
            <w:vAlign w:val="center"/>
          </w:tcPr>
          <w:p>
            <w:pPr>
              <w:autoSpaceDE w:val="0"/>
              <w:autoSpaceDN w:val="0"/>
              <w:adjustRightInd w:val="0"/>
              <w:jc w:val="center"/>
              <w:rPr>
                <w:sz w:val="16"/>
                <w:szCs w:val="16"/>
              </w:rPr>
            </w:pPr>
            <w:r>
              <w:rPr>
                <w:sz w:val="16"/>
                <w:szCs w:val="16"/>
              </w:rPr>
              <w:t>412</w:t>
            </w:r>
          </w:p>
        </w:tc>
        <w:tc>
          <w:tcPr>
            <w:tcW w:w="296" w:type="pct"/>
            <w:vAlign w:val="center"/>
          </w:tcPr>
          <w:p>
            <w:pPr>
              <w:autoSpaceDE w:val="0"/>
              <w:autoSpaceDN w:val="0"/>
              <w:adjustRightInd w:val="0"/>
              <w:jc w:val="center"/>
              <w:rPr>
                <w:b/>
                <w:sz w:val="16"/>
                <w:szCs w:val="16"/>
              </w:rPr>
            </w:pPr>
            <w:r>
              <w:rPr>
                <w:b/>
                <w:sz w:val="16"/>
                <w:szCs w:val="16"/>
              </w:rPr>
              <w:t>512</w:t>
            </w:r>
          </w:p>
        </w:tc>
        <w:tc>
          <w:tcPr>
            <w:tcW w:w="391" w:type="pct"/>
            <w:vAlign w:val="bottom"/>
          </w:tcPr>
          <w:p>
            <w:pPr>
              <w:jc w:val="center"/>
              <w:rPr>
                <w:rFonts w:eastAsia="Arial Unicode MS"/>
                <w:sz w:val="16"/>
                <w:szCs w:val="16"/>
              </w:rPr>
            </w:pPr>
            <w:r>
              <w:rPr>
                <w:sz w:val="16"/>
                <w:szCs w:val="16"/>
              </w:rPr>
              <w:t>474</w:t>
            </w:r>
          </w:p>
        </w:tc>
        <w:tc>
          <w:tcPr>
            <w:tcW w:w="429" w:type="pct"/>
          </w:tcPr>
          <w:p>
            <w:pPr>
              <w:autoSpaceDE w:val="0"/>
              <w:autoSpaceDN w:val="0"/>
              <w:adjustRightInd w:val="0"/>
              <w:jc w:val="center"/>
              <w:rPr>
                <w:b/>
                <w:sz w:val="16"/>
                <w:szCs w:val="16"/>
              </w:rPr>
            </w:pPr>
            <w:r>
              <w:rPr>
                <w:b/>
                <w:sz w:val="16"/>
                <w:szCs w:val="16"/>
              </w:rPr>
              <w:t>587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72 à 77</w:t>
            </w:r>
          </w:p>
        </w:tc>
        <w:tc>
          <w:tcPr>
            <w:tcW w:w="272" w:type="pct"/>
            <w:vAlign w:val="center"/>
          </w:tcPr>
          <w:p>
            <w:pPr>
              <w:autoSpaceDE w:val="0"/>
              <w:autoSpaceDN w:val="0"/>
              <w:adjustRightInd w:val="0"/>
              <w:jc w:val="center"/>
              <w:rPr>
                <w:b/>
                <w:sz w:val="16"/>
                <w:szCs w:val="16"/>
              </w:rPr>
            </w:pPr>
            <w:r>
              <w:rPr>
                <w:b/>
                <w:sz w:val="16"/>
                <w:szCs w:val="16"/>
              </w:rPr>
              <w:t>104</w:t>
            </w:r>
          </w:p>
        </w:tc>
        <w:tc>
          <w:tcPr>
            <w:tcW w:w="391" w:type="pct"/>
            <w:vAlign w:val="center"/>
          </w:tcPr>
          <w:p>
            <w:pPr>
              <w:autoSpaceDE w:val="0"/>
              <w:autoSpaceDN w:val="0"/>
              <w:adjustRightInd w:val="0"/>
              <w:jc w:val="center"/>
              <w:rPr>
                <w:sz w:val="16"/>
                <w:szCs w:val="16"/>
              </w:rPr>
            </w:pPr>
            <w:r>
              <w:rPr>
                <w:sz w:val="16"/>
                <w:szCs w:val="16"/>
              </w:rPr>
              <w:t>165</w:t>
            </w:r>
          </w:p>
        </w:tc>
        <w:tc>
          <w:tcPr>
            <w:tcW w:w="296" w:type="pct"/>
            <w:vAlign w:val="center"/>
          </w:tcPr>
          <w:p>
            <w:pPr>
              <w:autoSpaceDE w:val="0"/>
              <w:autoSpaceDN w:val="0"/>
              <w:adjustRightInd w:val="0"/>
              <w:jc w:val="center"/>
              <w:rPr>
                <w:b/>
                <w:sz w:val="16"/>
                <w:szCs w:val="16"/>
              </w:rPr>
            </w:pPr>
            <w:r>
              <w:rPr>
                <w:b/>
                <w:sz w:val="16"/>
                <w:szCs w:val="16"/>
              </w:rPr>
              <w:t>216</w:t>
            </w:r>
          </w:p>
        </w:tc>
        <w:tc>
          <w:tcPr>
            <w:tcW w:w="391" w:type="pct"/>
            <w:vAlign w:val="center"/>
          </w:tcPr>
          <w:p>
            <w:pPr>
              <w:autoSpaceDE w:val="0"/>
              <w:autoSpaceDN w:val="0"/>
              <w:adjustRightInd w:val="0"/>
              <w:jc w:val="center"/>
              <w:rPr>
                <w:sz w:val="16"/>
                <w:szCs w:val="16"/>
              </w:rPr>
            </w:pPr>
            <w:r>
              <w:rPr>
                <w:sz w:val="16"/>
                <w:szCs w:val="16"/>
              </w:rPr>
              <w:t>227</w:t>
            </w:r>
          </w:p>
        </w:tc>
        <w:tc>
          <w:tcPr>
            <w:tcW w:w="296" w:type="pct"/>
            <w:vAlign w:val="center"/>
          </w:tcPr>
          <w:p>
            <w:pPr>
              <w:autoSpaceDE w:val="0"/>
              <w:autoSpaceDN w:val="0"/>
              <w:adjustRightInd w:val="0"/>
              <w:jc w:val="center"/>
              <w:rPr>
                <w:b/>
                <w:sz w:val="16"/>
                <w:szCs w:val="16"/>
              </w:rPr>
            </w:pPr>
            <w:r>
              <w:rPr>
                <w:b/>
                <w:sz w:val="16"/>
                <w:szCs w:val="16"/>
              </w:rPr>
              <w:t>290</w:t>
            </w:r>
          </w:p>
        </w:tc>
        <w:tc>
          <w:tcPr>
            <w:tcW w:w="391" w:type="pct"/>
            <w:vAlign w:val="center"/>
          </w:tcPr>
          <w:p>
            <w:pPr>
              <w:autoSpaceDE w:val="0"/>
              <w:autoSpaceDN w:val="0"/>
              <w:adjustRightInd w:val="0"/>
              <w:jc w:val="center"/>
              <w:rPr>
                <w:sz w:val="16"/>
                <w:szCs w:val="16"/>
              </w:rPr>
            </w:pPr>
            <w:r>
              <w:rPr>
                <w:sz w:val="16"/>
                <w:szCs w:val="16"/>
              </w:rPr>
              <w:t>289</w:t>
            </w:r>
          </w:p>
        </w:tc>
        <w:tc>
          <w:tcPr>
            <w:tcW w:w="296" w:type="pct"/>
            <w:vAlign w:val="center"/>
          </w:tcPr>
          <w:p>
            <w:pPr>
              <w:autoSpaceDE w:val="0"/>
              <w:autoSpaceDN w:val="0"/>
              <w:adjustRightInd w:val="0"/>
              <w:jc w:val="center"/>
              <w:rPr>
                <w:b/>
                <w:sz w:val="16"/>
                <w:szCs w:val="16"/>
              </w:rPr>
            </w:pPr>
            <w:r>
              <w:rPr>
                <w:b/>
                <w:sz w:val="16"/>
                <w:szCs w:val="16"/>
              </w:rPr>
              <w:t>365</w:t>
            </w:r>
          </w:p>
        </w:tc>
        <w:tc>
          <w:tcPr>
            <w:tcW w:w="391" w:type="pct"/>
            <w:vAlign w:val="center"/>
          </w:tcPr>
          <w:p>
            <w:pPr>
              <w:autoSpaceDE w:val="0"/>
              <w:autoSpaceDN w:val="0"/>
              <w:adjustRightInd w:val="0"/>
              <w:jc w:val="center"/>
              <w:rPr>
                <w:sz w:val="16"/>
                <w:szCs w:val="16"/>
              </w:rPr>
            </w:pPr>
            <w:r>
              <w:rPr>
                <w:sz w:val="16"/>
                <w:szCs w:val="16"/>
              </w:rPr>
              <w:t>351</w:t>
            </w:r>
          </w:p>
        </w:tc>
        <w:tc>
          <w:tcPr>
            <w:tcW w:w="296" w:type="pct"/>
            <w:vAlign w:val="center"/>
          </w:tcPr>
          <w:p>
            <w:pPr>
              <w:autoSpaceDE w:val="0"/>
              <w:autoSpaceDN w:val="0"/>
              <w:adjustRightInd w:val="0"/>
              <w:jc w:val="center"/>
              <w:rPr>
                <w:b/>
                <w:sz w:val="16"/>
                <w:szCs w:val="16"/>
              </w:rPr>
            </w:pPr>
            <w:r>
              <w:rPr>
                <w:b/>
                <w:sz w:val="16"/>
                <w:szCs w:val="16"/>
              </w:rPr>
              <w:t>439</w:t>
            </w:r>
          </w:p>
        </w:tc>
        <w:tc>
          <w:tcPr>
            <w:tcW w:w="391" w:type="pct"/>
            <w:vAlign w:val="center"/>
          </w:tcPr>
          <w:p>
            <w:pPr>
              <w:autoSpaceDE w:val="0"/>
              <w:autoSpaceDN w:val="0"/>
              <w:adjustRightInd w:val="0"/>
              <w:jc w:val="center"/>
              <w:rPr>
                <w:sz w:val="16"/>
                <w:szCs w:val="16"/>
              </w:rPr>
            </w:pPr>
            <w:r>
              <w:rPr>
                <w:sz w:val="16"/>
                <w:szCs w:val="16"/>
              </w:rPr>
              <w:t>413</w:t>
            </w:r>
          </w:p>
        </w:tc>
        <w:tc>
          <w:tcPr>
            <w:tcW w:w="296" w:type="pct"/>
            <w:vAlign w:val="center"/>
          </w:tcPr>
          <w:p>
            <w:pPr>
              <w:autoSpaceDE w:val="0"/>
              <w:autoSpaceDN w:val="0"/>
              <w:adjustRightInd w:val="0"/>
              <w:jc w:val="center"/>
              <w:rPr>
                <w:b/>
                <w:sz w:val="16"/>
                <w:szCs w:val="16"/>
              </w:rPr>
            </w:pPr>
            <w:r>
              <w:rPr>
                <w:b/>
                <w:sz w:val="16"/>
                <w:szCs w:val="16"/>
              </w:rPr>
              <w:t>514</w:t>
            </w:r>
          </w:p>
        </w:tc>
        <w:tc>
          <w:tcPr>
            <w:tcW w:w="391" w:type="pct"/>
            <w:vAlign w:val="bottom"/>
          </w:tcPr>
          <w:p>
            <w:pPr>
              <w:jc w:val="center"/>
              <w:rPr>
                <w:rFonts w:eastAsia="Arial Unicode MS"/>
                <w:sz w:val="16"/>
                <w:szCs w:val="16"/>
              </w:rPr>
            </w:pPr>
            <w:r>
              <w:rPr>
                <w:sz w:val="16"/>
                <w:szCs w:val="16"/>
              </w:rPr>
              <w:t>475</w:t>
            </w:r>
          </w:p>
        </w:tc>
        <w:tc>
          <w:tcPr>
            <w:tcW w:w="429" w:type="pct"/>
          </w:tcPr>
          <w:p>
            <w:pPr>
              <w:autoSpaceDE w:val="0"/>
              <w:autoSpaceDN w:val="0"/>
              <w:adjustRightInd w:val="0"/>
              <w:jc w:val="center"/>
              <w:rPr>
                <w:b/>
                <w:sz w:val="16"/>
                <w:szCs w:val="16"/>
              </w:rPr>
            </w:pPr>
            <w:r>
              <w:rPr>
                <w:b/>
                <w:sz w:val="16"/>
                <w:szCs w:val="16"/>
              </w:rPr>
              <w:t>588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78 à 80</w:t>
            </w:r>
          </w:p>
        </w:tc>
        <w:tc>
          <w:tcPr>
            <w:tcW w:w="272" w:type="pct"/>
            <w:vAlign w:val="center"/>
          </w:tcPr>
          <w:p>
            <w:pPr>
              <w:autoSpaceDE w:val="0"/>
              <w:autoSpaceDN w:val="0"/>
              <w:adjustRightInd w:val="0"/>
              <w:jc w:val="center"/>
              <w:rPr>
                <w:b/>
                <w:sz w:val="16"/>
                <w:szCs w:val="16"/>
              </w:rPr>
            </w:pPr>
            <w:r>
              <w:rPr>
                <w:b/>
                <w:sz w:val="16"/>
                <w:szCs w:val="16"/>
              </w:rPr>
              <w:t>106</w:t>
            </w:r>
          </w:p>
        </w:tc>
        <w:tc>
          <w:tcPr>
            <w:tcW w:w="391" w:type="pct"/>
            <w:vAlign w:val="center"/>
          </w:tcPr>
          <w:p>
            <w:pPr>
              <w:autoSpaceDE w:val="0"/>
              <w:autoSpaceDN w:val="0"/>
              <w:adjustRightInd w:val="0"/>
              <w:jc w:val="center"/>
              <w:rPr>
                <w:sz w:val="16"/>
                <w:szCs w:val="16"/>
              </w:rPr>
            </w:pPr>
            <w:r>
              <w:rPr>
                <w:sz w:val="16"/>
                <w:szCs w:val="16"/>
              </w:rPr>
              <w:t>166</w:t>
            </w:r>
          </w:p>
        </w:tc>
        <w:tc>
          <w:tcPr>
            <w:tcW w:w="296" w:type="pct"/>
            <w:vAlign w:val="center"/>
          </w:tcPr>
          <w:p>
            <w:pPr>
              <w:autoSpaceDE w:val="0"/>
              <w:autoSpaceDN w:val="0"/>
              <w:adjustRightInd w:val="0"/>
              <w:jc w:val="center"/>
              <w:rPr>
                <w:b/>
                <w:sz w:val="16"/>
                <w:szCs w:val="16"/>
              </w:rPr>
            </w:pPr>
            <w:r>
              <w:rPr>
                <w:b/>
                <w:sz w:val="16"/>
                <w:szCs w:val="16"/>
              </w:rPr>
              <w:t>217</w:t>
            </w:r>
          </w:p>
        </w:tc>
        <w:tc>
          <w:tcPr>
            <w:tcW w:w="391" w:type="pct"/>
            <w:vAlign w:val="center"/>
          </w:tcPr>
          <w:p>
            <w:pPr>
              <w:autoSpaceDE w:val="0"/>
              <w:autoSpaceDN w:val="0"/>
              <w:adjustRightInd w:val="0"/>
              <w:jc w:val="center"/>
              <w:rPr>
                <w:sz w:val="16"/>
                <w:szCs w:val="16"/>
              </w:rPr>
            </w:pPr>
            <w:r>
              <w:rPr>
                <w:sz w:val="16"/>
                <w:szCs w:val="16"/>
              </w:rPr>
              <w:t>228</w:t>
            </w:r>
          </w:p>
        </w:tc>
        <w:tc>
          <w:tcPr>
            <w:tcW w:w="296" w:type="pct"/>
            <w:vAlign w:val="center"/>
          </w:tcPr>
          <w:p>
            <w:pPr>
              <w:autoSpaceDE w:val="0"/>
              <w:autoSpaceDN w:val="0"/>
              <w:adjustRightInd w:val="0"/>
              <w:jc w:val="center"/>
              <w:rPr>
                <w:b/>
                <w:sz w:val="16"/>
                <w:szCs w:val="16"/>
              </w:rPr>
            </w:pPr>
            <w:r>
              <w:rPr>
                <w:b/>
                <w:sz w:val="16"/>
                <w:szCs w:val="16"/>
              </w:rPr>
              <w:t>292</w:t>
            </w:r>
          </w:p>
        </w:tc>
        <w:tc>
          <w:tcPr>
            <w:tcW w:w="391" w:type="pct"/>
            <w:vAlign w:val="center"/>
          </w:tcPr>
          <w:p>
            <w:pPr>
              <w:autoSpaceDE w:val="0"/>
              <w:autoSpaceDN w:val="0"/>
              <w:adjustRightInd w:val="0"/>
              <w:jc w:val="center"/>
              <w:rPr>
                <w:sz w:val="16"/>
                <w:szCs w:val="16"/>
              </w:rPr>
            </w:pPr>
            <w:r>
              <w:rPr>
                <w:sz w:val="16"/>
                <w:szCs w:val="16"/>
              </w:rPr>
              <w:t>290</w:t>
            </w:r>
          </w:p>
        </w:tc>
        <w:tc>
          <w:tcPr>
            <w:tcW w:w="296" w:type="pct"/>
            <w:vAlign w:val="center"/>
          </w:tcPr>
          <w:p>
            <w:pPr>
              <w:autoSpaceDE w:val="0"/>
              <w:autoSpaceDN w:val="0"/>
              <w:adjustRightInd w:val="0"/>
              <w:jc w:val="center"/>
              <w:rPr>
                <w:b/>
                <w:sz w:val="16"/>
                <w:szCs w:val="16"/>
              </w:rPr>
            </w:pPr>
            <w:r>
              <w:rPr>
                <w:b/>
                <w:sz w:val="16"/>
                <w:szCs w:val="16"/>
              </w:rPr>
              <w:t>366</w:t>
            </w:r>
          </w:p>
        </w:tc>
        <w:tc>
          <w:tcPr>
            <w:tcW w:w="391" w:type="pct"/>
            <w:vAlign w:val="center"/>
          </w:tcPr>
          <w:p>
            <w:pPr>
              <w:autoSpaceDE w:val="0"/>
              <w:autoSpaceDN w:val="0"/>
              <w:adjustRightInd w:val="0"/>
              <w:jc w:val="center"/>
              <w:rPr>
                <w:sz w:val="16"/>
                <w:szCs w:val="16"/>
              </w:rPr>
            </w:pPr>
            <w:r>
              <w:rPr>
                <w:sz w:val="16"/>
                <w:szCs w:val="16"/>
              </w:rPr>
              <w:t>352</w:t>
            </w:r>
          </w:p>
        </w:tc>
        <w:tc>
          <w:tcPr>
            <w:tcW w:w="296" w:type="pct"/>
            <w:vAlign w:val="center"/>
          </w:tcPr>
          <w:p>
            <w:pPr>
              <w:autoSpaceDE w:val="0"/>
              <w:autoSpaceDN w:val="0"/>
              <w:adjustRightInd w:val="0"/>
              <w:jc w:val="center"/>
              <w:rPr>
                <w:b/>
                <w:sz w:val="16"/>
                <w:szCs w:val="16"/>
              </w:rPr>
            </w:pPr>
            <w:r>
              <w:rPr>
                <w:b/>
                <w:sz w:val="16"/>
                <w:szCs w:val="16"/>
              </w:rPr>
              <w:t>440</w:t>
            </w:r>
          </w:p>
        </w:tc>
        <w:tc>
          <w:tcPr>
            <w:tcW w:w="391" w:type="pct"/>
            <w:vAlign w:val="center"/>
          </w:tcPr>
          <w:p>
            <w:pPr>
              <w:autoSpaceDE w:val="0"/>
              <w:autoSpaceDN w:val="0"/>
              <w:adjustRightInd w:val="0"/>
              <w:jc w:val="center"/>
              <w:rPr>
                <w:sz w:val="16"/>
                <w:szCs w:val="16"/>
              </w:rPr>
            </w:pPr>
            <w:r>
              <w:rPr>
                <w:sz w:val="16"/>
                <w:szCs w:val="16"/>
              </w:rPr>
              <w:t>414</w:t>
            </w:r>
          </w:p>
        </w:tc>
        <w:tc>
          <w:tcPr>
            <w:tcW w:w="296" w:type="pct"/>
            <w:vAlign w:val="center"/>
          </w:tcPr>
          <w:p>
            <w:pPr>
              <w:autoSpaceDE w:val="0"/>
              <w:autoSpaceDN w:val="0"/>
              <w:adjustRightInd w:val="0"/>
              <w:jc w:val="center"/>
              <w:rPr>
                <w:b/>
                <w:sz w:val="16"/>
                <w:szCs w:val="16"/>
              </w:rPr>
            </w:pPr>
            <w:r>
              <w:rPr>
                <w:b/>
                <w:sz w:val="16"/>
                <w:szCs w:val="16"/>
              </w:rPr>
              <w:t>515</w:t>
            </w:r>
          </w:p>
        </w:tc>
        <w:tc>
          <w:tcPr>
            <w:tcW w:w="391" w:type="pct"/>
            <w:vAlign w:val="bottom"/>
          </w:tcPr>
          <w:p>
            <w:pPr>
              <w:jc w:val="center"/>
              <w:rPr>
                <w:rFonts w:eastAsia="Arial Unicode MS"/>
                <w:sz w:val="16"/>
                <w:szCs w:val="16"/>
              </w:rPr>
            </w:pPr>
            <w:r>
              <w:rPr>
                <w:sz w:val="16"/>
                <w:szCs w:val="16"/>
              </w:rPr>
              <w:t>476</w:t>
            </w:r>
          </w:p>
        </w:tc>
        <w:tc>
          <w:tcPr>
            <w:tcW w:w="429" w:type="pct"/>
          </w:tcPr>
          <w:p>
            <w:pPr>
              <w:autoSpaceDE w:val="0"/>
              <w:autoSpaceDN w:val="0"/>
              <w:adjustRightInd w:val="0"/>
              <w:jc w:val="center"/>
              <w:rPr>
                <w:b/>
                <w:sz w:val="16"/>
                <w:szCs w:val="16"/>
              </w:rPr>
            </w:pPr>
            <w:r>
              <w:rPr>
                <w:b/>
                <w:sz w:val="16"/>
                <w:szCs w:val="16"/>
              </w:rPr>
              <w:t>589</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81 à 83</w:t>
            </w:r>
          </w:p>
        </w:tc>
        <w:tc>
          <w:tcPr>
            <w:tcW w:w="272" w:type="pct"/>
            <w:vAlign w:val="center"/>
          </w:tcPr>
          <w:p>
            <w:pPr>
              <w:autoSpaceDE w:val="0"/>
              <w:autoSpaceDN w:val="0"/>
              <w:adjustRightInd w:val="0"/>
              <w:jc w:val="center"/>
              <w:rPr>
                <w:b/>
                <w:sz w:val="16"/>
                <w:szCs w:val="16"/>
              </w:rPr>
            </w:pPr>
            <w:r>
              <w:rPr>
                <w:b/>
                <w:sz w:val="16"/>
                <w:szCs w:val="16"/>
              </w:rPr>
              <w:t>108</w:t>
            </w:r>
          </w:p>
        </w:tc>
        <w:tc>
          <w:tcPr>
            <w:tcW w:w="391" w:type="pct"/>
            <w:vAlign w:val="center"/>
          </w:tcPr>
          <w:p>
            <w:pPr>
              <w:autoSpaceDE w:val="0"/>
              <w:autoSpaceDN w:val="0"/>
              <w:adjustRightInd w:val="0"/>
              <w:jc w:val="center"/>
              <w:rPr>
                <w:sz w:val="16"/>
                <w:szCs w:val="16"/>
              </w:rPr>
            </w:pPr>
            <w:r>
              <w:rPr>
                <w:sz w:val="16"/>
                <w:szCs w:val="16"/>
              </w:rPr>
              <w:t>167</w:t>
            </w:r>
          </w:p>
        </w:tc>
        <w:tc>
          <w:tcPr>
            <w:tcW w:w="296" w:type="pct"/>
            <w:vAlign w:val="center"/>
          </w:tcPr>
          <w:p>
            <w:pPr>
              <w:autoSpaceDE w:val="0"/>
              <w:autoSpaceDN w:val="0"/>
              <w:adjustRightInd w:val="0"/>
              <w:jc w:val="center"/>
              <w:rPr>
                <w:b/>
                <w:sz w:val="16"/>
                <w:szCs w:val="16"/>
              </w:rPr>
            </w:pPr>
            <w:r>
              <w:rPr>
                <w:b/>
                <w:sz w:val="16"/>
                <w:szCs w:val="16"/>
              </w:rPr>
              <w:t>218</w:t>
            </w:r>
          </w:p>
        </w:tc>
        <w:tc>
          <w:tcPr>
            <w:tcW w:w="391" w:type="pct"/>
            <w:vAlign w:val="center"/>
          </w:tcPr>
          <w:p>
            <w:pPr>
              <w:autoSpaceDE w:val="0"/>
              <w:autoSpaceDN w:val="0"/>
              <w:adjustRightInd w:val="0"/>
              <w:jc w:val="center"/>
              <w:rPr>
                <w:sz w:val="16"/>
                <w:szCs w:val="16"/>
              </w:rPr>
            </w:pPr>
            <w:r>
              <w:rPr>
                <w:sz w:val="16"/>
                <w:szCs w:val="16"/>
              </w:rPr>
              <w:t>229</w:t>
            </w:r>
          </w:p>
        </w:tc>
        <w:tc>
          <w:tcPr>
            <w:tcW w:w="296" w:type="pct"/>
            <w:vAlign w:val="center"/>
          </w:tcPr>
          <w:p>
            <w:pPr>
              <w:autoSpaceDE w:val="0"/>
              <w:autoSpaceDN w:val="0"/>
              <w:adjustRightInd w:val="0"/>
              <w:jc w:val="center"/>
              <w:rPr>
                <w:b/>
                <w:sz w:val="16"/>
                <w:szCs w:val="16"/>
              </w:rPr>
            </w:pPr>
            <w:r>
              <w:rPr>
                <w:b/>
                <w:sz w:val="16"/>
                <w:szCs w:val="16"/>
              </w:rPr>
              <w:t>293</w:t>
            </w:r>
          </w:p>
        </w:tc>
        <w:tc>
          <w:tcPr>
            <w:tcW w:w="391" w:type="pct"/>
            <w:vAlign w:val="center"/>
          </w:tcPr>
          <w:p>
            <w:pPr>
              <w:autoSpaceDE w:val="0"/>
              <w:autoSpaceDN w:val="0"/>
              <w:adjustRightInd w:val="0"/>
              <w:jc w:val="center"/>
              <w:rPr>
                <w:sz w:val="16"/>
                <w:szCs w:val="16"/>
              </w:rPr>
            </w:pPr>
            <w:r>
              <w:rPr>
                <w:sz w:val="16"/>
                <w:szCs w:val="16"/>
              </w:rPr>
              <w:t>291</w:t>
            </w:r>
          </w:p>
        </w:tc>
        <w:tc>
          <w:tcPr>
            <w:tcW w:w="296" w:type="pct"/>
            <w:vAlign w:val="center"/>
          </w:tcPr>
          <w:p>
            <w:pPr>
              <w:autoSpaceDE w:val="0"/>
              <w:autoSpaceDN w:val="0"/>
              <w:adjustRightInd w:val="0"/>
              <w:jc w:val="center"/>
              <w:rPr>
                <w:b/>
                <w:sz w:val="16"/>
                <w:szCs w:val="16"/>
              </w:rPr>
            </w:pPr>
            <w:r>
              <w:rPr>
                <w:b/>
                <w:sz w:val="16"/>
                <w:szCs w:val="16"/>
              </w:rPr>
              <w:t>367</w:t>
            </w:r>
          </w:p>
        </w:tc>
        <w:tc>
          <w:tcPr>
            <w:tcW w:w="391" w:type="pct"/>
            <w:vAlign w:val="center"/>
          </w:tcPr>
          <w:p>
            <w:pPr>
              <w:autoSpaceDE w:val="0"/>
              <w:autoSpaceDN w:val="0"/>
              <w:adjustRightInd w:val="0"/>
              <w:jc w:val="center"/>
              <w:rPr>
                <w:sz w:val="16"/>
                <w:szCs w:val="16"/>
              </w:rPr>
            </w:pPr>
            <w:r>
              <w:rPr>
                <w:sz w:val="16"/>
                <w:szCs w:val="16"/>
              </w:rPr>
              <w:t>353</w:t>
            </w:r>
          </w:p>
        </w:tc>
        <w:tc>
          <w:tcPr>
            <w:tcW w:w="296" w:type="pct"/>
            <w:vAlign w:val="center"/>
          </w:tcPr>
          <w:p>
            <w:pPr>
              <w:autoSpaceDE w:val="0"/>
              <w:autoSpaceDN w:val="0"/>
              <w:adjustRightInd w:val="0"/>
              <w:jc w:val="center"/>
              <w:rPr>
                <w:b/>
                <w:sz w:val="16"/>
                <w:szCs w:val="16"/>
              </w:rPr>
            </w:pPr>
            <w:r>
              <w:rPr>
                <w:b/>
                <w:sz w:val="16"/>
                <w:szCs w:val="16"/>
              </w:rPr>
              <w:t>442</w:t>
            </w:r>
          </w:p>
        </w:tc>
        <w:tc>
          <w:tcPr>
            <w:tcW w:w="391" w:type="pct"/>
            <w:vAlign w:val="center"/>
          </w:tcPr>
          <w:p>
            <w:pPr>
              <w:autoSpaceDE w:val="0"/>
              <w:autoSpaceDN w:val="0"/>
              <w:adjustRightInd w:val="0"/>
              <w:jc w:val="center"/>
              <w:rPr>
                <w:sz w:val="16"/>
                <w:szCs w:val="16"/>
              </w:rPr>
            </w:pPr>
            <w:r>
              <w:rPr>
                <w:sz w:val="16"/>
                <w:szCs w:val="16"/>
              </w:rPr>
              <w:t>415</w:t>
            </w:r>
          </w:p>
        </w:tc>
        <w:tc>
          <w:tcPr>
            <w:tcW w:w="296" w:type="pct"/>
            <w:vAlign w:val="center"/>
          </w:tcPr>
          <w:p>
            <w:pPr>
              <w:autoSpaceDE w:val="0"/>
              <w:autoSpaceDN w:val="0"/>
              <w:adjustRightInd w:val="0"/>
              <w:jc w:val="center"/>
              <w:rPr>
                <w:b/>
                <w:sz w:val="16"/>
                <w:szCs w:val="16"/>
              </w:rPr>
            </w:pPr>
            <w:r>
              <w:rPr>
                <w:b/>
                <w:sz w:val="16"/>
                <w:szCs w:val="16"/>
              </w:rPr>
              <w:t>516</w:t>
            </w:r>
          </w:p>
        </w:tc>
        <w:tc>
          <w:tcPr>
            <w:tcW w:w="391" w:type="pct"/>
            <w:vAlign w:val="bottom"/>
          </w:tcPr>
          <w:p>
            <w:pPr>
              <w:jc w:val="center"/>
              <w:rPr>
                <w:rFonts w:eastAsia="Arial Unicode MS"/>
                <w:sz w:val="16"/>
                <w:szCs w:val="16"/>
              </w:rPr>
            </w:pPr>
            <w:r>
              <w:rPr>
                <w:sz w:val="16"/>
                <w:szCs w:val="16"/>
              </w:rPr>
              <w:t>477</w:t>
            </w:r>
          </w:p>
        </w:tc>
        <w:tc>
          <w:tcPr>
            <w:tcW w:w="429" w:type="pct"/>
          </w:tcPr>
          <w:p>
            <w:pPr>
              <w:autoSpaceDE w:val="0"/>
              <w:autoSpaceDN w:val="0"/>
              <w:adjustRightInd w:val="0"/>
              <w:jc w:val="center"/>
              <w:rPr>
                <w:b/>
                <w:sz w:val="16"/>
                <w:szCs w:val="16"/>
              </w:rPr>
            </w:pPr>
            <w:r>
              <w:rPr>
                <w:b/>
                <w:sz w:val="16"/>
                <w:szCs w:val="16"/>
              </w:rPr>
              <w:t>590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84 à 86</w:t>
            </w:r>
          </w:p>
        </w:tc>
        <w:tc>
          <w:tcPr>
            <w:tcW w:w="272" w:type="pct"/>
            <w:vAlign w:val="center"/>
          </w:tcPr>
          <w:p>
            <w:pPr>
              <w:autoSpaceDE w:val="0"/>
              <w:autoSpaceDN w:val="0"/>
              <w:adjustRightInd w:val="0"/>
              <w:jc w:val="center"/>
              <w:rPr>
                <w:b/>
                <w:sz w:val="16"/>
                <w:szCs w:val="16"/>
              </w:rPr>
            </w:pPr>
            <w:r>
              <w:rPr>
                <w:b/>
                <w:sz w:val="16"/>
                <w:szCs w:val="16"/>
              </w:rPr>
              <w:t>110</w:t>
            </w:r>
          </w:p>
        </w:tc>
        <w:tc>
          <w:tcPr>
            <w:tcW w:w="391" w:type="pct"/>
            <w:vAlign w:val="center"/>
          </w:tcPr>
          <w:p>
            <w:pPr>
              <w:autoSpaceDE w:val="0"/>
              <w:autoSpaceDN w:val="0"/>
              <w:adjustRightInd w:val="0"/>
              <w:jc w:val="center"/>
              <w:rPr>
                <w:sz w:val="16"/>
                <w:szCs w:val="16"/>
              </w:rPr>
            </w:pPr>
            <w:r>
              <w:rPr>
                <w:sz w:val="16"/>
                <w:szCs w:val="16"/>
              </w:rPr>
              <w:t>168</w:t>
            </w:r>
          </w:p>
        </w:tc>
        <w:tc>
          <w:tcPr>
            <w:tcW w:w="296" w:type="pct"/>
            <w:vAlign w:val="center"/>
          </w:tcPr>
          <w:p>
            <w:pPr>
              <w:autoSpaceDE w:val="0"/>
              <w:autoSpaceDN w:val="0"/>
              <w:adjustRightInd w:val="0"/>
              <w:jc w:val="center"/>
              <w:rPr>
                <w:b/>
                <w:sz w:val="16"/>
                <w:szCs w:val="16"/>
              </w:rPr>
            </w:pPr>
            <w:r>
              <w:rPr>
                <w:b/>
                <w:sz w:val="16"/>
                <w:szCs w:val="16"/>
              </w:rPr>
              <w:t>220</w:t>
            </w:r>
          </w:p>
        </w:tc>
        <w:tc>
          <w:tcPr>
            <w:tcW w:w="391" w:type="pct"/>
            <w:vAlign w:val="center"/>
          </w:tcPr>
          <w:p>
            <w:pPr>
              <w:autoSpaceDE w:val="0"/>
              <w:autoSpaceDN w:val="0"/>
              <w:adjustRightInd w:val="0"/>
              <w:jc w:val="center"/>
              <w:rPr>
                <w:sz w:val="16"/>
                <w:szCs w:val="16"/>
              </w:rPr>
            </w:pPr>
            <w:r>
              <w:rPr>
                <w:sz w:val="16"/>
                <w:szCs w:val="16"/>
              </w:rPr>
              <w:t>230</w:t>
            </w:r>
          </w:p>
        </w:tc>
        <w:tc>
          <w:tcPr>
            <w:tcW w:w="296" w:type="pct"/>
            <w:vAlign w:val="center"/>
          </w:tcPr>
          <w:p>
            <w:pPr>
              <w:autoSpaceDE w:val="0"/>
              <w:autoSpaceDN w:val="0"/>
              <w:adjustRightInd w:val="0"/>
              <w:jc w:val="center"/>
              <w:rPr>
                <w:b/>
                <w:sz w:val="16"/>
                <w:szCs w:val="16"/>
              </w:rPr>
            </w:pPr>
            <w:r>
              <w:rPr>
                <w:b/>
                <w:sz w:val="16"/>
                <w:szCs w:val="16"/>
              </w:rPr>
              <w:t>294</w:t>
            </w:r>
          </w:p>
        </w:tc>
        <w:tc>
          <w:tcPr>
            <w:tcW w:w="391" w:type="pct"/>
            <w:vAlign w:val="center"/>
          </w:tcPr>
          <w:p>
            <w:pPr>
              <w:autoSpaceDE w:val="0"/>
              <w:autoSpaceDN w:val="0"/>
              <w:adjustRightInd w:val="0"/>
              <w:jc w:val="center"/>
              <w:rPr>
                <w:sz w:val="16"/>
                <w:szCs w:val="16"/>
              </w:rPr>
            </w:pPr>
            <w:r>
              <w:rPr>
                <w:sz w:val="16"/>
                <w:szCs w:val="16"/>
              </w:rPr>
              <w:t>292</w:t>
            </w:r>
          </w:p>
        </w:tc>
        <w:tc>
          <w:tcPr>
            <w:tcW w:w="296" w:type="pct"/>
            <w:vAlign w:val="center"/>
          </w:tcPr>
          <w:p>
            <w:pPr>
              <w:autoSpaceDE w:val="0"/>
              <w:autoSpaceDN w:val="0"/>
              <w:adjustRightInd w:val="0"/>
              <w:jc w:val="center"/>
              <w:rPr>
                <w:b/>
                <w:sz w:val="16"/>
                <w:szCs w:val="16"/>
              </w:rPr>
            </w:pPr>
            <w:r>
              <w:rPr>
                <w:b/>
                <w:sz w:val="16"/>
                <w:szCs w:val="16"/>
              </w:rPr>
              <w:t>368</w:t>
            </w:r>
          </w:p>
        </w:tc>
        <w:tc>
          <w:tcPr>
            <w:tcW w:w="391" w:type="pct"/>
            <w:vAlign w:val="center"/>
          </w:tcPr>
          <w:p>
            <w:pPr>
              <w:autoSpaceDE w:val="0"/>
              <w:autoSpaceDN w:val="0"/>
              <w:adjustRightInd w:val="0"/>
              <w:jc w:val="center"/>
              <w:rPr>
                <w:sz w:val="16"/>
                <w:szCs w:val="16"/>
              </w:rPr>
            </w:pPr>
            <w:r>
              <w:rPr>
                <w:sz w:val="16"/>
                <w:szCs w:val="16"/>
              </w:rPr>
              <w:t>354</w:t>
            </w:r>
          </w:p>
        </w:tc>
        <w:tc>
          <w:tcPr>
            <w:tcW w:w="296" w:type="pct"/>
            <w:vAlign w:val="center"/>
          </w:tcPr>
          <w:p>
            <w:pPr>
              <w:autoSpaceDE w:val="0"/>
              <w:autoSpaceDN w:val="0"/>
              <w:adjustRightInd w:val="0"/>
              <w:jc w:val="center"/>
              <w:rPr>
                <w:b/>
                <w:sz w:val="16"/>
                <w:szCs w:val="16"/>
              </w:rPr>
            </w:pPr>
            <w:r>
              <w:rPr>
                <w:b/>
                <w:sz w:val="16"/>
                <w:szCs w:val="16"/>
              </w:rPr>
              <w:t>443</w:t>
            </w:r>
          </w:p>
        </w:tc>
        <w:tc>
          <w:tcPr>
            <w:tcW w:w="391" w:type="pct"/>
            <w:vAlign w:val="center"/>
          </w:tcPr>
          <w:p>
            <w:pPr>
              <w:autoSpaceDE w:val="0"/>
              <w:autoSpaceDN w:val="0"/>
              <w:adjustRightInd w:val="0"/>
              <w:jc w:val="center"/>
              <w:rPr>
                <w:sz w:val="16"/>
                <w:szCs w:val="16"/>
              </w:rPr>
            </w:pPr>
            <w:r>
              <w:rPr>
                <w:sz w:val="16"/>
                <w:szCs w:val="16"/>
              </w:rPr>
              <w:t>416</w:t>
            </w:r>
          </w:p>
        </w:tc>
        <w:tc>
          <w:tcPr>
            <w:tcW w:w="296" w:type="pct"/>
            <w:vAlign w:val="center"/>
          </w:tcPr>
          <w:p>
            <w:pPr>
              <w:autoSpaceDE w:val="0"/>
              <w:autoSpaceDN w:val="0"/>
              <w:adjustRightInd w:val="0"/>
              <w:jc w:val="center"/>
              <w:rPr>
                <w:b/>
                <w:sz w:val="16"/>
                <w:szCs w:val="16"/>
              </w:rPr>
            </w:pPr>
            <w:r>
              <w:rPr>
                <w:b/>
                <w:sz w:val="16"/>
                <w:szCs w:val="16"/>
              </w:rPr>
              <w:t>517</w:t>
            </w:r>
          </w:p>
        </w:tc>
        <w:tc>
          <w:tcPr>
            <w:tcW w:w="391" w:type="pct"/>
            <w:vAlign w:val="bottom"/>
          </w:tcPr>
          <w:p>
            <w:pPr>
              <w:jc w:val="center"/>
              <w:rPr>
                <w:rFonts w:eastAsia="Arial Unicode MS"/>
                <w:sz w:val="16"/>
                <w:szCs w:val="16"/>
              </w:rPr>
            </w:pPr>
            <w:r>
              <w:rPr>
                <w:sz w:val="16"/>
                <w:szCs w:val="16"/>
              </w:rPr>
              <w:t>478</w:t>
            </w:r>
          </w:p>
        </w:tc>
        <w:tc>
          <w:tcPr>
            <w:tcW w:w="429" w:type="pct"/>
          </w:tcPr>
          <w:p>
            <w:pPr>
              <w:autoSpaceDE w:val="0"/>
              <w:autoSpaceDN w:val="0"/>
              <w:adjustRightInd w:val="0"/>
              <w:jc w:val="center"/>
              <w:rPr>
                <w:b/>
                <w:sz w:val="16"/>
                <w:szCs w:val="16"/>
              </w:rPr>
            </w:pPr>
            <w:r>
              <w:rPr>
                <w:b/>
                <w:sz w:val="16"/>
                <w:szCs w:val="16"/>
              </w:rPr>
              <w:t>592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87 à 89</w:t>
            </w:r>
          </w:p>
        </w:tc>
        <w:tc>
          <w:tcPr>
            <w:tcW w:w="272" w:type="pct"/>
            <w:vAlign w:val="center"/>
          </w:tcPr>
          <w:p>
            <w:pPr>
              <w:autoSpaceDE w:val="0"/>
              <w:autoSpaceDN w:val="0"/>
              <w:adjustRightInd w:val="0"/>
              <w:jc w:val="center"/>
              <w:rPr>
                <w:b/>
                <w:sz w:val="16"/>
                <w:szCs w:val="16"/>
              </w:rPr>
            </w:pPr>
            <w:r>
              <w:rPr>
                <w:b/>
                <w:sz w:val="16"/>
                <w:szCs w:val="16"/>
              </w:rPr>
              <w:t>112</w:t>
            </w:r>
          </w:p>
        </w:tc>
        <w:tc>
          <w:tcPr>
            <w:tcW w:w="391" w:type="pct"/>
            <w:vAlign w:val="center"/>
          </w:tcPr>
          <w:p>
            <w:pPr>
              <w:autoSpaceDE w:val="0"/>
              <w:autoSpaceDN w:val="0"/>
              <w:adjustRightInd w:val="0"/>
              <w:jc w:val="center"/>
              <w:rPr>
                <w:sz w:val="16"/>
                <w:szCs w:val="16"/>
              </w:rPr>
            </w:pPr>
            <w:r>
              <w:rPr>
                <w:sz w:val="16"/>
                <w:szCs w:val="16"/>
              </w:rPr>
              <w:t>169</w:t>
            </w:r>
          </w:p>
        </w:tc>
        <w:tc>
          <w:tcPr>
            <w:tcW w:w="296" w:type="pct"/>
            <w:vAlign w:val="center"/>
          </w:tcPr>
          <w:p>
            <w:pPr>
              <w:autoSpaceDE w:val="0"/>
              <w:autoSpaceDN w:val="0"/>
              <w:adjustRightInd w:val="0"/>
              <w:jc w:val="center"/>
              <w:rPr>
                <w:b/>
                <w:sz w:val="16"/>
                <w:szCs w:val="16"/>
              </w:rPr>
            </w:pPr>
            <w:r>
              <w:rPr>
                <w:b/>
                <w:sz w:val="16"/>
                <w:szCs w:val="16"/>
              </w:rPr>
              <w:t>221</w:t>
            </w:r>
          </w:p>
        </w:tc>
        <w:tc>
          <w:tcPr>
            <w:tcW w:w="391" w:type="pct"/>
            <w:vAlign w:val="center"/>
          </w:tcPr>
          <w:p>
            <w:pPr>
              <w:autoSpaceDE w:val="0"/>
              <w:autoSpaceDN w:val="0"/>
              <w:adjustRightInd w:val="0"/>
              <w:jc w:val="center"/>
              <w:rPr>
                <w:sz w:val="16"/>
                <w:szCs w:val="16"/>
              </w:rPr>
            </w:pPr>
            <w:r>
              <w:rPr>
                <w:sz w:val="16"/>
                <w:szCs w:val="16"/>
              </w:rPr>
              <w:t>231</w:t>
            </w:r>
          </w:p>
        </w:tc>
        <w:tc>
          <w:tcPr>
            <w:tcW w:w="296" w:type="pct"/>
            <w:vAlign w:val="center"/>
          </w:tcPr>
          <w:p>
            <w:pPr>
              <w:autoSpaceDE w:val="0"/>
              <w:autoSpaceDN w:val="0"/>
              <w:adjustRightInd w:val="0"/>
              <w:jc w:val="center"/>
              <w:rPr>
                <w:b/>
                <w:sz w:val="16"/>
                <w:szCs w:val="16"/>
              </w:rPr>
            </w:pPr>
            <w:r>
              <w:rPr>
                <w:b/>
                <w:sz w:val="16"/>
                <w:szCs w:val="16"/>
              </w:rPr>
              <w:t>295</w:t>
            </w:r>
          </w:p>
        </w:tc>
        <w:tc>
          <w:tcPr>
            <w:tcW w:w="391" w:type="pct"/>
            <w:vAlign w:val="center"/>
          </w:tcPr>
          <w:p>
            <w:pPr>
              <w:autoSpaceDE w:val="0"/>
              <w:autoSpaceDN w:val="0"/>
              <w:adjustRightInd w:val="0"/>
              <w:jc w:val="center"/>
              <w:rPr>
                <w:sz w:val="16"/>
                <w:szCs w:val="16"/>
              </w:rPr>
            </w:pPr>
            <w:r>
              <w:rPr>
                <w:sz w:val="16"/>
                <w:szCs w:val="16"/>
              </w:rPr>
              <w:t>293</w:t>
            </w:r>
          </w:p>
        </w:tc>
        <w:tc>
          <w:tcPr>
            <w:tcW w:w="296" w:type="pct"/>
            <w:vAlign w:val="center"/>
          </w:tcPr>
          <w:p>
            <w:pPr>
              <w:autoSpaceDE w:val="0"/>
              <w:autoSpaceDN w:val="0"/>
              <w:adjustRightInd w:val="0"/>
              <w:jc w:val="center"/>
              <w:rPr>
                <w:b/>
                <w:sz w:val="16"/>
                <w:szCs w:val="16"/>
              </w:rPr>
            </w:pPr>
            <w:r>
              <w:rPr>
                <w:b/>
                <w:sz w:val="16"/>
                <w:szCs w:val="16"/>
              </w:rPr>
              <w:t>370</w:t>
            </w:r>
          </w:p>
        </w:tc>
        <w:tc>
          <w:tcPr>
            <w:tcW w:w="391" w:type="pct"/>
            <w:vAlign w:val="center"/>
          </w:tcPr>
          <w:p>
            <w:pPr>
              <w:autoSpaceDE w:val="0"/>
              <w:autoSpaceDN w:val="0"/>
              <w:adjustRightInd w:val="0"/>
              <w:jc w:val="center"/>
              <w:rPr>
                <w:sz w:val="16"/>
                <w:szCs w:val="16"/>
              </w:rPr>
            </w:pPr>
            <w:r>
              <w:rPr>
                <w:sz w:val="16"/>
                <w:szCs w:val="16"/>
              </w:rPr>
              <w:t>355</w:t>
            </w:r>
          </w:p>
        </w:tc>
        <w:tc>
          <w:tcPr>
            <w:tcW w:w="296" w:type="pct"/>
            <w:vAlign w:val="center"/>
          </w:tcPr>
          <w:p>
            <w:pPr>
              <w:autoSpaceDE w:val="0"/>
              <w:autoSpaceDN w:val="0"/>
              <w:adjustRightInd w:val="0"/>
              <w:jc w:val="center"/>
              <w:rPr>
                <w:b/>
                <w:sz w:val="16"/>
                <w:szCs w:val="16"/>
              </w:rPr>
            </w:pPr>
            <w:r>
              <w:rPr>
                <w:b/>
                <w:sz w:val="16"/>
                <w:szCs w:val="16"/>
              </w:rPr>
              <w:t>444</w:t>
            </w:r>
          </w:p>
        </w:tc>
        <w:tc>
          <w:tcPr>
            <w:tcW w:w="391" w:type="pct"/>
            <w:vAlign w:val="center"/>
          </w:tcPr>
          <w:p>
            <w:pPr>
              <w:autoSpaceDE w:val="0"/>
              <w:autoSpaceDN w:val="0"/>
              <w:adjustRightInd w:val="0"/>
              <w:jc w:val="center"/>
              <w:rPr>
                <w:sz w:val="16"/>
                <w:szCs w:val="16"/>
              </w:rPr>
            </w:pPr>
            <w:r>
              <w:rPr>
                <w:sz w:val="16"/>
                <w:szCs w:val="16"/>
              </w:rPr>
              <w:t>417</w:t>
            </w:r>
          </w:p>
        </w:tc>
        <w:tc>
          <w:tcPr>
            <w:tcW w:w="296" w:type="pct"/>
            <w:vAlign w:val="center"/>
          </w:tcPr>
          <w:p>
            <w:pPr>
              <w:autoSpaceDE w:val="0"/>
              <w:autoSpaceDN w:val="0"/>
              <w:adjustRightInd w:val="0"/>
              <w:jc w:val="center"/>
              <w:rPr>
                <w:b/>
                <w:sz w:val="16"/>
                <w:szCs w:val="16"/>
              </w:rPr>
            </w:pPr>
            <w:r>
              <w:rPr>
                <w:b/>
                <w:sz w:val="16"/>
                <w:szCs w:val="16"/>
              </w:rPr>
              <w:t>518</w:t>
            </w:r>
          </w:p>
        </w:tc>
        <w:tc>
          <w:tcPr>
            <w:tcW w:w="391" w:type="pct"/>
            <w:vAlign w:val="bottom"/>
          </w:tcPr>
          <w:p>
            <w:pPr>
              <w:jc w:val="center"/>
              <w:rPr>
                <w:rFonts w:eastAsia="Arial Unicode MS"/>
                <w:sz w:val="16"/>
                <w:szCs w:val="16"/>
              </w:rPr>
            </w:pPr>
            <w:r>
              <w:rPr>
                <w:sz w:val="16"/>
                <w:szCs w:val="16"/>
              </w:rPr>
              <w:t>479</w:t>
            </w:r>
          </w:p>
        </w:tc>
        <w:tc>
          <w:tcPr>
            <w:tcW w:w="429" w:type="pct"/>
          </w:tcPr>
          <w:p>
            <w:pPr>
              <w:autoSpaceDE w:val="0"/>
              <w:autoSpaceDN w:val="0"/>
              <w:adjustRightInd w:val="0"/>
              <w:jc w:val="center"/>
              <w:rPr>
                <w:b/>
                <w:sz w:val="16"/>
                <w:szCs w:val="16"/>
              </w:rPr>
            </w:pPr>
            <w:r>
              <w:rPr>
                <w:b/>
                <w:sz w:val="16"/>
                <w:szCs w:val="16"/>
              </w:rPr>
              <w:t>593</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90 à 92</w:t>
            </w:r>
          </w:p>
        </w:tc>
        <w:tc>
          <w:tcPr>
            <w:tcW w:w="272" w:type="pct"/>
            <w:vAlign w:val="center"/>
          </w:tcPr>
          <w:p>
            <w:pPr>
              <w:autoSpaceDE w:val="0"/>
              <w:autoSpaceDN w:val="0"/>
              <w:adjustRightInd w:val="0"/>
              <w:jc w:val="center"/>
              <w:rPr>
                <w:b/>
                <w:sz w:val="16"/>
                <w:szCs w:val="16"/>
              </w:rPr>
            </w:pPr>
            <w:r>
              <w:rPr>
                <w:b/>
                <w:sz w:val="16"/>
                <w:szCs w:val="16"/>
              </w:rPr>
              <w:t>114</w:t>
            </w:r>
          </w:p>
        </w:tc>
        <w:tc>
          <w:tcPr>
            <w:tcW w:w="391" w:type="pct"/>
            <w:vAlign w:val="center"/>
          </w:tcPr>
          <w:p>
            <w:pPr>
              <w:autoSpaceDE w:val="0"/>
              <w:autoSpaceDN w:val="0"/>
              <w:adjustRightInd w:val="0"/>
              <w:jc w:val="center"/>
              <w:rPr>
                <w:sz w:val="16"/>
                <w:szCs w:val="16"/>
              </w:rPr>
            </w:pPr>
            <w:r>
              <w:rPr>
                <w:sz w:val="16"/>
                <w:szCs w:val="16"/>
              </w:rPr>
              <w:t>170</w:t>
            </w:r>
          </w:p>
        </w:tc>
        <w:tc>
          <w:tcPr>
            <w:tcW w:w="296" w:type="pct"/>
            <w:vAlign w:val="center"/>
          </w:tcPr>
          <w:p>
            <w:pPr>
              <w:autoSpaceDE w:val="0"/>
              <w:autoSpaceDN w:val="0"/>
              <w:adjustRightInd w:val="0"/>
              <w:jc w:val="center"/>
              <w:rPr>
                <w:b/>
                <w:sz w:val="16"/>
                <w:szCs w:val="16"/>
              </w:rPr>
            </w:pPr>
            <w:r>
              <w:rPr>
                <w:b/>
                <w:sz w:val="16"/>
                <w:szCs w:val="16"/>
              </w:rPr>
              <w:t>222</w:t>
            </w:r>
          </w:p>
        </w:tc>
        <w:tc>
          <w:tcPr>
            <w:tcW w:w="391" w:type="pct"/>
            <w:vAlign w:val="center"/>
          </w:tcPr>
          <w:p>
            <w:pPr>
              <w:autoSpaceDE w:val="0"/>
              <w:autoSpaceDN w:val="0"/>
              <w:adjustRightInd w:val="0"/>
              <w:jc w:val="center"/>
              <w:rPr>
                <w:sz w:val="16"/>
                <w:szCs w:val="16"/>
              </w:rPr>
            </w:pPr>
            <w:r>
              <w:rPr>
                <w:sz w:val="16"/>
                <w:szCs w:val="16"/>
              </w:rPr>
              <w:t>232</w:t>
            </w:r>
          </w:p>
        </w:tc>
        <w:tc>
          <w:tcPr>
            <w:tcW w:w="296" w:type="pct"/>
            <w:vAlign w:val="center"/>
          </w:tcPr>
          <w:p>
            <w:pPr>
              <w:autoSpaceDE w:val="0"/>
              <w:autoSpaceDN w:val="0"/>
              <w:adjustRightInd w:val="0"/>
              <w:jc w:val="center"/>
              <w:rPr>
                <w:b/>
                <w:sz w:val="16"/>
                <w:szCs w:val="16"/>
              </w:rPr>
            </w:pPr>
            <w:r>
              <w:rPr>
                <w:b/>
                <w:sz w:val="16"/>
                <w:szCs w:val="16"/>
              </w:rPr>
              <w:t>296</w:t>
            </w:r>
          </w:p>
        </w:tc>
        <w:tc>
          <w:tcPr>
            <w:tcW w:w="391" w:type="pct"/>
            <w:vAlign w:val="center"/>
          </w:tcPr>
          <w:p>
            <w:pPr>
              <w:autoSpaceDE w:val="0"/>
              <w:autoSpaceDN w:val="0"/>
              <w:adjustRightInd w:val="0"/>
              <w:jc w:val="center"/>
              <w:rPr>
                <w:sz w:val="16"/>
                <w:szCs w:val="16"/>
              </w:rPr>
            </w:pPr>
            <w:r>
              <w:rPr>
                <w:sz w:val="16"/>
                <w:szCs w:val="16"/>
              </w:rPr>
              <w:t>294</w:t>
            </w:r>
          </w:p>
        </w:tc>
        <w:tc>
          <w:tcPr>
            <w:tcW w:w="296" w:type="pct"/>
            <w:vAlign w:val="center"/>
          </w:tcPr>
          <w:p>
            <w:pPr>
              <w:autoSpaceDE w:val="0"/>
              <w:autoSpaceDN w:val="0"/>
              <w:adjustRightInd w:val="0"/>
              <w:jc w:val="center"/>
              <w:rPr>
                <w:b/>
                <w:sz w:val="16"/>
                <w:szCs w:val="16"/>
              </w:rPr>
            </w:pPr>
            <w:r>
              <w:rPr>
                <w:b/>
                <w:sz w:val="16"/>
                <w:szCs w:val="16"/>
              </w:rPr>
              <w:t>371</w:t>
            </w:r>
          </w:p>
        </w:tc>
        <w:tc>
          <w:tcPr>
            <w:tcW w:w="391" w:type="pct"/>
            <w:vAlign w:val="center"/>
          </w:tcPr>
          <w:p>
            <w:pPr>
              <w:autoSpaceDE w:val="0"/>
              <w:autoSpaceDN w:val="0"/>
              <w:adjustRightInd w:val="0"/>
              <w:jc w:val="center"/>
              <w:rPr>
                <w:sz w:val="16"/>
                <w:szCs w:val="16"/>
              </w:rPr>
            </w:pPr>
            <w:r>
              <w:rPr>
                <w:sz w:val="16"/>
                <w:szCs w:val="16"/>
              </w:rPr>
              <w:t>356</w:t>
            </w:r>
          </w:p>
        </w:tc>
        <w:tc>
          <w:tcPr>
            <w:tcW w:w="296" w:type="pct"/>
            <w:vAlign w:val="center"/>
          </w:tcPr>
          <w:p>
            <w:pPr>
              <w:autoSpaceDE w:val="0"/>
              <w:autoSpaceDN w:val="0"/>
              <w:adjustRightInd w:val="0"/>
              <w:jc w:val="center"/>
              <w:rPr>
                <w:b/>
                <w:sz w:val="16"/>
                <w:szCs w:val="16"/>
              </w:rPr>
            </w:pPr>
            <w:r>
              <w:rPr>
                <w:b/>
                <w:sz w:val="16"/>
                <w:szCs w:val="16"/>
              </w:rPr>
              <w:t>445</w:t>
            </w:r>
          </w:p>
        </w:tc>
        <w:tc>
          <w:tcPr>
            <w:tcW w:w="391" w:type="pct"/>
            <w:vAlign w:val="center"/>
          </w:tcPr>
          <w:p>
            <w:pPr>
              <w:autoSpaceDE w:val="0"/>
              <w:autoSpaceDN w:val="0"/>
              <w:adjustRightInd w:val="0"/>
              <w:jc w:val="center"/>
              <w:rPr>
                <w:sz w:val="16"/>
                <w:szCs w:val="16"/>
              </w:rPr>
            </w:pPr>
            <w:r>
              <w:rPr>
                <w:sz w:val="16"/>
                <w:szCs w:val="16"/>
              </w:rPr>
              <w:t>418</w:t>
            </w:r>
          </w:p>
        </w:tc>
        <w:tc>
          <w:tcPr>
            <w:tcW w:w="296" w:type="pct"/>
            <w:vAlign w:val="center"/>
          </w:tcPr>
          <w:p>
            <w:pPr>
              <w:autoSpaceDE w:val="0"/>
              <w:autoSpaceDN w:val="0"/>
              <w:adjustRightInd w:val="0"/>
              <w:jc w:val="center"/>
              <w:rPr>
                <w:b/>
                <w:sz w:val="16"/>
                <w:szCs w:val="16"/>
              </w:rPr>
            </w:pPr>
            <w:r>
              <w:rPr>
                <w:b/>
                <w:sz w:val="16"/>
                <w:szCs w:val="16"/>
              </w:rPr>
              <w:t>520</w:t>
            </w:r>
          </w:p>
        </w:tc>
        <w:tc>
          <w:tcPr>
            <w:tcW w:w="391" w:type="pct"/>
            <w:vAlign w:val="bottom"/>
          </w:tcPr>
          <w:p>
            <w:pPr>
              <w:jc w:val="center"/>
              <w:rPr>
                <w:rFonts w:eastAsia="Arial Unicode MS"/>
                <w:sz w:val="16"/>
                <w:szCs w:val="16"/>
              </w:rPr>
            </w:pPr>
            <w:r>
              <w:rPr>
                <w:sz w:val="16"/>
                <w:szCs w:val="16"/>
              </w:rPr>
              <w:t>480</w:t>
            </w:r>
          </w:p>
        </w:tc>
        <w:tc>
          <w:tcPr>
            <w:tcW w:w="429" w:type="pct"/>
          </w:tcPr>
          <w:p>
            <w:pPr>
              <w:autoSpaceDE w:val="0"/>
              <w:autoSpaceDN w:val="0"/>
              <w:adjustRightInd w:val="0"/>
              <w:jc w:val="center"/>
              <w:rPr>
                <w:b/>
                <w:sz w:val="16"/>
                <w:szCs w:val="16"/>
              </w:rPr>
            </w:pPr>
            <w:r>
              <w:rPr>
                <w:b/>
                <w:sz w:val="16"/>
                <w:szCs w:val="16"/>
              </w:rPr>
              <w:t>594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93 à 98</w:t>
            </w:r>
          </w:p>
        </w:tc>
        <w:tc>
          <w:tcPr>
            <w:tcW w:w="272" w:type="pct"/>
            <w:vAlign w:val="center"/>
          </w:tcPr>
          <w:p>
            <w:pPr>
              <w:autoSpaceDE w:val="0"/>
              <w:autoSpaceDN w:val="0"/>
              <w:adjustRightInd w:val="0"/>
              <w:jc w:val="center"/>
              <w:rPr>
                <w:b/>
                <w:sz w:val="16"/>
                <w:szCs w:val="16"/>
              </w:rPr>
            </w:pPr>
            <w:r>
              <w:rPr>
                <w:b/>
                <w:sz w:val="16"/>
                <w:szCs w:val="16"/>
              </w:rPr>
              <w:t>130</w:t>
            </w:r>
          </w:p>
        </w:tc>
        <w:tc>
          <w:tcPr>
            <w:tcW w:w="391" w:type="pct"/>
            <w:vAlign w:val="center"/>
          </w:tcPr>
          <w:p>
            <w:pPr>
              <w:autoSpaceDE w:val="0"/>
              <w:autoSpaceDN w:val="0"/>
              <w:adjustRightInd w:val="0"/>
              <w:jc w:val="center"/>
              <w:rPr>
                <w:sz w:val="16"/>
                <w:szCs w:val="16"/>
              </w:rPr>
            </w:pPr>
            <w:r>
              <w:rPr>
                <w:sz w:val="16"/>
                <w:szCs w:val="16"/>
              </w:rPr>
              <w:t>171</w:t>
            </w:r>
          </w:p>
        </w:tc>
        <w:tc>
          <w:tcPr>
            <w:tcW w:w="296" w:type="pct"/>
            <w:vAlign w:val="center"/>
          </w:tcPr>
          <w:p>
            <w:pPr>
              <w:autoSpaceDE w:val="0"/>
              <w:autoSpaceDN w:val="0"/>
              <w:adjustRightInd w:val="0"/>
              <w:jc w:val="center"/>
              <w:rPr>
                <w:b/>
                <w:sz w:val="16"/>
                <w:szCs w:val="16"/>
              </w:rPr>
            </w:pPr>
            <w:r>
              <w:rPr>
                <w:b/>
                <w:sz w:val="16"/>
                <w:szCs w:val="16"/>
              </w:rPr>
              <w:t>223</w:t>
            </w:r>
          </w:p>
        </w:tc>
        <w:tc>
          <w:tcPr>
            <w:tcW w:w="391" w:type="pct"/>
            <w:vAlign w:val="center"/>
          </w:tcPr>
          <w:p>
            <w:pPr>
              <w:autoSpaceDE w:val="0"/>
              <w:autoSpaceDN w:val="0"/>
              <w:adjustRightInd w:val="0"/>
              <w:jc w:val="center"/>
              <w:rPr>
                <w:sz w:val="16"/>
                <w:szCs w:val="16"/>
              </w:rPr>
            </w:pPr>
            <w:r>
              <w:rPr>
                <w:sz w:val="16"/>
                <w:szCs w:val="16"/>
              </w:rPr>
              <w:t>233</w:t>
            </w:r>
          </w:p>
        </w:tc>
        <w:tc>
          <w:tcPr>
            <w:tcW w:w="296" w:type="pct"/>
            <w:vAlign w:val="center"/>
          </w:tcPr>
          <w:p>
            <w:pPr>
              <w:autoSpaceDE w:val="0"/>
              <w:autoSpaceDN w:val="0"/>
              <w:adjustRightInd w:val="0"/>
              <w:jc w:val="center"/>
              <w:rPr>
                <w:b/>
                <w:sz w:val="16"/>
                <w:szCs w:val="16"/>
              </w:rPr>
            </w:pPr>
            <w:r>
              <w:rPr>
                <w:b/>
                <w:sz w:val="16"/>
                <w:szCs w:val="16"/>
              </w:rPr>
              <w:t>298</w:t>
            </w:r>
          </w:p>
        </w:tc>
        <w:tc>
          <w:tcPr>
            <w:tcW w:w="391" w:type="pct"/>
            <w:vAlign w:val="center"/>
          </w:tcPr>
          <w:p>
            <w:pPr>
              <w:autoSpaceDE w:val="0"/>
              <w:autoSpaceDN w:val="0"/>
              <w:adjustRightInd w:val="0"/>
              <w:jc w:val="center"/>
              <w:rPr>
                <w:sz w:val="16"/>
                <w:szCs w:val="16"/>
              </w:rPr>
            </w:pPr>
            <w:r>
              <w:rPr>
                <w:sz w:val="16"/>
                <w:szCs w:val="16"/>
              </w:rPr>
              <w:t>295</w:t>
            </w:r>
          </w:p>
        </w:tc>
        <w:tc>
          <w:tcPr>
            <w:tcW w:w="296" w:type="pct"/>
            <w:vAlign w:val="center"/>
          </w:tcPr>
          <w:p>
            <w:pPr>
              <w:autoSpaceDE w:val="0"/>
              <w:autoSpaceDN w:val="0"/>
              <w:adjustRightInd w:val="0"/>
              <w:jc w:val="center"/>
              <w:rPr>
                <w:b/>
                <w:sz w:val="16"/>
                <w:szCs w:val="16"/>
              </w:rPr>
            </w:pPr>
            <w:r>
              <w:rPr>
                <w:b/>
                <w:sz w:val="16"/>
                <w:szCs w:val="16"/>
              </w:rPr>
              <w:t>372</w:t>
            </w:r>
          </w:p>
        </w:tc>
        <w:tc>
          <w:tcPr>
            <w:tcW w:w="391" w:type="pct"/>
            <w:vAlign w:val="center"/>
          </w:tcPr>
          <w:p>
            <w:pPr>
              <w:autoSpaceDE w:val="0"/>
              <w:autoSpaceDN w:val="0"/>
              <w:adjustRightInd w:val="0"/>
              <w:jc w:val="center"/>
              <w:rPr>
                <w:sz w:val="16"/>
                <w:szCs w:val="16"/>
              </w:rPr>
            </w:pPr>
            <w:r>
              <w:rPr>
                <w:sz w:val="16"/>
                <w:szCs w:val="16"/>
              </w:rPr>
              <w:t>357</w:t>
            </w:r>
          </w:p>
        </w:tc>
        <w:tc>
          <w:tcPr>
            <w:tcW w:w="296" w:type="pct"/>
            <w:vAlign w:val="center"/>
          </w:tcPr>
          <w:p>
            <w:pPr>
              <w:autoSpaceDE w:val="0"/>
              <w:autoSpaceDN w:val="0"/>
              <w:adjustRightInd w:val="0"/>
              <w:jc w:val="center"/>
              <w:rPr>
                <w:b/>
                <w:sz w:val="16"/>
                <w:szCs w:val="16"/>
              </w:rPr>
            </w:pPr>
            <w:r>
              <w:rPr>
                <w:b/>
                <w:sz w:val="16"/>
                <w:szCs w:val="16"/>
              </w:rPr>
              <w:t>446</w:t>
            </w:r>
          </w:p>
        </w:tc>
        <w:tc>
          <w:tcPr>
            <w:tcW w:w="391" w:type="pct"/>
            <w:vAlign w:val="center"/>
          </w:tcPr>
          <w:p>
            <w:pPr>
              <w:autoSpaceDE w:val="0"/>
              <w:autoSpaceDN w:val="0"/>
              <w:adjustRightInd w:val="0"/>
              <w:jc w:val="center"/>
              <w:rPr>
                <w:sz w:val="16"/>
                <w:szCs w:val="16"/>
              </w:rPr>
            </w:pPr>
            <w:r>
              <w:rPr>
                <w:sz w:val="16"/>
                <w:szCs w:val="16"/>
              </w:rPr>
              <w:t>419</w:t>
            </w:r>
          </w:p>
        </w:tc>
        <w:tc>
          <w:tcPr>
            <w:tcW w:w="296" w:type="pct"/>
            <w:vAlign w:val="center"/>
          </w:tcPr>
          <w:p>
            <w:pPr>
              <w:autoSpaceDE w:val="0"/>
              <w:autoSpaceDN w:val="0"/>
              <w:adjustRightInd w:val="0"/>
              <w:jc w:val="center"/>
              <w:rPr>
                <w:b/>
                <w:sz w:val="16"/>
                <w:szCs w:val="16"/>
              </w:rPr>
            </w:pPr>
            <w:r>
              <w:rPr>
                <w:b/>
                <w:sz w:val="16"/>
                <w:szCs w:val="16"/>
              </w:rPr>
              <w:t>521</w:t>
            </w:r>
          </w:p>
        </w:tc>
        <w:tc>
          <w:tcPr>
            <w:tcW w:w="391" w:type="pct"/>
            <w:vAlign w:val="bottom"/>
          </w:tcPr>
          <w:p>
            <w:pPr>
              <w:jc w:val="center"/>
              <w:rPr>
                <w:rFonts w:eastAsia="Arial Unicode MS"/>
                <w:sz w:val="16"/>
                <w:szCs w:val="16"/>
              </w:rPr>
            </w:pPr>
            <w:r>
              <w:rPr>
                <w:sz w:val="16"/>
                <w:szCs w:val="16"/>
              </w:rPr>
              <w:t>481</w:t>
            </w:r>
          </w:p>
        </w:tc>
        <w:tc>
          <w:tcPr>
            <w:tcW w:w="429" w:type="pct"/>
          </w:tcPr>
          <w:p>
            <w:pPr>
              <w:autoSpaceDE w:val="0"/>
              <w:autoSpaceDN w:val="0"/>
              <w:adjustRightInd w:val="0"/>
              <w:jc w:val="center"/>
              <w:rPr>
                <w:b/>
                <w:sz w:val="16"/>
                <w:szCs w:val="16"/>
              </w:rPr>
            </w:pPr>
            <w:r>
              <w:rPr>
                <w:b/>
                <w:sz w:val="16"/>
                <w:szCs w:val="16"/>
              </w:rPr>
              <w:t>595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99 à 101</w:t>
            </w:r>
          </w:p>
        </w:tc>
        <w:tc>
          <w:tcPr>
            <w:tcW w:w="272" w:type="pct"/>
            <w:vAlign w:val="center"/>
          </w:tcPr>
          <w:p>
            <w:pPr>
              <w:autoSpaceDE w:val="0"/>
              <w:autoSpaceDN w:val="0"/>
              <w:adjustRightInd w:val="0"/>
              <w:jc w:val="center"/>
              <w:rPr>
                <w:b/>
                <w:sz w:val="16"/>
                <w:szCs w:val="16"/>
              </w:rPr>
            </w:pPr>
            <w:r>
              <w:rPr>
                <w:b/>
                <w:sz w:val="16"/>
                <w:szCs w:val="16"/>
              </w:rPr>
              <w:t>132</w:t>
            </w:r>
          </w:p>
        </w:tc>
        <w:tc>
          <w:tcPr>
            <w:tcW w:w="391" w:type="pct"/>
            <w:vAlign w:val="center"/>
          </w:tcPr>
          <w:p>
            <w:pPr>
              <w:autoSpaceDE w:val="0"/>
              <w:autoSpaceDN w:val="0"/>
              <w:adjustRightInd w:val="0"/>
              <w:jc w:val="center"/>
              <w:rPr>
                <w:sz w:val="16"/>
                <w:szCs w:val="16"/>
              </w:rPr>
            </w:pPr>
            <w:r>
              <w:rPr>
                <w:sz w:val="16"/>
                <w:szCs w:val="16"/>
              </w:rPr>
              <w:t>172</w:t>
            </w:r>
          </w:p>
        </w:tc>
        <w:tc>
          <w:tcPr>
            <w:tcW w:w="296" w:type="pct"/>
            <w:vAlign w:val="center"/>
          </w:tcPr>
          <w:p>
            <w:pPr>
              <w:autoSpaceDE w:val="0"/>
              <w:autoSpaceDN w:val="0"/>
              <w:adjustRightInd w:val="0"/>
              <w:jc w:val="center"/>
              <w:rPr>
                <w:b/>
                <w:sz w:val="16"/>
                <w:szCs w:val="16"/>
              </w:rPr>
            </w:pPr>
            <w:r>
              <w:rPr>
                <w:b/>
                <w:sz w:val="16"/>
                <w:szCs w:val="16"/>
              </w:rPr>
              <w:t>224</w:t>
            </w:r>
          </w:p>
        </w:tc>
        <w:tc>
          <w:tcPr>
            <w:tcW w:w="391" w:type="pct"/>
            <w:vAlign w:val="center"/>
          </w:tcPr>
          <w:p>
            <w:pPr>
              <w:autoSpaceDE w:val="0"/>
              <w:autoSpaceDN w:val="0"/>
              <w:adjustRightInd w:val="0"/>
              <w:jc w:val="center"/>
              <w:rPr>
                <w:sz w:val="16"/>
                <w:szCs w:val="16"/>
              </w:rPr>
            </w:pPr>
            <w:r>
              <w:rPr>
                <w:sz w:val="16"/>
                <w:szCs w:val="16"/>
              </w:rPr>
              <w:t>234</w:t>
            </w:r>
          </w:p>
        </w:tc>
        <w:tc>
          <w:tcPr>
            <w:tcW w:w="296" w:type="pct"/>
            <w:vAlign w:val="center"/>
          </w:tcPr>
          <w:p>
            <w:pPr>
              <w:autoSpaceDE w:val="0"/>
              <w:autoSpaceDN w:val="0"/>
              <w:adjustRightInd w:val="0"/>
              <w:jc w:val="center"/>
              <w:rPr>
                <w:b/>
                <w:sz w:val="16"/>
                <w:szCs w:val="16"/>
              </w:rPr>
            </w:pPr>
            <w:r>
              <w:rPr>
                <w:b/>
                <w:sz w:val="16"/>
                <w:szCs w:val="16"/>
              </w:rPr>
              <w:t>299</w:t>
            </w:r>
          </w:p>
        </w:tc>
        <w:tc>
          <w:tcPr>
            <w:tcW w:w="391" w:type="pct"/>
            <w:vAlign w:val="center"/>
          </w:tcPr>
          <w:p>
            <w:pPr>
              <w:autoSpaceDE w:val="0"/>
              <w:autoSpaceDN w:val="0"/>
              <w:adjustRightInd w:val="0"/>
              <w:jc w:val="center"/>
              <w:rPr>
                <w:sz w:val="16"/>
                <w:szCs w:val="16"/>
              </w:rPr>
            </w:pPr>
            <w:r>
              <w:rPr>
                <w:sz w:val="16"/>
                <w:szCs w:val="16"/>
              </w:rPr>
              <w:t>296</w:t>
            </w:r>
          </w:p>
        </w:tc>
        <w:tc>
          <w:tcPr>
            <w:tcW w:w="296" w:type="pct"/>
            <w:vAlign w:val="center"/>
          </w:tcPr>
          <w:p>
            <w:pPr>
              <w:autoSpaceDE w:val="0"/>
              <w:autoSpaceDN w:val="0"/>
              <w:adjustRightInd w:val="0"/>
              <w:jc w:val="center"/>
              <w:rPr>
                <w:b/>
                <w:sz w:val="16"/>
                <w:szCs w:val="16"/>
              </w:rPr>
            </w:pPr>
            <w:r>
              <w:rPr>
                <w:b/>
                <w:sz w:val="16"/>
                <w:szCs w:val="16"/>
              </w:rPr>
              <w:t>373</w:t>
            </w:r>
          </w:p>
        </w:tc>
        <w:tc>
          <w:tcPr>
            <w:tcW w:w="391" w:type="pct"/>
            <w:vAlign w:val="center"/>
          </w:tcPr>
          <w:p>
            <w:pPr>
              <w:autoSpaceDE w:val="0"/>
              <w:autoSpaceDN w:val="0"/>
              <w:adjustRightInd w:val="0"/>
              <w:jc w:val="center"/>
              <w:rPr>
                <w:sz w:val="16"/>
                <w:szCs w:val="16"/>
              </w:rPr>
            </w:pPr>
            <w:r>
              <w:rPr>
                <w:sz w:val="16"/>
                <w:szCs w:val="16"/>
              </w:rPr>
              <w:t>358</w:t>
            </w:r>
          </w:p>
        </w:tc>
        <w:tc>
          <w:tcPr>
            <w:tcW w:w="296" w:type="pct"/>
            <w:vAlign w:val="center"/>
          </w:tcPr>
          <w:p>
            <w:pPr>
              <w:autoSpaceDE w:val="0"/>
              <w:autoSpaceDN w:val="0"/>
              <w:adjustRightInd w:val="0"/>
              <w:jc w:val="center"/>
              <w:rPr>
                <w:b/>
                <w:sz w:val="16"/>
                <w:szCs w:val="16"/>
              </w:rPr>
            </w:pPr>
            <w:r>
              <w:rPr>
                <w:b/>
                <w:sz w:val="16"/>
                <w:szCs w:val="16"/>
              </w:rPr>
              <w:t>448</w:t>
            </w:r>
          </w:p>
        </w:tc>
        <w:tc>
          <w:tcPr>
            <w:tcW w:w="391" w:type="pct"/>
            <w:vAlign w:val="center"/>
          </w:tcPr>
          <w:p>
            <w:pPr>
              <w:autoSpaceDE w:val="0"/>
              <w:autoSpaceDN w:val="0"/>
              <w:adjustRightInd w:val="0"/>
              <w:jc w:val="center"/>
              <w:rPr>
                <w:sz w:val="16"/>
                <w:szCs w:val="16"/>
              </w:rPr>
            </w:pPr>
            <w:r>
              <w:rPr>
                <w:sz w:val="16"/>
                <w:szCs w:val="16"/>
              </w:rPr>
              <w:t>420</w:t>
            </w:r>
          </w:p>
        </w:tc>
        <w:tc>
          <w:tcPr>
            <w:tcW w:w="296" w:type="pct"/>
            <w:vAlign w:val="center"/>
          </w:tcPr>
          <w:p>
            <w:pPr>
              <w:autoSpaceDE w:val="0"/>
              <w:autoSpaceDN w:val="0"/>
              <w:adjustRightInd w:val="0"/>
              <w:jc w:val="center"/>
              <w:rPr>
                <w:b/>
                <w:sz w:val="16"/>
                <w:szCs w:val="16"/>
              </w:rPr>
            </w:pPr>
            <w:r>
              <w:rPr>
                <w:b/>
                <w:sz w:val="16"/>
                <w:szCs w:val="16"/>
              </w:rPr>
              <w:t>522</w:t>
            </w:r>
          </w:p>
        </w:tc>
        <w:tc>
          <w:tcPr>
            <w:tcW w:w="391" w:type="pct"/>
            <w:vAlign w:val="bottom"/>
          </w:tcPr>
          <w:p>
            <w:pPr>
              <w:jc w:val="center"/>
              <w:rPr>
                <w:rFonts w:eastAsia="Arial Unicode MS"/>
                <w:sz w:val="16"/>
                <w:szCs w:val="16"/>
              </w:rPr>
            </w:pPr>
            <w:r>
              <w:rPr>
                <w:sz w:val="16"/>
                <w:szCs w:val="16"/>
              </w:rPr>
              <w:t>482</w:t>
            </w:r>
          </w:p>
        </w:tc>
        <w:tc>
          <w:tcPr>
            <w:tcW w:w="429" w:type="pct"/>
          </w:tcPr>
          <w:p>
            <w:pPr>
              <w:autoSpaceDE w:val="0"/>
              <w:autoSpaceDN w:val="0"/>
              <w:adjustRightInd w:val="0"/>
              <w:jc w:val="center"/>
              <w:rPr>
                <w:b/>
                <w:sz w:val="16"/>
                <w:szCs w:val="16"/>
              </w:rPr>
            </w:pPr>
            <w:r>
              <w:rPr>
                <w:b/>
                <w:sz w:val="16"/>
                <w:szCs w:val="16"/>
              </w:rPr>
              <w:t>596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 xml:space="preserve">  102 à 104</w:t>
            </w:r>
          </w:p>
        </w:tc>
        <w:tc>
          <w:tcPr>
            <w:tcW w:w="272" w:type="pct"/>
            <w:vAlign w:val="center"/>
          </w:tcPr>
          <w:p>
            <w:pPr>
              <w:autoSpaceDE w:val="0"/>
              <w:autoSpaceDN w:val="0"/>
              <w:adjustRightInd w:val="0"/>
              <w:jc w:val="center"/>
              <w:rPr>
                <w:b/>
                <w:sz w:val="16"/>
                <w:szCs w:val="16"/>
              </w:rPr>
            </w:pPr>
            <w:r>
              <w:rPr>
                <w:b/>
                <w:sz w:val="16"/>
                <w:szCs w:val="16"/>
              </w:rPr>
              <w:t>134</w:t>
            </w:r>
          </w:p>
        </w:tc>
        <w:tc>
          <w:tcPr>
            <w:tcW w:w="391" w:type="pct"/>
            <w:vAlign w:val="center"/>
          </w:tcPr>
          <w:p>
            <w:pPr>
              <w:autoSpaceDE w:val="0"/>
              <w:autoSpaceDN w:val="0"/>
              <w:adjustRightInd w:val="0"/>
              <w:jc w:val="center"/>
              <w:rPr>
                <w:sz w:val="16"/>
                <w:szCs w:val="16"/>
              </w:rPr>
            </w:pPr>
            <w:r>
              <w:rPr>
                <w:sz w:val="16"/>
                <w:szCs w:val="16"/>
              </w:rPr>
              <w:t>173</w:t>
            </w:r>
          </w:p>
        </w:tc>
        <w:tc>
          <w:tcPr>
            <w:tcW w:w="296" w:type="pct"/>
            <w:vAlign w:val="center"/>
          </w:tcPr>
          <w:p>
            <w:pPr>
              <w:autoSpaceDE w:val="0"/>
              <w:autoSpaceDN w:val="0"/>
              <w:adjustRightInd w:val="0"/>
              <w:jc w:val="center"/>
              <w:rPr>
                <w:b/>
                <w:sz w:val="16"/>
                <w:szCs w:val="16"/>
              </w:rPr>
            </w:pPr>
            <w:r>
              <w:rPr>
                <w:b/>
                <w:sz w:val="16"/>
                <w:szCs w:val="16"/>
              </w:rPr>
              <w:t>226</w:t>
            </w:r>
          </w:p>
        </w:tc>
        <w:tc>
          <w:tcPr>
            <w:tcW w:w="391" w:type="pct"/>
            <w:vAlign w:val="center"/>
          </w:tcPr>
          <w:p>
            <w:pPr>
              <w:autoSpaceDE w:val="0"/>
              <w:autoSpaceDN w:val="0"/>
              <w:adjustRightInd w:val="0"/>
              <w:jc w:val="center"/>
              <w:rPr>
                <w:sz w:val="16"/>
                <w:szCs w:val="16"/>
              </w:rPr>
            </w:pPr>
            <w:r>
              <w:rPr>
                <w:sz w:val="16"/>
                <w:szCs w:val="16"/>
              </w:rPr>
              <w:t>235</w:t>
            </w:r>
          </w:p>
        </w:tc>
        <w:tc>
          <w:tcPr>
            <w:tcW w:w="296" w:type="pct"/>
            <w:vAlign w:val="center"/>
          </w:tcPr>
          <w:p>
            <w:pPr>
              <w:autoSpaceDE w:val="0"/>
              <w:autoSpaceDN w:val="0"/>
              <w:adjustRightInd w:val="0"/>
              <w:jc w:val="center"/>
              <w:rPr>
                <w:b/>
                <w:sz w:val="16"/>
                <w:szCs w:val="16"/>
              </w:rPr>
            </w:pPr>
            <w:r>
              <w:rPr>
                <w:b/>
                <w:sz w:val="16"/>
                <w:szCs w:val="16"/>
              </w:rPr>
              <w:t>300</w:t>
            </w:r>
          </w:p>
        </w:tc>
        <w:tc>
          <w:tcPr>
            <w:tcW w:w="391" w:type="pct"/>
            <w:vAlign w:val="center"/>
          </w:tcPr>
          <w:p>
            <w:pPr>
              <w:autoSpaceDE w:val="0"/>
              <w:autoSpaceDN w:val="0"/>
              <w:adjustRightInd w:val="0"/>
              <w:jc w:val="center"/>
              <w:rPr>
                <w:sz w:val="16"/>
                <w:szCs w:val="16"/>
              </w:rPr>
            </w:pPr>
            <w:r>
              <w:rPr>
                <w:sz w:val="16"/>
                <w:szCs w:val="16"/>
              </w:rPr>
              <w:t>297</w:t>
            </w:r>
          </w:p>
        </w:tc>
        <w:tc>
          <w:tcPr>
            <w:tcW w:w="296" w:type="pct"/>
            <w:vAlign w:val="center"/>
          </w:tcPr>
          <w:p>
            <w:pPr>
              <w:autoSpaceDE w:val="0"/>
              <w:autoSpaceDN w:val="0"/>
              <w:adjustRightInd w:val="0"/>
              <w:jc w:val="center"/>
              <w:rPr>
                <w:b/>
                <w:sz w:val="16"/>
                <w:szCs w:val="16"/>
              </w:rPr>
            </w:pPr>
            <w:r>
              <w:rPr>
                <w:b/>
                <w:sz w:val="16"/>
                <w:szCs w:val="16"/>
              </w:rPr>
              <w:t>374</w:t>
            </w:r>
          </w:p>
        </w:tc>
        <w:tc>
          <w:tcPr>
            <w:tcW w:w="391" w:type="pct"/>
            <w:vAlign w:val="center"/>
          </w:tcPr>
          <w:p>
            <w:pPr>
              <w:autoSpaceDE w:val="0"/>
              <w:autoSpaceDN w:val="0"/>
              <w:adjustRightInd w:val="0"/>
              <w:jc w:val="center"/>
              <w:rPr>
                <w:sz w:val="16"/>
                <w:szCs w:val="16"/>
              </w:rPr>
            </w:pPr>
            <w:r>
              <w:rPr>
                <w:sz w:val="16"/>
                <w:szCs w:val="16"/>
              </w:rPr>
              <w:t>359</w:t>
            </w:r>
          </w:p>
        </w:tc>
        <w:tc>
          <w:tcPr>
            <w:tcW w:w="296" w:type="pct"/>
            <w:vAlign w:val="center"/>
          </w:tcPr>
          <w:p>
            <w:pPr>
              <w:autoSpaceDE w:val="0"/>
              <w:autoSpaceDN w:val="0"/>
              <w:adjustRightInd w:val="0"/>
              <w:jc w:val="center"/>
              <w:rPr>
                <w:b/>
                <w:sz w:val="16"/>
                <w:szCs w:val="16"/>
              </w:rPr>
            </w:pPr>
            <w:r>
              <w:rPr>
                <w:b/>
                <w:sz w:val="16"/>
                <w:szCs w:val="16"/>
              </w:rPr>
              <w:t>449</w:t>
            </w:r>
          </w:p>
        </w:tc>
        <w:tc>
          <w:tcPr>
            <w:tcW w:w="391" w:type="pct"/>
            <w:vAlign w:val="center"/>
          </w:tcPr>
          <w:p>
            <w:pPr>
              <w:autoSpaceDE w:val="0"/>
              <w:autoSpaceDN w:val="0"/>
              <w:adjustRightInd w:val="0"/>
              <w:jc w:val="center"/>
              <w:rPr>
                <w:sz w:val="16"/>
                <w:szCs w:val="16"/>
              </w:rPr>
            </w:pPr>
            <w:r>
              <w:rPr>
                <w:sz w:val="16"/>
                <w:szCs w:val="16"/>
              </w:rPr>
              <w:t>421</w:t>
            </w:r>
          </w:p>
        </w:tc>
        <w:tc>
          <w:tcPr>
            <w:tcW w:w="296" w:type="pct"/>
            <w:vAlign w:val="center"/>
          </w:tcPr>
          <w:p>
            <w:pPr>
              <w:autoSpaceDE w:val="0"/>
              <w:autoSpaceDN w:val="0"/>
              <w:adjustRightInd w:val="0"/>
              <w:jc w:val="center"/>
              <w:rPr>
                <w:b/>
                <w:sz w:val="16"/>
                <w:szCs w:val="16"/>
              </w:rPr>
            </w:pPr>
            <w:r>
              <w:rPr>
                <w:b/>
                <w:sz w:val="16"/>
                <w:szCs w:val="16"/>
              </w:rPr>
              <w:t>523</w:t>
            </w:r>
          </w:p>
        </w:tc>
        <w:tc>
          <w:tcPr>
            <w:tcW w:w="391" w:type="pct"/>
            <w:vAlign w:val="bottom"/>
          </w:tcPr>
          <w:p>
            <w:pPr>
              <w:jc w:val="center"/>
              <w:rPr>
                <w:rFonts w:eastAsia="Arial Unicode MS"/>
                <w:sz w:val="16"/>
                <w:szCs w:val="16"/>
              </w:rPr>
            </w:pPr>
            <w:r>
              <w:rPr>
                <w:sz w:val="16"/>
                <w:szCs w:val="16"/>
              </w:rPr>
              <w:t>483</w:t>
            </w:r>
          </w:p>
        </w:tc>
        <w:tc>
          <w:tcPr>
            <w:tcW w:w="429" w:type="pct"/>
          </w:tcPr>
          <w:p>
            <w:pPr>
              <w:autoSpaceDE w:val="0"/>
              <w:autoSpaceDN w:val="0"/>
              <w:adjustRightInd w:val="0"/>
              <w:jc w:val="center"/>
              <w:rPr>
                <w:b/>
                <w:sz w:val="16"/>
                <w:szCs w:val="16"/>
              </w:rPr>
            </w:pPr>
            <w:r>
              <w:rPr>
                <w:b/>
                <w:sz w:val="16"/>
                <w:szCs w:val="16"/>
              </w:rPr>
              <w:t>598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 xml:space="preserve">  105 à 107</w:t>
            </w:r>
          </w:p>
        </w:tc>
        <w:tc>
          <w:tcPr>
            <w:tcW w:w="272" w:type="pct"/>
            <w:vAlign w:val="center"/>
          </w:tcPr>
          <w:p>
            <w:pPr>
              <w:autoSpaceDE w:val="0"/>
              <w:autoSpaceDN w:val="0"/>
              <w:adjustRightInd w:val="0"/>
              <w:jc w:val="center"/>
              <w:rPr>
                <w:b/>
                <w:sz w:val="16"/>
                <w:szCs w:val="16"/>
              </w:rPr>
            </w:pPr>
            <w:r>
              <w:rPr>
                <w:b/>
                <w:sz w:val="16"/>
                <w:szCs w:val="16"/>
              </w:rPr>
              <w:t>136</w:t>
            </w:r>
          </w:p>
        </w:tc>
        <w:tc>
          <w:tcPr>
            <w:tcW w:w="391" w:type="pct"/>
            <w:vAlign w:val="center"/>
          </w:tcPr>
          <w:p>
            <w:pPr>
              <w:autoSpaceDE w:val="0"/>
              <w:autoSpaceDN w:val="0"/>
              <w:adjustRightInd w:val="0"/>
              <w:jc w:val="center"/>
              <w:rPr>
                <w:sz w:val="16"/>
                <w:szCs w:val="16"/>
              </w:rPr>
            </w:pPr>
            <w:r>
              <w:rPr>
                <w:sz w:val="16"/>
                <w:szCs w:val="16"/>
              </w:rPr>
              <w:t>174</w:t>
            </w:r>
          </w:p>
        </w:tc>
        <w:tc>
          <w:tcPr>
            <w:tcW w:w="296" w:type="pct"/>
            <w:vAlign w:val="center"/>
          </w:tcPr>
          <w:p>
            <w:pPr>
              <w:autoSpaceDE w:val="0"/>
              <w:autoSpaceDN w:val="0"/>
              <w:adjustRightInd w:val="0"/>
              <w:jc w:val="center"/>
              <w:rPr>
                <w:b/>
                <w:sz w:val="16"/>
                <w:szCs w:val="16"/>
              </w:rPr>
            </w:pPr>
            <w:r>
              <w:rPr>
                <w:b/>
                <w:sz w:val="16"/>
                <w:szCs w:val="16"/>
              </w:rPr>
              <w:t>227</w:t>
            </w:r>
          </w:p>
        </w:tc>
        <w:tc>
          <w:tcPr>
            <w:tcW w:w="391" w:type="pct"/>
            <w:vAlign w:val="center"/>
          </w:tcPr>
          <w:p>
            <w:pPr>
              <w:autoSpaceDE w:val="0"/>
              <w:autoSpaceDN w:val="0"/>
              <w:adjustRightInd w:val="0"/>
              <w:jc w:val="center"/>
              <w:rPr>
                <w:sz w:val="16"/>
                <w:szCs w:val="16"/>
              </w:rPr>
            </w:pPr>
            <w:r>
              <w:rPr>
                <w:sz w:val="16"/>
                <w:szCs w:val="16"/>
              </w:rPr>
              <w:t>236</w:t>
            </w:r>
          </w:p>
        </w:tc>
        <w:tc>
          <w:tcPr>
            <w:tcW w:w="296" w:type="pct"/>
            <w:vAlign w:val="center"/>
          </w:tcPr>
          <w:p>
            <w:pPr>
              <w:autoSpaceDE w:val="0"/>
              <w:autoSpaceDN w:val="0"/>
              <w:adjustRightInd w:val="0"/>
              <w:jc w:val="center"/>
              <w:rPr>
                <w:b/>
                <w:sz w:val="16"/>
                <w:szCs w:val="16"/>
              </w:rPr>
            </w:pPr>
            <w:r>
              <w:rPr>
                <w:b/>
                <w:sz w:val="16"/>
                <w:szCs w:val="16"/>
              </w:rPr>
              <w:t>301</w:t>
            </w:r>
          </w:p>
        </w:tc>
        <w:tc>
          <w:tcPr>
            <w:tcW w:w="391" w:type="pct"/>
            <w:vAlign w:val="center"/>
          </w:tcPr>
          <w:p>
            <w:pPr>
              <w:autoSpaceDE w:val="0"/>
              <w:autoSpaceDN w:val="0"/>
              <w:adjustRightInd w:val="0"/>
              <w:jc w:val="center"/>
              <w:rPr>
                <w:sz w:val="16"/>
                <w:szCs w:val="16"/>
              </w:rPr>
            </w:pPr>
            <w:r>
              <w:rPr>
                <w:sz w:val="16"/>
                <w:szCs w:val="16"/>
              </w:rPr>
              <w:t>298</w:t>
            </w:r>
          </w:p>
        </w:tc>
        <w:tc>
          <w:tcPr>
            <w:tcW w:w="296" w:type="pct"/>
            <w:vAlign w:val="center"/>
          </w:tcPr>
          <w:p>
            <w:pPr>
              <w:autoSpaceDE w:val="0"/>
              <w:autoSpaceDN w:val="0"/>
              <w:adjustRightInd w:val="0"/>
              <w:jc w:val="center"/>
              <w:rPr>
                <w:b/>
                <w:sz w:val="16"/>
                <w:szCs w:val="16"/>
              </w:rPr>
            </w:pPr>
            <w:r>
              <w:rPr>
                <w:b/>
                <w:sz w:val="16"/>
                <w:szCs w:val="16"/>
              </w:rPr>
              <w:t>376</w:t>
            </w:r>
          </w:p>
        </w:tc>
        <w:tc>
          <w:tcPr>
            <w:tcW w:w="391" w:type="pct"/>
            <w:vAlign w:val="center"/>
          </w:tcPr>
          <w:p>
            <w:pPr>
              <w:autoSpaceDE w:val="0"/>
              <w:autoSpaceDN w:val="0"/>
              <w:adjustRightInd w:val="0"/>
              <w:jc w:val="center"/>
              <w:rPr>
                <w:sz w:val="16"/>
                <w:szCs w:val="16"/>
              </w:rPr>
            </w:pPr>
            <w:r>
              <w:rPr>
                <w:sz w:val="16"/>
                <w:szCs w:val="16"/>
              </w:rPr>
              <w:t>360</w:t>
            </w:r>
          </w:p>
        </w:tc>
        <w:tc>
          <w:tcPr>
            <w:tcW w:w="296" w:type="pct"/>
            <w:vAlign w:val="center"/>
          </w:tcPr>
          <w:p>
            <w:pPr>
              <w:autoSpaceDE w:val="0"/>
              <w:autoSpaceDN w:val="0"/>
              <w:adjustRightInd w:val="0"/>
              <w:jc w:val="center"/>
              <w:rPr>
                <w:b/>
                <w:sz w:val="16"/>
                <w:szCs w:val="16"/>
              </w:rPr>
            </w:pPr>
            <w:r>
              <w:rPr>
                <w:b/>
                <w:sz w:val="16"/>
                <w:szCs w:val="16"/>
              </w:rPr>
              <w:t>450</w:t>
            </w:r>
          </w:p>
        </w:tc>
        <w:tc>
          <w:tcPr>
            <w:tcW w:w="391" w:type="pct"/>
            <w:vAlign w:val="center"/>
          </w:tcPr>
          <w:p>
            <w:pPr>
              <w:autoSpaceDE w:val="0"/>
              <w:autoSpaceDN w:val="0"/>
              <w:adjustRightInd w:val="0"/>
              <w:jc w:val="center"/>
              <w:rPr>
                <w:sz w:val="16"/>
                <w:szCs w:val="16"/>
              </w:rPr>
            </w:pPr>
            <w:r>
              <w:rPr>
                <w:sz w:val="16"/>
                <w:szCs w:val="16"/>
              </w:rPr>
              <w:t>422</w:t>
            </w:r>
          </w:p>
        </w:tc>
        <w:tc>
          <w:tcPr>
            <w:tcW w:w="296" w:type="pct"/>
            <w:vAlign w:val="center"/>
          </w:tcPr>
          <w:p>
            <w:pPr>
              <w:autoSpaceDE w:val="0"/>
              <w:autoSpaceDN w:val="0"/>
              <w:adjustRightInd w:val="0"/>
              <w:jc w:val="center"/>
              <w:rPr>
                <w:b/>
                <w:sz w:val="16"/>
                <w:szCs w:val="16"/>
              </w:rPr>
            </w:pPr>
            <w:r>
              <w:rPr>
                <w:b/>
                <w:sz w:val="16"/>
                <w:szCs w:val="16"/>
              </w:rPr>
              <w:t>524</w:t>
            </w:r>
          </w:p>
        </w:tc>
        <w:tc>
          <w:tcPr>
            <w:tcW w:w="391" w:type="pct"/>
            <w:vAlign w:val="bottom"/>
          </w:tcPr>
          <w:p>
            <w:pPr>
              <w:jc w:val="center"/>
              <w:rPr>
                <w:rFonts w:eastAsia="Arial Unicode MS"/>
                <w:sz w:val="16"/>
                <w:szCs w:val="16"/>
              </w:rPr>
            </w:pPr>
            <w:r>
              <w:rPr>
                <w:sz w:val="16"/>
                <w:szCs w:val="16"/>
              </w:rPr>
              <w:t>484</w:t>
            </w:r>
          </w:p>
        </w:tc>
        <w:tc>
          <w:tcPr>
            <w:tcW w:w="429" w:type="pct"/>
          </w:tcPr>
          <w:p>
            <w:pPr>
              <w:autoSpaceDE w:val="0"/>
              <w:autoSpaceDN w:val="0"/>
              <w:adjustRightInd w:val="0"/>
              <w:jc w:val="center"/>
              <w:rPr>
                <w:b/>
                <w:sz w:val="16"/>
                <w:szCs w:val="16"/>
              </w:rPr>
            </w:pPr>
            <w:r>
              <w:rPr>
                <w:b/>
                <w:sz w:val="16"/>
                <w:szCs w:val="16"/>
              </w:rPr>
              <w:t>599</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 xml:space="preserve">  108 à 110</w:t>
            </w:r>
          </w:p>
        </w:tc>
        <w:tc>
          <w:tcPr>
            <w:tcW w:w="272" w:type="pct"/>
            <w:vAlign w:val="center"/>
          </w:tcPr>
          <w:p>
            <w:pPr>
              <w:autoSpaceDE w:val="0"/>
              <w:autoSpaceDN w:val="0"/>
              <w:adjustRightInd w:val="0"/>
              <w:jc w:val="center"/>
              <w:rPr>
                <w:b/>
                <w:sz w:val="16"/>
                <w:szCs w:val="16"/>
              </w:rPr>
            </w:pPr>
            <w:r>
              <w:rPr>
                <w:b/>
                <w:sz w:val="16"/>
                <w:szCs w:val="16"/>
              </w:rPr>
              <w:t>138</w:t>
            </w:r>
          </w:p>
        </w:tc>
        <w:tc>
          <w:tcPr>
            <w:tcW w:w="391" w:type="pct"/>
            <w:vAlign w:val="center"/>
          </w:tcPr>
          <w:p>
            <w:pPr>
              <w:autoSpaceDE w:val="0"/>
              <w:autoSpaceDN w:val="0"/>
              <w:adjustRightInd w:val="0"/>
              <w:jc w:val="center"/>
              <w:rPr>
                <w:sz w:val="16"/>
                <w:szCs w:val="16"/>
              </w:rPr>
            </w:pPr>
            <w:r>
              <w:rPr>
                <w:sz w:val="16"/>
                <w:szCs w:val="16"/>
              </w:rPr>
              <w:t>175</w:t>
            </w:r>
          </w:p>
        </w:tc>
        <w:tc>
          <w:tcPr>
            <w:tcW w:w="296" w:type="pct"/>
            <w:vAlign w:val="center"/>
          </w:tcPr>
          <w:p>
            <w:pPr>
              <w:autoSpaceDE w:val="0"/>
              <w:autoSpaceDN w:val="0"/>
              <w:adjustRightInd w:val="0"/>
              <w:jc w:val="center"/>
              <w:rPr>
                <w:b/>
                <w:sz w:val="16"/>
                <w:szCs w:val="16"/>
              </w:rPr>
            </w:pPr>
            <w:r>
              <w:rPr>
                <w:b/>
                <w:sz w:val="16"/>
                <w:szCs w:val="16"/>
              </w:rPr>
              <w:t>228</w:t>
            </w:r>
          </w:p>
        </w:tc>
        <w:tc>
          <w:tcPr>
            <w:tcW w:w="391" w:type="pct"/>
            <w:vAlign w:val="center"/>
          </w:tcPr>
          <w:p>
            <w:pPr>
              <w:autoSpaceDE w:val="0"/>
              <w:autoSpaceDN w:val="0"/>
              <w:adjustRightInd w:val="0"/>
              <w:jc w:val="center"/>
              <w:rPr>
                <w:sz w:val="16"/>
                <w:szCs w:val="16"/>
              </w:rPr>
            </w:pPr>
            <w:r>
              <w:rPr>
                <w:sz w:val="16"/>
                <w:szCs w:val="16"/>
              </w:rPr>
              <w:t>237</w:t>
            </w:r>
          </w:p>
        </w:tc>
        <w:tc>
          <w:tcPr>
            <w:tcW w:w="296" w:type="pct"/>
            <w:vAlign w:val="center"/>
          </w:tcPr>
          <w:p>
            <w:pPr>
              <w:autoSpaceDE w:val="0"/>
              <w:autoSpaceDN w:val="0"/>
              <w:adjustRightInd w:val="0"/>
              <w:jc w:val="center"/>
              <w:rPr>
                <w:b/>
                <w:sz w:val="16"/>
                <w:szCs w:val="16"/>
              </w:rPr>
            </w:pPr>
            <w:r>
              <w:rPr>
                <w:b/>
                <w:sz w:val="16"/>
                <w:szCs w:val="16"/>
              </w:rPr>
              <w:t>302</w:t>
            </w:r>
          </w:p>
        </w:tc>
        <w:tc>
          <w:tcPr>
            <w:tcW w:w="391" w:type="pct"/>
            <w:vAlign w:val="center"/>
          </w:tcPr>
          <w:p>
            <w:pPr>
              <w:autoSpaceDE w:val="0"/>
              <w:autoSpaceDN w:val="0"/>
              <w:adjustRightInd w:val="0"/>
              <w:jc w:val="center"/>
              <w:rPr>
                <w:sz w:val="16"/>
                <w:szCs w:val="16"/>
              </w:rPr>
            </w:pPr>
            <w:r>
              <w:rPr>
                <w:sz w:val="16"/>
                <w:szCs w:val="16"/>
              </w:rPr>
              <w:t>299</w:t>
            </w:r>
          </w:p>
        </w:tc>
        <w:tc>
          <w:tcPr>
            <w:tcW w:w="296" w:type="pct"/>
            <w:vAlign w:val="center"/>
          </w:tcPr>
          <w:p>
            <w:pPr>
              <w:autoSpaceDE w:val="0"/>
              <w:autoSpaceDN w:val="0"/>
              <w:adjustRightInd w:val="0"/>
              <w:jc w:val="center"/>
              <w:rPr>
                <w:b/>
                <w:sz w:val="16"/>
                <w:szCs w:val="16"/>
              </w:rPr>
            </w:pPr>
            <w:r>
              <w:rPr>
                <w:b/>
                <w:sz w:val="16"/>
                <w:szCs w:val="16"/>
              </w:rPr>
              <w:t>377</w:t>
            </w:r>
          </w:p>
        </w:tc>
        <w:tc>
          <w:tcPr>
            <w:tcW w:w="391" w:type="pct"/>
            <w:vAlign w:val="center"/>
          </w:tcPr>
          <w:p>
            <w:pPr>
              <w:autoSpaceDE w:val="0"/>
              <w:autoSpaceDN w:val="0"/>
              <w:adjustRightInd w:val="0"/>
              <w:jc w:val="center"/>
              <w:rPr>
                <w:sz w:val="16"/>
                <w:szCs w:val="16"/>
              </w:rPr>
            </w:pPr>
            <w:r>
              <w:rPr>
                <w:sz w:val="16"/>
                <w:szCs w:val="16"/>
              </w:rPr>
              <w:t>361</w:t>
            </w:r>
          </w:p>
        </w:tc>
        <w:tc>
          <w:tcPr>
            <w:tcW w:w="296" w:type="pct"/>
            <w:vAlign w:val="center"/>
          </w:tcPr>
          <w:p>
            <w:pPr>
              <w:autoSpaceDE w:val="0"/>
              <w:autoSpaceDN w:val="0"/>
              <w:adjustRightInd w:val="0"/>
              <w:jc w:val="center"/>
              <w:rPr>
                <w:b/>
                <w:sz w:val="16"/>
                <w:szCs w:val="16"/>
              </w:rPr>
            </w:pPr>
            <w:r>
              <w:rPr>
                <w:b/>
                <w:sz w:val="16"/>
                <w:szCs w:val="16"/>
              </w:rPr>
              <w:t>451</w:t>
            </w:r>
          </w:p>
        </w:tc>
        <w:tc>
          <w:tcPr>
            <w:tcW w:w="391" w:type="pct"/>
            <w:vAlign w:val="center"/>
          </w:tcPr>
          <w:p>
            <w:pPr>
              <w:autoSpaceDE w:val="0"/>
              <w:autoSpaceDN w:val="0"/>
              <w:adjustRightInd w:val="0"/>
              <w:jc w:val="center"/>
              <w:rPr>
                <w:sz w:val="16"/>
                <w:szCs w:val="16"/>
              </w:rPr>
            </w:pPr>
            <w:r>
              <w:rPr>
                <w:sz w:val="16"/>
                <w:szCs w:val="16"/>
              </w:rPr>
              <w:t>423</w:t>
            </w:r>
          </w:p>
        </w:tc>
        <w:tc>
          <w:tcPr>
            <w:tcW w:w="296" w:type="pct"/>
            <w:vAlign w:val="center"/>
          </w:tcPr>
          <w:p>
            <w:pPr>
              <w:autoSpaceDE w:val="0"/>
              <w:autoSpaceDN w:val="0"/>
              <w:adjustRightInd w:val="0"/>
              <w:jc w:val="center"/>
              <w:rPr>
                <w:b/>
                <w:sz w:val="16"/>
                <w:szCs w:val="16"/>
              </w:rPr>
            </w:pPr>
            <w:r>
              <w:rPr>
                <w:b/>
                <w:sz w:val="16"/>
                <w:szCs w:val="16"/>
              </w:rPr>
              <w:t>526</w:t>
            </w:r>
          </w:p>
        </w:tc>
        <w:tc>
          <w:tcPr>
            <w:tcW w:w="391" w:type="pct"/>
            <w:vAlign w:val="bottom"/>
          </w:tcPr>
          <w:p>
            <w:pPr>
              <w:jc w:val="center"/>
              <w:rPr>
                <w:rFonts w:eastAsia="Arial Unicode MS"/>
                <w:sz w:val="16"/>
                <w:szCs w:val="16"/>
              </w:rPr>
            </w:pPr>
            <w:r>
              <w:rPr>
                <w:sz w:val="16"/>
                <w:szCs w:val="16"/>
              </w:rPr>
              <w:t>485</w:t>
            </w:r>
          </w:p>
        </w:tc>
        <w:tc>
          <w:tcPr>
            <w:tcW w:w="429" w:type="pct"/>
          </w:tcPr>
          <w:p>
            <w:pPr>
              <w:autoSpaceDE w:val="0"/>
              <w:autoSpaceDN w:val="0"/>
              <w:adjustRightInd w:val="0"/>
              <w:jc w:val="center"/>
              <w:rPr>
                <w:b/>
                <w:sz w:val="16"/>
                <w:szCs w:val="16"/>
              </w:rPr>
            </w:pPr>
            <w:r>
              <w:rPr>
                <w:b/>
                <w:sz w:val="16"/>
                <w:szCs w:val="16"/>
              </w:rPr>
              <w:t>600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 xml:space="preserve">  111 à 114</w:t>
            </w:r>
          </w:p>
        </w:tc>
        <w:tc>
          <w:tcPr>
            <w:tcW w:w="272" w:type="pct"/>
            <w:vAlign w:val="center"/>
          </w:tcPr>
          <w:p>
            <w:pPr>
              <w:autoSpaceDE w:val="0"/>
              <w:autoSpaceDN w:val="0"/>
              <w:adjustRightInd w:val="0"/>
              <w:jc w:val="center"/>
              <w:rPr>
                <w:b/>
                <w:sz w:val="16"/>
                <w:szCs w:val="16"/>
              </w:rPr>
            </w:pPr>
            <w:r>
              <w:rPr>
                <w:b/>
                <w:sz w:val="16"/>
                <w:szCs w:val="16"/>
              </w:rPr>
              <w:t>144</w:t>
            </w:r>
          </w:p>
        </w:tc>
        <w:tc>
          <w:tcPr>
            <w:tcW w:w="391" w:type="pct"/>
            <w:vAlign w:val="center"/>
          </w:tcPr>
          <w:p>
            <w:pPr>
              <w:autoSpaceDE w:val="0"/>
              <w:autoSpaceDN w:val="0"/>
              <w:adjustRightInd w:val="0"/>
              <w:jc w:val="center"/>
              <w:rPr>
                <w:sz w:val="16"/>
                <w:szCs w:val="16"/>
              </w:rPr>
            </w:pPr>
            <w:r>
              <w:rPr>
                <w:sz w:val="16"/>
                <w:szCs w:val="16"/>
              </w:rPr>
              <w:t>176</w:t>
            </w:r>
          </w:p>
        </w:tc>
        <w:tc>
          <w:tcPr>
            <w:tcW w:w="296" w:type="pct"/>
            <w:vAlign w:val="center"/>
          </w:tcPr>
          <w:p>
            <w:pPr>
              <w:autoSpaceDE w:val="0"/>
              <w:autoSpaceDN w:val="0"/>
              <w:adjustRightInd w:val="0"/>
              <w:jc w:val="center"/>
              <w:rPr>
                <w:b/>
                <w:sz w:val="16"/>
                <w:szCs w:val="16"/>
              </w:rPr>
            </w:pPr>
            <w:r>
              <w:rPr>
                <w:b/>
                <w:sz w:val="16"/>
                <w:szCs w:val="16"/>
              </w:rPr>
              <w:t>229</w:t>
            </w:r>
          </w:p>
        </w:tc>
        <w:tc>
          <w:tcPr>
            <w:tcW w:w="391" w:type="pct"/>
            <w:vAlign w:val="center"/>
          </w:tcPr>
          <w:p>
            <w:pPr>
              <w:autoSpaceDE w:val="0"/>
              <w:autoSpaceDN w:val="0"/>
              <w:adjustRightInd w:val="0"/>
              <w:jc w:val="center"/>
              <w:rPr>
                <w:sz w:val="16"/>
                <w:szCs w:val="16"/>
              </w:rPr>
            </w:pPr>
            <w:r>
              <w:rPr>
                <w:sz w:val="16"/>
                <w:szCs w:val="16"/>
              </w:rPr>
              <w:t>238</w:t>
            </w:r>
          </w:p>
        </w:tc>
        <w:tc>
          <w:tcPr>
            <w:tcW w:w="296" w:type="pct"/>
            <w:vAlign w:val="center"/>
          </w:tcPr>
          <w:p>
            <w:pPr>
              <w:autoSpaceDE w:val="0"/>
              <w:autoSpaceDN w:val="0"/>
              <w:adjustRightInd w:val="0"/>
              <w:jc w:val="center"/>
              <w:rPr>
                <w:b/>
                <w:sz w:val="16"/>
                <w:szCs w:val="16"/>
              </w:rPr>
            </w:pPr>
            <w:r>
              <w:rPr>
                <w:b/>
                <w:sz w:val="16"/>
                <w:szCs w:val="16"/>
              </w:rPr>
              <w:t>304</w:t>
            </w:r>
          </w:p>
        </w:tc>
        <w:tc>
          <w:tcPr>
            <w:tcW w:w="391" w:type="pct"/>
            <w:vAlign w:val="center"/>
          </w:tcPr>
          <w:p>
            <w:pPr>
              <w:autoSpaceDE w:val="0"/>
              <w:autoSpaceDN w:val="0"/>
              <w:adjustRightInd w:val="0"/>
              <w:jc w:val="center"/>
              <w:rPr>
                <w:sz w:val="16"/>
                <w:szCs w:val="16"/>
              </w:rPr>
            </w:pPr>
            <w:r>
              <w:rPr>
                <w:sz w:val="16"/>
                <w:szCs w:val="16"/>
              </w:rPr>
              <w:t>300</w:t>
            </w:r>
          </w:p>
        </w:tc>
        <w:tc>
          <w:tcPr>
            <w:tcW w:w="296" w:type="pct"/>
            <w:vAlign w:val="center"/>
          </w:tcPr>
          <w:p>
            <w:pPr>
              <w:autoSpaceDE w:val="0"/>
              <w:autoSpaceDN w:val="0"/>
              <w:adjustRightInd w:val="0"/>
              <w:jc w:val="center"/>
              <w:rPr>
                <w:b/>
                <w:sz w:val="16"/>
                <w:szCs w:val="16"/>
              </w:rPr>
            </w:pPr>
            <w:r>
              <w:rPr>
                <w:b/>
                <w:sz w:val="16"/>
                <w:szCs w:val="16"/>
              </w:rPr>
              <w:t>378</w:t>
            </w:r>
          </w:p>
        </w:tc>
        <w:tc>
          <w:tcPr>
            <w:tcW w:w="391" w:type="pct"/>
            <w:vAlign w:val="center"/>
          </w:tcPr>
          <w:p>
            <w:pPr>
              <w:autoSpaceDE w:val="0"/>
              <w:autoSpaceDN w:val="0"/>
              <w:adjustRightInd w:val="0"/>
              <w:jc w:val="center"/>
              <w:rPr>
                <w:sz w:val="16"/>
                <w:szCs w:val="16"/>
              </w:rPr>
            </w:pPr>
            <w:r>
              <w:rPr>
                <w:sz w:val="16"/>
                <w:szCs w:val="16"/>
              </w:rPr>
              <w:t>362</w:t>
            </w:r>
          </w:p>
        </w:tc>
        <w:tc>
          <w:tcPr>
            <w:tcW w:w="296" w:type="pct"/>
            <w:vAlign w:val="center"/>
          </w:tcPr>
          <w:p>
            <w:pPr>
              <w:autoSpaceDE w:val="0"/>
              <w:autoSpaceDN w:val="0"/>
              <w:adjustRightInd w:val="0"/>
              <w:jc w:val="center"/>
              <w:rPr>
                <w:b/>
                <w:sz w:val="16"/>
                <w:szCs w:val="16"/>
              </w:rPr>
            </w:pPr>
            <w:r>
              <w:rPr>
                <w:b/>
                <w:sz w:val="16"/>
                <w:szCs w:val="16"/>
              </w:rPr>
              <w:t>452</w:t>
            </w:r>
          </w:p>
        </w:tc>
        <w:tc>
          <w:tcPr>
            <w:tcW w:w="391" w:type="pct"/>
            <w:vAlign w:val="center"/>
          </w:tcPr>
          <w:p>
            <w:pPr>
              <w:autoSpaceDE w:val="0"/>
              <w:autoSpaceDN w:val="0"/>
              <w:adjustRightInd w:val="0"/>
              <w:jc w:val="center"/>
              <w:rPr>
                <w:sz w:val="16"/>
                <w:szCs w:val="16"/>
              </w:rPr>
            </w:pPr>
            <w:r>
              <w:rPr>
                <w:sz w:val="16"/>
                <w:szCs w:val="16"/>
              </w:rPr>
              <w:t>424</w:t>
            </w:r>
          </w:p>
        </w:tc>
        <w:tc>
          <w:tcPr>
            <w:tcW w:w="296" w:type="pct"/>
            <w:vAlign w:val="center"/>
          </w:tcPr>
          <w:p>
            <w:pPr>
              <w:autoSpaceDE w:val="0"/>
              <w:autoSpaceDN w:val="0"/>
              <w:adjustRightInd w:val="0"/>
              <w:jc w:val="center"/>
              <w:rPr>
                <w:b/>
                <w:sz w:val="16"/>
                <w:szCs w:val="16"/>
              </w:rPr>
            </w:pPr>
            <w:r>
              <w:rPr>
                <w:b/>
                <w:sz w:val="16"/>
                <w:szCs w:val="16"/>
              </w:rPr>
              <w:t>527</w:t>
            </w:r>
          </w:p>
        </w:tc>
        <w:tc>
          <w:tcPr>
            <w:tcW w:w="391" w:type="pct"/>
            <w:vAlign w:val="bottom"/>
          </w:tcPr>
          <w:p>
            <w:pPr>
              <w:jc w:val="center"/>
              <w:rPr>
                <w:rFonts w:eastAsia="Arial Unicode MS"/>
                <w:sz w:val="16"/>
                <w:szCs w:val="16"/>
              </w:rPr>
            </w:pPr>
            <w:r>
              <w:rPr>
                <w:sz w:val="16"/>
                <w:szCs w:val="16"/>
              </w:rPr>
              <w:t>486</w:t>
            </w:r>
          </w:p>
        </w:tc>
        <w:tc>
          <w:tcPr>
            <w:tcW w:w="429" w:type="pct"/>
          </w:tcPr>
          <w:p>
            <w:pPr>
              <w:autoSpaceDE w:val="0"/>
              <w:autoSpaceDN w:val="0"/>
              <w:adjustRightInd w:val="0"/>
              <w:jc w:val="center"/>
              <w:rPr>
                <w:b/>
                <w:sz w:val="16"/>
                <w:szCs w:val="16"/>
              </w:rPr>
            </w:pPr>
            <w:r>
              <w:rPr>
                <w:b/>
                <w:sz w:val="16"/>
                <w:szCs w:val="16"/>
              </w:rPr>
              <w:t>601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115</w:t>
            </w:r>
          </w:p>
        </w:tc>
        <w:tc>
          <w:tcPr>
            <w:tcW w:w="272" w:type="pct"/>
            <w:vAlign w:val="center"/>
          </w:tcPr>
          <w:p>
            <w:pPr>
              <w:autoSpaceDE w:val="0"/>
              <w:autoSpaceDN w:val="0"/>
              <w:adjustRightInd w:val="0"/>
              <w:jc w:val="center"/>
              <w:rPr>
                <w:b/>
                <w:sz w:val="16"/>
                <w:szCs w:val="16"/>
              </w:rPr>
            </w:pPr>
            <w:r>
              <w:rPr>
                <w:b/>
                <w:sz w:val="16"/>
                <w:szCs w:val="16"/>
              </w:rPr>
              <w:t>156</w:t>
            </w:r>
          </w:p>
        </w:tc>
        <w:tc>
          <w:tcPr>
            <w:tcW w:w="391" w:type="pct"/>
            <w:vAlign w:val="center"/>
          </w:tcPr>
          <w:p>
            <w:pPr>
              <w:autoSpaceDE w:val="0"/>
              <w:autoSpaceDN w:val="0"/>
              <w:adjustRightInd w:val="0"/>
              <w:jc w:val="center"/>
              <w:rPr>
                <w:sz w:val="16"/>
                <w:szCs w:val="16"/>
              </w:rPr>
            </w:pPr>
            <w:r>
              <w:rPr>
                <w:sz w:val="16"/>
                <w:szCs w:val="16"/>
              </w:rPr>
              <w:t>177</w:t>
            </w:r>
          </w:p>
        </w:tc>
        <w:tc>
          <w:tcPr>
            <w:tcW w:w="296" w:type="pct"/>
            <w:vAlign w:val="center"/>
          </w:tcPr>
          <w:p>
            <w:pPr>
              <w:autoSpaceDE w:val="0"/>
              <w:autoSpaceDN w:val="0"/>
              <w:adjustRightInd w:val="0"/>
              <w:jc w:val="center"/>
              <w:rPr>
                <w:b/>
                <w:sz w:val="16"/>
                <w:szCs w:val="16"/>
              </w:rPr>
            </w:pPr>
            <w:r>
              <w:rPr>
                <w:b/>
                <w:sz w:val="16"/>
                <w:szCs w:val="16"/>
              </w:rPr>
              <w:t>230</w:t>
            </w:r>
          </w:p>
        </w:tc>
        <w:tc>
          <w:tcPr>
            <w:tcW w:w="391" w:type="pct"/>
            <w:vAlign w:val="center"/>
          </w:tcPr>
          <w:p>
            <w:pPr>
              <w:autoSpaceDE w:val="0"/>
              <w:autoSpaceDN w:val="0"/>
              <w:adjustRightInd w:val="0"/>
              <w:jc w:val="center"/>
              <w:rPr>
                <w:sz w:val="16"/>
                <w:szCs w:val="16"/>
              </w:rPr>
            </w:pPr>
            <w:r>
              <w:rPr>
                <w:sz w:val="16"/>
                <w:szCs w:val="16"/>
              </w:rPr>
              <w:t>239</w:t>
            </w:r>
          </w:p>
        </w:tc>
        <w:tc>
          <w:tcPr>
            <w:tcW w:w="296" w:type="pct"/>
            <w:vAlign w:val="center"/>
          </w:tcPr>
          <w:p>
            <w:pPr>
              <w:autoSpaceDE w:val="0"/>
              <w:autoSpaceDN w:val="0"/>
              <w:adjustRightInd w:val="0"/>
              <w:jc w:val="center"/>
              <w:rPr>
                <w:b/>
                <w:sz w:val="16"/>
                <w:szCs w:val="16"/>
              </w:rPr>
            </w:pPr>
            <w:r>
              <w:rPr>
                <w:b/>
                <w:sz w:val="16"/>
                <w:szCs w:val="16"/>
              </w:rPr>
              <w:t>305</w:t>
            </w:r>
          </w:p>
        </w:tc>
        <w:tc>
          <w:tcPr>
            <w:tcW w:w="391" w:type="pct"/>
            <w:vAlign w:val="center"/>
          </w:tcPr>
          <w:p>
            <w:pPr>
              <w:autoSpaceDE w:val="0"/>
              <w:autoSpaceDN w:val="0"/>
              <w:adjustRightInd w:val="0"/>
              <w:jc w:val="center"/>
              <w:rPr>
                <w:sz w:val="16"/>
                <w:szCs w:val="16"/>
              </w:rPr>
            </w:pPr>
            <w:r>
              <w:rPr>
                <w:sz w:val="16"/>
                <w:szCs w:val="16"/>
              </w:rPr>
              <w:t>301</w:t>
            </w:r>
          </w:p>
        </w:tc>
        <w:tc>
          <w:tcPr>
            <w:tcW w:w="296" w:type="pct"/>
            <w:vAlign w:val="center"/>
          </w:tcPr>
          <w:p>
            <w:pPr>
              <w:autoSpaceDE w:val="0"/>
              <w:autoSpaceDN w:val="0"/>
              <w:adjustRightInd w:val="0"/>
              <w:jc w:val="center"/>
              <w:rPr>
                <w:b/>
                <w:sz w:val="16"/>
                <w:szCs w:val="16"/>
              </w:rPr>
            </w:pPr>
            <w:r>
              <w:rPr>
                <w:b/>
                <w:sz w:val="16"/>
                <w:szCs w:val="16"/>
              </w:rPr>
              <w:t>379</w:t>
            </w:r>
          </w:p>
        </w:tc>
        <w:tc>
          <w:tcPr>
            <w:tcW w:w="391" w:type="pct"/>
            <w:vAlign w:val="center"/>
          </w:tcPr>
          <w:p>
            <w:pPr>
              <w:autoSpaceDE w:val="0"/>
              <w:autoSpaceDN w:val="0"/>
              <w:adjustRightInd w:val="0"/>
              <w:jc w:val="center"/>
              <w:rPr>
                <w:sz w:val="16"/>
                <w:szCs w:val="16"/>
              </w:rPr>
            </w:pPr>
            <w:r>
              <w:rPr>
                <w:sz w:val="16"/>
                <w:szCs w:val="16"/>
              </w:rPr>
              <w:t>363</w:t>
            </w:r>
          </w:p>
        </w:tc>
        <w:tc>
          <w:tcPr>
            <w:tcW w:w="296" w:type="pct"/>
            <w:vAlign w:val="center"/>
          </w:tcPr>
          <w:p>
            <w:pPr>
              <w:autoSpaceDE w:val="0"/>
              <w:autoSpaceDN w:val="0"/>
              <w:adjustRightInd w:val="0"/>
              <w:jc w:val="center"/>
              <w:rPr>
                <w:b/>
                <w:sz w:val="16"/>
                <w:szCs w:val="16"/>
              </w:rPr>
            </w:pPr>
            <w:r>
              <w:rPr>
                <w:b/>
                <w:sz w:val="16"/>
                <w:szCs w:val="16"/>
              </w:rPr>
              <w:t>454</w:t>
            </w:r>
          </w:p>
        </w:tc>
        <w:tc>
          <w:tcPr>
            <w:tcW w:w="391" w:type="pct"/>
            <w:vAlign w:val="center"/>
          </w:tcPr>
          <w:p>
            <w:pPr>
              <w:autoSpaceDE w:val="0"/>
              <w:autoSpaceDN w:val="0"/>
              <w:adjustRightInd w:val="0"/>
              <w:jc w:val="center"/>
              <w:rPr>
                <w:sz w:val="16"/>
                <w:szCs w:val="16"/>
              </w:rPr>
            </w:pPr>
            <w:r>
              <w:rPr>
                <w:sz w:val="16"/>
                <w:szCs w:val="16"/>
              </w:rPr>
              <w:t>425</w:t>
            </w:r>
          </w:p>
        </w:tc>
        <w:tc>
          <w:tcPr>
            <w:tcW w:w="296" w:type="pct"/>
            <w:vAlign w:val="center"/>
          </w:tcPr>
          <w:p>
            <w:pPr>
              <w:autoSpaceDE w:val="0"/>
              <w:autoSpaceDN w:val="0"/>
              <w:adjustRightInd w:val="0"/>
              <w:jc w:val="center"/>
              <w:rPr>
                <w:b/>
                <w:sz w:val="16"/>
                <w:szCs w:val="16"/>
              </w:rPr>
            </w:pPr>
            <w:r>
              <w:rPr>
                <w:b/>
                <w:sz w:val="16"/>
                <w:szCs w:val="16"/>
              </w:rPr>
              <w:t>528</w:t>
            </w:r>
          </w:p>
        </w:tc>
        <w:tc>
          <w:tcPr>
            <w:tcW w:w="391" w:type="pct"/>
            <w:vAlign w:val="bottom"/>
          </w:tcPr>
          <w:p>
            <w:pPr>
              <w:jc w:val="center"/>
              <w:rPr>
                <w:rFonts w:eastAsia="Arial Unicode MS"/>
                <w:sz w:val="16"/>
                <w:szCs w:val="16"/>
              </w:rPr>
            </w:pPr>
            <w:r>
              <w:rPr>
                <w:sz w:val="16"/>
                <w:szCs w:val="16"/>
              </w:rPr>
              <w:t>487</w:t>
            </w:r>
          </w:p>
        </w:tc>
        <w:tc>
          <w:tcPr>
            <w:tcW w:w="429" w:type="pct"/>
          </w:tcPr>
          <w:p>
            <w:pPr>
              <w:autoSpaceDE w:val="0"/>
              <w:autoSpaceDN w:val="0"/>
              <w:adjustRightInd w:val="0"/>
              <w:jc w:val="center"/>
              <w:rPr>
                <w:b/>
                <w:sz w:val="16"/>
                <w:szCs w:val="16"/>
              </w:rPr>
            </w:pPr>
            <w:r>
              <w:rPr>
                <w:b/>
                <w:sz w:val="16"/>
                <w:szCs w:val="16"/>
              </w:rPr>
              <w:t>602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116</w:t>
            </w:r>
          </w:p>
        </w:tc>
        <w:tc>
          <w:tcPr>
            <w:tcW w:w="272" w:type="pct"/>
            <w:vAlign w:val="center"/>
          </w:tcPr>
          <w:p>
            <w:pPr>
              <w:autoSpaceDE w:val="0"/>
              <w:autoSpaceDN w:val="0"/>
              <w:adjustRightInd w:val="0"/>
              <w:jc w:val="center"/>
              <w:rPr>
                <w:b/>
                <w:sz w:val="16"/>
                <w:szCs w:val="16"/>
              </w:rPr>
            </w:pPr>
            <w:r>
              <w:rPr>
                <w:b/>
                <w:sz w:val="16"/>
                <w:szCs w:val="16"/>
              </w:rPr>
              <w:t>157</w:t>
            </w:r>
          </w:p>
        </w:tc>
        <w:tc>
          <w:tcPr>
            <w:tcW w:w="391" w:type="pct"/>
            <w:vAlign w:val="center"/>
          </w:tcPr>
          <w:p>
            <w:pPr>
              <w:autoSpaceDE w:val="0"/>
              <w:autoSpaceDN w:val="0"/>
              <w:adjustRightInd w:val="0"/>
              <w:jc w:val="center"/>
              <w:rPr>
                <w:sz w:val="16"/>
                <w:szCs w:val="16"/>
              </w:rPr>
            </w:pPr>
            <w:r>
              <w:rPr>
                <w:sz w:val="16"/>
                <w:szCs w:val="16"/>
              </w:rPr>
              <w:t>178</w:t>
            </w:r>
          </w:p>
        </w:tc>
        <w:tc>
          <w:tcPr>
            <w:tcW w:w="296" w:type="pct"/>
            <w:vAlign w:val="center"/>
          </w:tcPr>
          <w:p>
            <w:pPr>
              <w:autoSpaceDE w:val="0"/>
              <w:autoSpaceDN w:val="0"/>
              <w:adjustRightInd w:val="0"/>
              <w:jc w:val="center"/>
              <w:rPr>
                <w:b/>
                <w:sz w:val="16"/>
                <w:szCs w:val="16"/>
              </w:rPr>
            </w:pPr>
            <w:r>
              <w:rPr>
                <w:b/>
                <w:sz w:val="16"/>
                <w:szCs w:val="16"/>
              </w:rPr>
              <w:t>232</w:t>
            </w:r>
          </w:p>
        </w:tc>
        <w:tc>
          <w:tcPr>
            <w:tcW w:w="391" w:type="pct"/>
            <w:vAlign w:val="center"/>
          </w:tcPr>
          <w:p>
            <w:pPr>
              <w:autoSpaceDE w:val="0"/>
              <w:autoSpaceDN w:val="0"/>
              <w:adjustRightInd w:val="0"/>
              <w:jc w:val="center"/>
              <w:rPr>
                <w:sz w:val="16"/>
                <w:szCs w:val="16"/>
              </w:rPr>
            </w:pPr>
            <w:r>
              <w:rPr>
                <w:sz w:val="16"/>
                <w:szCs w:val="16"/>
              </w:rPr>
              <w:t>240</w:t>
            </w:r>
          </w:p>
        </w:tc>
        <w:tc>
          <w:tcPr>
            <w:tcW w:w="296" w:type="pct"/>
            <w:vAlign w:val="center"/>
          </w:tcPr>
          <w:p>
            <w:pPr>
              <w:autoSpaceDE w:val="0"/>
              <w:autoSpaceDN w:val="0"/>
              <w:adjustRightInd w:val="0"/>
              <w:jc w:val="center"/>
              <w:rPr>
                <w:b/>
                <w:sz w:val="16"/>
                <w:szCs w:val="16"/>
              </w:rPr>
            </w:pPr>
            <w:r>
              <w:rPr>
                <w:b/>
                <w:sz w:val="16"/>
                <w:szCs w:val="16"/>
              </w:rPr>
              <w:t>306</w:t>
            </w:r>
          </w:p>
        </w:tc>
        <w:tc>
          <w:tcPr>
            <w:tcW w:w="391" w:type="pct"/>
            <w:vAlign w:val="center"/>
          </w:tcPr>
          <w:p>
            <w:pPr>
              <w:autoSpaceDE w:val="0"/>
              <w:autoSpaceDN w:val="0"/>
              <w:adjustRightInd w:val="0"/>
              <w:jc w:val="center"/>
              <w:rPr>
                <w:sz w:val="16"/>
                <w:szCs w:val="16"/>
              </w:rPr>
            </w:pPr>
            <w:r>
              <w:rPr>
                <w:sz w:val="16"/>
                <w:szCs w:val="16"/>
              </w:rPr>
              <w:t>302</w:t>
            </w:r>
          </w:p>
        </w:tc>
        <w:tc>
          <w:tcPr>
            <w:tcW w:w="296" w:type="pct"/>
            <w:vAlign w:val="center"/>
          </w:tcPr>
          <w:p>
            <w:pPr>
              <w:autoSpaceDE w:val="0"/>
              <w:autoSpaceDN w:val="0"/>
              <w:adjustRightInd w:val="0"/>
              <w:jc w:val="center"/>
              <w:rPr>
                <w:b/>
                <w:sz w:val="16"/>
                <w:szCs w:val="16"/>
              </w:rPr>
            </w:pPr>
            <w:r>
              <w:rPr>
                <w:b/>
                <w:sz w:val="16"/>
                <w:szCs w:val="16"/>
              </w:rPr>
              <w:t>380</w:t>
            </w:r>
          </w:p>
        </w:tc>
        <w:tc>
          <w:tcPr>
            <w:tcW w:w="391" w:type="pct"/>
            <w:vAlign w:val="center"/>
          </w:tcPr>
          <w:p>
            <w:pPr>
              <w:autoSpaceDE w:val="0"/>
              <w:autoSpaceDN w:val="0"/>
              <w:adjustRightInd w:val="0"/>
              <w:jc w:val="center"/>
              <w:rPr>
                <w:sz w:val="16"/>
                <w:szCs w:val="16"/>
              </w:rPr>
            </w:pPr>
            <w:r>
              <w:rPr>
                <w:sz w:val="16"/>
                <w:szCs w:val="16"/>
              </w:rPr>
              <w:t>364</w:t>
            </w:r>
          </w:p>
        </w:tc>
        <w:tc>
          <w:tcPr>
            <w:tcW w:w="296" w:type="pct"/>
            <w:vAlign w:val="center"/>
          </w:tcPr>
          <w:p>
            <w:pPr>
              <w:autoSpaceDE w:val="0"/>
              <w:autoSpaceDN w:val="0"/>
              <w:adjustRightInd w:val="0"/>
              <w:jc w:val="center"/>
              <w:rPr>
                <w:b/>
                <w:sz w:val="16"/>
                <w:szCs w:val="16"/>
              </w:rPr>
            </w:pPr>
            <w:r>
              <w:rPr>
                <w:b/>
                <w:sz w:val="16"/>
                <w:szCs w:val="16"/>
              </w:rPr>
              <w:t>455</w:t>
            </w:r>
          </w:p>
        </w:tc>
        <w:tc>
          <w:tcPr>
            <w:tcW w:w="391" w:type="pct"/>
            <w:vAlign w:val="center"/>
          </w:tcPr>
          <w:p>
            <w:pPr>
              <w:autoSpaceDE w:val="0"/>
              <w:autoSpaceDN w:val="0"/>
              <w:adjustRightInd w:val="0"/>
              <w:jc w:val="center"/>
              <w:rPr>
                <w:sz w:val="16"/>
                <w:szCs w:val="16"/>
              </w:rPr>
            </w:pPr>
            <w:r>
              <w:rPr>
                <w:sz w:val="16"/>
                <w:szCs w:val="16"/>
              </w:rPr>
              <w:t>426</w:t>
            </w:r>
          </w:p>
        </w:tc>
        <w:tc>
          <w:tcPr>
            <w:tcW w:w="296" w:type="pct"/>
            <w:vAlign w:val="center"/>
          </w:tcPr>
          <w:p>
            <w:pPr>
              <w:autoSpaceDE w:val="0"/>
              <w:autoSpaceDN w:val="0"/>
              <w:adjustRightInd w:val="0"/>
              <w:jc w:val="center"/>
              <w:rPr>
                <w:b/>
                <w:sz w:val="16"/>
                <w:szCs w:val="16"/>
              </w:rPr>
            </w:pPr>
            <w:r>
              <w:rPr>
                <w:b/>
                <w:sz w:val="16"/>
                <w:szCs w:val="16"/>
              </w:rPr>
              <w:t>529</w:t>
            </w:r>
          </w:p>
        </w:tc>
        <w:tc>
          <w:tcPr>
            <w:tcW w:w="391" w:type="pct"/>
            <w:vAlign w:val="bottom"/>
          </w:tcPr>
          <w:p>
            <w:pPr>
              <w:jc w:val="center"/>
              <w:rPr>
                <w:rFonts w:eastAsia="Arial Unicode MS"/>
                <w:sz w:val="16"/>
                <w:szCs w:val="16"/>
              </w:rPr>
            </w:pPr>
            <w:r>
              <w:rPr>
                <w:sz w:val="16"/>
                <w:szCs w:val="16"/>
              </w:rPr>
              <w:t>488</w:t>
            </w:r>
          </w:p>
        </w:tc>
        <w:tc>
          <w:tcPr>
            <w:tcW w:w="429" w:type="pct"/>
          </w:tcPr>
          <w:p>
            <w:pPr>
              <w:autoSpaceDE w:val="0"/>
              <w:autoSpaceDN w:val="0"/>
              <w:adjustRightInd w:val="0"/>
              <w:jc w:val="center"/>
              <w:rPr>
                <w:b/>
                <w:sz w:val="16"/>
                <w:szCs w:val="16"/>
              </w:rPr>
            </w:pPr>
            <w:r>
              <w:rPr>
                <w:b/>
                <w:sz w:val="16"/>
                <w:szCs w:val="16"/>
              </w:rPr>
              <w:t>604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117</w:t>
            </w:r>
          </w:p>
        </w:tc>
        <w:tc>
          <w:tcPr>
            <w:tcW w:w="272" w:type="pct"/>
            <w:vAlign w:val="center"/>
          </w:tcPr>
          <w:p>
            <w:pPr>
              <w:autoSpaceDE w:val="0"/>
              <w:autoSpaceDN w:val="0"/>
              <w:adjustRightInd w:val="0"/>
              <w:jc w:val="center"/>
              <w:rPr>
                <w:b/>
                <w:sz w:val="16"/>
                <w:szCs w:val="16"/>
              </w:rPr>
            </w:pPr>
            <w:r>
              <w:rPr>
                <w:b/>
                <w:sz w:val="16"/>
                <w:szCs w:val="16"/>
              </w:rPr>
              <w:t>158</w:t>
            </w:r>
          </w:p>
        </w:tc>
        <w:tc>
          <w:tcPr>
            <w:tcW w:w="391" w:type="pct"/>
            <w:vAlign w:val="center"/>
          </w:tcPr>
          <w:p>
            <w:pPr>
              <w:autoSpaceDE w:val="0"/>
              <w:autoSpaceDN w:val="0"/>
              <w:adjustRightInd w:val="0"/>
              <w:jc w:val="center"/>
              <w:rPr>
                <w:sz w:val="16"/>
                <w:szCs w:val="16"/>
              </w:rPr>
            </w:pPr>
            <w:r>
              <w:rPr>
                <w:sz w:val="16"/>
                <w:szCs w:val="16"/>
              </w:rPr>
              <w:t>179</w:t>
            </w:r>
          </w:p>
        </w:tc>
        <w:tc>
          <w:tcPr>
            <w:tcW w:w="296" w:type="pct"/>
            <w:vAlign w:val="center"/>
          </w:tcPr>
          <w:p>
            <w:pPr>
              <w:autoSpaceDE w:val="0"/>
              <w:autoSpaceDN w:val="0"/>
              <w:adjustRightInd w:val="0"/>
              <w:jc w:val="center"/>
              <w:rPr>
                <w:b/>
                <w:sz w:val="16"/>
                <w:szCs w:val="16"/>
              </w:rPr>
            </w:pPr>
            <w:r>
              <w:rPr>
                <w:b/>
                <w:sz w:val="16"/>
                <w:szCs w:val="16"/>
              </w:rPr>
              <w:t>233</w:t>
            </w:r>
          </w:p>
        </w:tc>
        <w:tc>
          <w:tcPr>
            <w:tcW w:w="391" w:type="pct"/>
            <w:vAlign w:val="center"/>
          </w:tcPr>
          <w:p>
            <w:pPr>
              <w:autoSpaceDE w:val="0"/>
              <w:autoSpaceDN w:val="0"/>
              <w:adjustRightInd w:val="0"/>
              <w:jc w:val="center"/>
              <w:rPr>
                <w:sz w:val="16"/>
                <w:szCs w:val="16"/>
              </w:rPr>
            </w:pPr>
            <w:r>
              <w:rPr>
                <w:sz w:val="16"/>
                <w:szCs w:val="16"/>
              </w:rPr>
              <w:t>241</w:t>
            </w:r>
          </w:p>
        </w:tc>
        <w:tc>
          <w:tcPr>
            <w:tcW w:w="296" w:type="pct"/>
            <w:vAlign w:val="center"/>
          </w:tcPr>
          <w:p>
            <w:pPr>
              <w:autoSpaceDE w:val="0"/>
              <w:autoSpaceDN w:val="0"/>
              <w:adjustRightInd w:val="0"/>
              <w:jc w:val="center"/>
              <w:rPr>
                <w:b/>
                <w:sz w:val="16"/>
                <w:szCs w:val="16"/>
              </w:rPr>
            </w:pPr>
            <w:r>
              <w:rPr>
                <w:b/>
                <w:sz w:val="16"/>
                <w:szCs w:val="16"/>
              </w:rPr>
              <w:t>307</w:t>
            </w:r>
          </w:p>
        </w:tc>
        <w:tc>
          <w:tcPr>
            <w:tcW w:w="391" w:type="pct"/>
            <w:vAlign w:val="center"/>
          </w:tcPr>
          <w:p>
            <w:pPr>
              <w:autoSpaceDE w:val="0"/>
              <w:autoSpaceDN w:val="0"/>
              <w:adjustRightInd w:val="0"/>
              <w:jc w:val="center"/>
              <w:rPr>
                <w:sz w:val="16"/>
                <w:szCs w:val="16"/>
              </w:rPr>
            </w:pPr>
            <w:r>
              <w:rPr>
                <w:sz w:val="16"/>
                <w:szCs w:val="16"/>
              </w:rPr>
              <w:t>303</w:t>
            </w:r>
          </w:p>
        </w:tc>
        <w:tc>
          <w:tcPr>
            <w:tcW w:w="296" w:type="pct"/>
            <w:vAlign w:val="center"/>
          </w:tcPr>
          <w:p>
            <w:pPr>
              <w:autoSpaceDE w:val="0"/>
              <w:autoSpaceDN w:val="0"/>
              <w:adjustRightInd w:val="0"/>
              <w:jc w:val="center"/>
              <w:rPr>
                <w:b/>
                <w:sz w:val="16"/>
                <w:szCs w:val="16"/>
              </w:rPr>
            </w:pPr>
            <w:r>
              <w:rPr>
                <w:b/>
                <w:sz w:val="16"/>
                <w:szCs w:val="16"/>
              </w:rPr>
              <w:t>382</w:t>
            </w:r>
          </w:p>
        </w:tc>
        <w:tc>
          <w:tcPr>
            <w:tcW w:w="391" w:type="pct"/>
            <w:vAlign w:val="center"/>
          </w:tcPr>
          <w:p>
            <w:pPr>
              <w:autoSpaceDE w:val="0"/>
              <w:autoSpaceDN w:val="0"/>
              <w:adjustRightInd w:val="0"/>
              <w:jc w:val="center"/>
              <w:rPr>
                <w:sz w:val="16"/>
                <w:szCs w:val="16"/>
              </w:rPr>
            </w:pPr>
            <w:r>
              <w:rPr>
                <w:sz w:val="16"/>
                <w:szCs w:val="16"/>
              </w:rPr>
              <w:t>365</w:t>
            </w:r>
          </w:p>
        </w:tc>
        <w:tc>
          <w:tcPr>
            <w:tcW w:w="296" w:type="pct"/>
            <w:vAlign w:val="center"/>
          </w:tcPr>
          <w:p>
            <w:pPr>
              <w:autoSpaceDE w:val="0"/>
              <w:autoSpaceDN w:val="0"/>
              <w:adjustRightInd w:val="0"/>
              <w:jc w:val="center"/>
              <w:rPr>
                <w:b/>
                <w:sz w:val="16"/>
                <w:szCs w:val="16"/>
              </w:rPr>
            </w:pPr>
            <w:r>
              <w:rPr>
                <w:b/>
                <w:sz w:val="16"/>
                <w:szCs w:val="16"/>
              </w:rPr>
              <w:t>456</w:t>
            </w:r>
          </w:p>
        </w:tc>
        <w:tc>
          <w:tcPr>
            <w:tcW w:w="391" w:type="pct"/>
            <w:vAlign w:val="center"/>
          </w:tcPr>
          <w:p>
            <w:pPr>
              <w:autoSpaceDE w:val="0"/>
              <w:autoSpaceDN w:val="0"/>
              <w:adjustRightInd w:val="0"/>
              <w:jc w:val="center"/>
              <w:rPr>
                <w:sz w:val="16"/>
                <w:szCs w:val="16"/>
              </w:rPr>
            </w:pPr>
            <w:r>
              <w:rPr>
                <w:sz w:val="16"/>
                <w:szCs w:val="16"/>
              </w:rPr>
              <w:t>427</w:t>
            </w:r>
          </w:p>
        </w:tc>
        <w:tc>
          <w:tcPr>
            <w:tcW w:w="296" w:type="pct"/>
            <w:vAlign w:val="center"/>
          </w:tcPr>
          <w:p>
            <w:pPr>
              <w:autoSpaceDE w:val="0"/>
              <w:autoSpaceDN w:val="0"/>
              <w:adjustRightInd w:val="0"/>
              <w:jc w:val="center"/>
              <w:rPr>
                <w:b/>
                <w:sz w:val="16"/>
                <w:szCs w:val="16"/>
              </w:rPr>
            </w:pPr>
            <w:r>
              <w:rPr>
                <w:b/>
                <w:sz w:val="16"/>
                <w:szCs w:val="16"/>
              </w:rPr>
              <w:t>530</w:t>
            </w:r>
          </w:p>
        </w:tc>
        <w:tc>
          <w:tcPr>
            <w:tcW w:w="391" w:type="pct"/>
            <w:vAlign w:val="bottom"/>
          </w:tcPr>
          <w:p>
            <w:pPr>
              <w:jc w:val="center"/>
              <w:rPr>
                <w:rFonts w:eastAsia="Arial Unicode MS"/>
                <w:sz w:val="16"/>
                <w:szCs w:val="16"/>
              </w:rPr>
            </w:pPr>
            <w:r>
              <w:rPr>
                <w:sz w:val="16"/>
                <w:szCs w:val="16"/>
              </w:rPr>
              <w:t>489</w:t>
            </w:r>
          </w:p>
        </w:tc>
        <w:tc>
          <w:tcPr>
            <w:tcW w:w="429" w:type="pct"/>
          </w:tcPr>
          <w:p>
            <w:pPr>
              <w:autoSpaceDE w:val="0"/>
              <w:autoSpaceDN w:val="0"/>
              <w:adjustRightInd w:val="0"/>
              <w:jc w:val="center"/>
              <w:rPr>
                <w:b/>
                <w:sz w:val="16"/>
                <w:szCs w:val="16"/>
              </w:rPr>
            </w:pPr>
            <w:r>
              <w:rPr>
                <w:b/>
                <w:sz w:val="16"/>
                <w:szCs w:val="16"/>
              </w:rPr>
              <w:t>605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118</w:t>
            </w:r>
          </w:p>
        </w:tc>
        <w:tc>
          <w:tcPr>
            <w:tcW w:w="272" w:type="pct"/>
            <w:vAlign w:val="center"/>
          </w:tcPr>
          <w:p>
            <w:pPr>
              <w:autoSpaceDE w:val="0"/>
              <w:autoSpaceDN w:val="0"/>
              <w:adjustRightInd w:val="0"/>
              <w:jc w:val="center"/>
              <w:rPr>
                <w:b/>
                <w:sz w:val="16"/>
                <w:szCs w:val="16"/>
              </w:rPr>
            </w:pPr>
            <w:r>
              <w:rPr>
                <w:b/>
                <w:sz w:val="16"/>
                <w:szCs w:val="16"/>
              </w:rPr>
              <w:t>160</w:t>
            </w:r>
          </w:p>
        </w:tc>
        <w:tc>
          <w:tcPr>
            <w:tcW w:w="391" w:type="pct"/>
            <w:vAlign w:val="center"/>
          </w:tcPr>
          <w:p>
            <w:pPr>
              <w:autoSpaceDE w:val="0"/>
              <w:autoSpaceDN w:val="0"/>
              <w:adjustRightInd w:val="0"/>
              <w:jc w:val="center"/>
              <w:rPr>
                <w:sz w:val="16"/>
                <w:szCs w:val="16"/>
              </w:rPr>
            </w:pPr>
            <w:r>
              <w:rPr>
                <w:sz w:val="16"/>
                <w:szCs w:val="16"/>
              </w:rPr>
              <w:t>180</w:t>
            </w:r>
          </w:p>
        </w:tc>
        <w:tc>
          <w:tcPr>
            <w:tcW w:w="296" w:type="pct"/>
            <w:vAlign w:val="center"/>
          </w:tcPr>
          <w:p>
            <w:pPr>
              <w:autoSpaceDE w:val="0"/>
              <w:autoSpaceDN w:val="0"/>
              <w:adjustRightInd w:val="0"/>
              <w:jc w:val="center"/>
              <w:rPr>
                <w:b/>
                <w:sz w:val="16"/>
                <w:szCs w:val="16"/>
              </w:rPr>
            </w:pPr>
            <w:r>
              <w:rPr>
                <w:b/>
                <w:sz w:val="16"/>
                <w:szCs w:val="16"/>
              </w:rPr>
              <w:t>234</w:t>
            </w:r>
          </w:p>
        </w:tc>
        <w:tc>
          <w:tcPr>
            <w:tcW w:w="391" w:type="pct"/>
            <w:vAlign w:val="center"/>
          </w:tcPr>
          <w:p>
            <w:pPr>
              <w:autoSpaceDE w:val="0"/>
              <w:autoSpaceDN w:val="0"/>
              <w:adjustRightInd w:val="0"/>
              <w:jc w:val="center"/>
              <w:rPr>
                <w:sz w:val="16"/>
                <w:szCs w:val="16"/>
              </w:rPr>
            </w:pPr>
            <w:r>
              <w:rPr>
                <w:sz w:val="16"/>
                <w:szCs w:val="16"/>
              </w:rPr>
              <w:t>242</w:t>
            </w:r>
          </w:p>
        </w:tc>
        <w:tc>
          <w:tcPr>
            <w:tcW w:w="296" w:type="pct"/>
            <w:vAlign w:val="center"/>
          </w:tcPr>
          <w:p>
            <w:pPr>
              <w:autoSpaceDE w:val="0"/>
              <w:autoSpaceDN w:val="0"/>
              <w:adjustRightInd w:val="0"/>
              <w:jc w:val="center"/>
              <w:rPr>
                <w:b/>
                <w:sz w:val="16"/>
                <w:szCs w:val="16"/>
              </w:rPr>
            </w:pPr>
            <w:r>
              <w:rPr>
                <w:b/>
                <w:sz w:val="16"/>
                <w:szCs w:val="16"/>
              </w:rPr>
              <w:t>308</w:t>
            </w:r>
          </w:p>
        </w:tc>
        <w:tc>
          <w:tcPr>
            <w:tcW w:w="391" w:type="pct"/>
            <w:vAlign w:val="center"/>
          </w:tcPr>
          <w:p>
            <w:pPr>
              <w:autoSpaceDE w:val="0"/>
              <w:autoSpaceDN w:val="0"/>
              <w:adjustRightInd w:val="0"/>
              <w:jc w:val="center"/>
              <w:rPr>
                <w:sz w:val="16"/>
                <w:szCs w:val="16"/>
              </w:rPr>
            </w:pPr>
            <w:r>
              <w:rPr>
                <w:sz w:val="16"/>
                <w:szCs w:val="16"/>
              </w:rPr>
              <w:t>304</w:t>
            </w:r>
          </w:p>
        </w:tc>
        <w:tc>
          <w:tcPr>
            <w:tcW w:w="296" w:type="pct"/>
            <w:vAlign w:val="center"/>
          </w:tcPr>
          <w:p>
            <w:pPr>
              <w:autoSpaceDE w:val="0"/>
              <w:autoSpaceDN w:val="0"/>
              <w:adjustRightInd w:val="0"/>
              <w:jc w:val="center"/>
              <w:rPr>
                <w:b/>
                <w:sz w:val="16"/>
                <w:szCs w:val="16"/>
              </w:rPr>
            </w:pPr>
            <w:r>
              <w:rPr>
                <w:b/>
                <w:sz w:val="16"/>
                <w:szCs w:val="16"/>
              </w:rPr>
              <w:t>383</w:t>
            </w:r>
          </w:p>
        </w:tc>
        <w:tc>
          <w:tcPr>
            <w:tcW w:w="391" w:type="pct"/>
            <w:vAlign w:val="center"/>
          </w:tcPr>
          <w:p>
            <w:pPr>
              <w:autoSpaceDE w:val="0"/>
              <w:autoSpaceDN w:val="0"/>
              <w:adjustRightInd w:val="0"/>
              <w:jc w:val="center"/>
              <w:rPr>
                <w:sz w:val="16"/>
                <w:szCs w:val="16"/>
              </w:rPr>
            </w:pPr>
            <w:r>
              <w:rPr>
                <w:sz w:val="16"/>
                <w:szCs w:val="16"/>
              </w:rPr>
              <w:t>366</w:t>
            </w:r>
          </w:p>
        </w:tc>
        <w:tc>
          <w:tcPr>
            <w:tcW w:w="296" w:type="pct"/>
            <w:vAlign w:val="center"/>
          </w:tcPr>
          <w:p>
            <w:pPr>
              <w:autoSpaceDE w:val="0"/>
              <w:autoSpaceDN w:val="0"/>
              <w:adjustRightInd w:val="0"/>
              <w:jc w:val="center"/>
              <w:rPr>
                <w:b/>
                <w:sz w:val="16"/>
                <w:szCs w:val="16"/>
              </w:rPr>
            </w:pPr>
            <w:r>
              <w:rPr>
                <w:b/>
                <w:sz w:val="16"/>
                <w:szCs w:val="16"/>
              </w:rPr>
              <w:t>457</w:t>
            </w:r>
          </w:p>
        </w:tc>
        <w:tc>
          <w:tcPr>
            <w:tcW w:w="391" w:type="pct"/>
            <w:vAlign w:val="center"/>
          </w:tcPr>
          <w:p>
            <w:pPr>
              <w:autoSpaceDE w:val="0"/>
              <w:autoSpaceDN w:val="0"/>
              <w:adjustRightInd w:val="0"/>
              <w:jc w:val="center"/>
              <w:rPr>
                <w:sz w:val="16"/>
                <w:szCs w:val="16"/>
              </w:rPr>
            </w:pPr>
            <w:r>
              <w:rPr>
                <w:sz w:val="16"/>
                <w:szCs w:val="16"/>
              </w:rPr>
              <w:t>428</w:t>
            </w:r>
          </w:p>
        </w:tc>
        <w:tc>
          <w:tcPr>
            <w:tcW w:w="296" w:type="pct"/>
            <w:vAlign w:val="center"/>
          </w:tcPr>
          <w:p>
            <w:pPr>
              <w:autoSpaceDE w:val="0"/>
              <w:autoSpaceDN w:val="0"/>
              <w:adjustRightInd w:val="0"/>
              <w:jc w:val="center"/>
              <w:rPr>
                <w:b/>
                <w:sz w:val="16"/>
                <w:szCs w:val="16"/>
              </w:rPr>
            </w:pPr>
            <w:r>
              <w:rPr>
                <w:b/>
                <w:sz w:val="16"/>
                <w:szCs w:val="16"/>
              </w:rPr>
              <w:t>532</w:t>
            </w:r>
          </w:p>
        </w:tc>
        <w:tc>
          <w:tcPr>
            <w:tcW w:w="391" w:type="pct"/>
            <w:vAlign w:val="bottom"/>
          </w:tcPr>
          <w:p>
            <w:pPr>
              <w:jc w:val="center"/>
              <w:rPr>
                <w:rFonts w:eastAsia="Arial Unicode MS"/>
                <w:sz w:val="16"/>
                <w:szCs w:val="16"/>
              </w:rPr>
            </w:pPr>
            <w:r>
              <w:rPr>
                <w:sz w:val="16"/>
                <w:szCs w:val="16"/>
              </w:rPr>
              <w:t>490</w:t>
            </w:r>
          </w:p>
        </w:tc>
        <w:tc>
          <w:tcPr>
            <w:tcW w:w="429" w:type="pct"/>
          </w:tcPr>
          <w:p>
            <w:pPr>
              <w:autoSpaceDE w:val="0"/>
              <w:autoSpaceDN w:val="0"/>
              <w:adjustRightInd w:val="0"/>
              <w:jc w:val="center"/>
              <w:rPr>
                <w:b/>
                <w:sz w:val="16"/>
                <w:szCs w:val="16"/>
              </w:rPr>
            </w:pPr>
            <w:r>
              <w:rPr>
                <w:b/>
                <w:sz w:val="16"/>
                <w:szCs w:val="16"/>
              </w:rPr>
              <w:t>606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119</w:t>
            </w:r>
          </w:p>
        </w:tc>
        <w:tc>
          <w:tcPr>
            <w:tcW w:w="272" w:type="pct"/>
            <w:vAlign w:val="center"/>
          </w:tcPr>
          <w:p>
            <w:pPr>
              <w:autoSpaceDE w:val="0"/>
              <w:autoSpaceDN w:val="0"/>
              <w:adjustRightInd w:val="0"/>
              <w:jc w:val="center"/>
              <w:rPr>
                <w:b/>
                <w:sz w:val="16"/>
                <w:szCs w:val="16"/>
              </w:rPr>
            </w:pPr>
            <w:r>
              <w:rPr>
                <w:b/>
                <w:sz w:val="16"/>
                <w:szCs w:val="16"/>
              </w:rPr>
              <w:t>161</w:t>
            </w:r>
          </w:p>
        </w:tc>
        <w:tc>
          <w:tcPr>
            <w:tcW w:w="391" w:type="pct"/>
            <w:vAlign w:val="center"/>
          </w:tcPr>
          <w:p>
            <w:pPr>
              <w:autoSpaceDE w:val="0"/>
              <w:autoSpaceDN w:val="0"/>
              <w:adjustRightInd w:val="0"/>
              <w:jc w:val="center"/>
              <w:rPr>
                <w:sz w:val="16"/>
                <w:szCs w:val="16"/>
              </w:rPr>
            </w:pPr>
            <w:r>
              <w:rPr>
                <w:sz w:val="16"/>
                <w:szCs w:val="16"/>
              </w:rPr>
              <w:t>181</w:t>
            </w:r>
          </w:p>
        </w:tc>
        <w:tc>
          <w:tcPr>
            <w:tcW w:w="296" w:type="pct"/>
            <w:vAlign w:val="center"/>
          </w:tcPr>
          <w:p>
            <w:pPr>
              <w:autoSpaceDE w:val="0"/>
              <w:autoSpaceDN w:val="0"/>
              <w:adjustRightInd w:val="0"/>
              <w:jc w:val="center"/>
              <w:rPr>
                <w:b/>
                <w:sz w:val="16"/>
                <w:szCs w:val="16"/>
              </w:rPr>
            </w:pPr>
            <w:r>
              <w:rPr>
                <w:b/>
                <w:sz w:val="16"/>
                <w:szCs w:val="16"/>
              </w:rPr>
              <w:t>235</w:t>
            </w:r>
          </w:p>
        </w:tc>
        <w:tc>
          <w:tcPr>
            <w:tcW w:w="391" w:type="pct"/>
            <w:vAlign w:val="center"/>
          </w:tcPr>
          <w:p>
            <w:pPr>
              <w:autoSpaceDE w:val="0"/>
              <w:autoSpaceDN w:val="0"/>
              <w:adjustRightInd w:val="0"/>
              <w:jc w:val="center"/>
              <w:rPr>
                <w:sz w:val="16"/>
                <w:szCs w:val="16"/>
              </w:rPr>
            </w:pPr>
            <w:r>
              <w:rPr>
                <w:sz w:val="16"/>
                <w:szCs w:val="16"/>
              </w:rPr>
              <w:t>243</w:t>
            </w:r>
          </w:p>
        </w:tc>
        <w:tc>
          <w:tcPr>
            <w:tcW w:w="296" w:type="pct"/>
            <w:vAlign w:val="center"/>
          </w:tcPr>
          <w:p>
            <w:pPr>
              <w:autoSpaceDE w:val="0"/>
              <w:autoSpaceDN w:val="0"/>
              <w:adjustRightInd w:val="0"/>
              <w:jc w:val="center"/>
              <w:rPr>
                <w:b/>
                <w:sz w:val="16"/>
                <w:szCs w:val="16"/>
              </w:rPr>
            </w:pPr>
            <w:r>
              <w:rPr>
                <w:b/>
                <w:sz w:val="16"/>
                <w:szCs w:val="16"/>
              </w:rPr>
              <w:t>310</w:t>
            </w:r>
          </w:p>
        </w:tc>
        <w:tc>
          <w:tcPr>
            <w:tcW w:w="391" w:type="pct"/>
            <w:vAlign w:val="center"/>
          </w:tcPr>
          <w:p>
            <w:pPr>
              <w:autoSpaceDE w:val="0"/>
              <w:autoSpaceDN w:val="0"/>
              <w:adjustRightInd w:val="0"/>
              <w:jc w:val="center"/>
              <w:rPr>
                <w:sz w:val="16"/>
                <w:szCs w:val="16"/>
              </w:rPr>
            </w:pPr>
            <w:r>
              <w:rPr>
                <w:sz w:val="16"/>
                <w:szCs w:val="16"/>
              </w:rPr>
              <w:t>305</w:t>
            </w:r>
          </w:p>
        </w:tc>
        <w:tc>
          <w:tcPr>
            <w:tcW w:w="296" w:type="pct"/>
            <w:vAlign w:val="center"/>
          </w:tcPr>
          <w:p>
            <w:pPr>
              <w:autoSpaceDE w:val="0"/>
              <w:autoSpaceDN w:val="0"/>
              <w:adjustRightInd w:val="0"/>
              <w:jc w:val="center"/>
              <w:rPr>
                <w:b/>
                <w:sz w:val="16"/>
                <w:szCs w:val="16"/>
              </w:rPr>
            </w:pPr>
            <w:r>
              <w:rPr>
                <w:b/>
                <w:sz w:val="16"/>
                <w:szCs w:val="16"/>
              </w:rPr>
              <w:t>384</w:t>
            </w:r>
          </w:p>
        </w:tc>
        <w:tc>
          <w:tcPr>
            <w:tcW w:w="391" w:type="pct"/>
            <w:vAlign w:val="center"/>
          </w:tcPr>
          <w:p>
            <w:pPr>
              <w:autoSpaceDE w:val="0"/>
              <w:autoSpaceDN w:val="0"/>
              <w:adjustRightInd w:val="0"/>
              <w:jc w:val="center"/>
              <w:rPr>
                <w:sz w:val="16"/>
                <w:szCs w:val="16"/>
              </w:rPr>
            </w:pPr>
            <w:r>
              <w:rPr>
                <w:sz w:val="16"/>
                <w:szCs w:val="16"/>
              </w:rPr>
              <w:t>367</w:t>
            </w:r>
          </w:p>
        </w:tc>
        <w:tc>
          <w:tcPr>
            <w:tcW w:w="296" w:type="pct"/>
            <w:vAlign w:val="center"/>
          </w:tcPr>
          <w:p>
            <w:pPr>
              <w:autoSpaceDE w:val="0"/>
              <w:autoSpaceDN w:val="0"/>
              <w:adjustRightInd w:val="0"/>
              <w:jc w:val="center"/>
              <w:rPr>
                <w:b/>
                <w:sz w:val="16"/>
                <w:szCs w:val="16"/>
              </w:rPr>
            </w:pPr>
            <w:r>
              <w:rPr>
                <w:b/>
                <w:sz w:val="16"/>
                <w:szCs w:val="16"/>
              </w:rPr>
              <w:t>458</w:t>
            </w:r>
          </w:p>
        </w:tc>
        <w:tc>
          <w:tcPr>
            <w:tcW w:w="391" w:type="pct"/>
            <w:vAlign w:val="center"/>
          </w:tcPr>
          <w:p>
            <w:pPr>
              <w:autoSpaceDE w:val="0"/>
              <w:autoSpaceDN w:val="0"/>
              <w:adjustRightInd w:val="0"/>
              <w:jc w:val="center"/>
              <w:rPr>
                <w:sz w:val="16"/>
                <w:szCs w:val="16"/>
              </w:rPr>
            </w:pPr>
            <w:r>
              <w:rPr>
                <w:sz w:val="16"/>
                <w:szCs w:val="16"/>
              </w:rPr>
              <w:t>429</w:t>
            </w:r>
          </w:p>
        </w:tc>
        <w:tc>
          <w:tcPr>
            <w:tcW w:w="296" w:type="pct"/>
            <w:vAlign w:val="center"/>
          </w:tcPr>
          <w:p>
            <w:pPr>
              <w:autoSpaceDE w:val="0"/>
              <w:autoSpaceDN w:val="0"/>
              <w:adjustRightInd w:val="0"/>
              <w:jc w:val="center"/>
              <w:rPr>
                <w:b/>
                <w:sz w:val="16"/>
                <w:szCs w:val="16"/>
              </w:rPr>
            </w:pPr>
            <w:r>
              <w:rPr>
                <w:b/>
                <w:sz w:val="16"/>
                <w:szCs w:val="16"/>
              </w:rPr>
              <w:t>533</w:t>
            </w:r>
          </w:p>
        </w:tc>
        <w:tc>
          <w:tcPr>
            <w:tcW w:w="391" w:type="pct"/>
            <w:vAlign w:val="bottom"/>
          </w:tcPr>
          <w:p>
            <w:pPr>
              <w:jc w:val="center"/>
              <w:rPr>
                <w:rFonts w:eastAsia="Arial Unicode MS"/>
                <w:sz w:val="16"/>
                <w:szCs w:val="16"/>
              </w:rPr>
            </w:pPr>
            <w:r>
              <w:rPr>
                <w:sz w:val="16"/>
                <w:szCs w:val="16"/>
              </w:rPr>
              <w:t>491</w:t>
            </w:r>
          </w:p>
        </w:tc>
        <w:tc>
          <w:tcPr>
            <w:tcW w:w="429" w:type="pct"/>
          </w:tcPr>
          <w:p>
            <w:pPr>
              <w:autoSpaceDE w:val="0"/>
              <w:autoSpaceDN w:val="0"/>
              <w:adjustRightInd w:val="0"/>
              <w:jc w:val="center"/>
              <w:rPr>
                <w:b/>
                <w:sz w:val="16"/>
                <w:szCs w:val="16"/>
              </w:rPr>
            </w:pPr>
            <w:r>
              <w:rPr>
                <w:b/>
                <w:sz w:val="16"/>
                <w:szCs w:val="16"/>
              </w:rPr>
              <w:t>607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120</w:t>
            </w:r>
          </w:p>
        </w:tc>
        <w:tc>
          <w:tcPr>
            <w:tcW w:w="272" w:type="pct"/>
            <w:vAlign w:val="center"/>
          </w:tcPr>
          <w:p>
            <w:pPr>
              <w:autoSpaceDE w:val="0"/>
              <w:autoSpaceDN w:val="0"/>
              <w:adjustRightInd w:val="0"/>
              <w:jc w:val="center"/>
              <w:rPr>
                <w:b/>
                <w:sz w:val="16"/>
                <w:szCs w:val="16"/>
              </w:rPr>
            </w:pPr>
            <w:r>
              <w:rPr>
                <w:b/>
                <w:sz w:val="16"/>
                <w:szCs w:val="16"/>
              </w:rPr>
              <w:t>162</w:t>
            </w:r>
          </w:p>
        </w:tc>
        <w:tc>
          <w:tcPr>
            <w:tcW w:w="391" w:type="pct"/>
            <w:vAlign w:val="center"/>
          </w:tcPr>
          <w:p>
            <w:pPr>
              <w:autoSpaceDE w:val="0"/>
              <w:autoSpaceDN w:val="0"/>
              <w:adjustRightInd w:val="0"/>
              <w:jc w:val="center"/>
              <w:rPr>
                <w:sz w:val="16"/>
                <w:szCs w:val="16"/>
              </w:rPr>
            </w:pPr>
            <w:r>
              <w:rPr>
                <w:sz w:val="16"/>
                <w:szCs w:val="16"/>
              </w:rPr>
              <w:t>182</w:t>
            </w:r>
          </w:p>
        </w:tc>
        <w:tc>
          <w:tcPr>
            <w:tcW w:w="296" w:type="pct"/>
            <w:vAlign w:val="center"/>
          </w:tcPr>
          <w:p>
            <w:pPr>
              <w:autoSpaceDE w:val="0"/>
              <w:autoSpaceDN w:val="0"/>
              <w:adjustRightInd w:val="0"/>
              <w:jc w:val="center"/>
              <w:rPr>
                <w:b/>
                <w:sz w:val="16"/>
                <w:szCs w:val="16"/>
              </w:rPr>
            </w:pPr>
            <w:r>
              <w:rPr>
                <w:b/>
                <w:sz w:val="16"/>
                <w:szCs w:val="16"/>
              </w:rPr>
              <w:t>236</w:t>
            </w:r>
          </w:p>
        </w:tc>
        <w:tc>
          <w:tcPr>
            <w:tcW w:w="391" w:type="pct"/>
            <w:vAlign w:val="center"/>
          </w:tcPr>
          <w:p>
            <w:pPr>
              <w:autoSpaceDE w:val="0"/>
              <w:autoSpaceDN w:val="0"/>
              <w:adjustRightInd w:val="0"/>
              <w:jc w:val="center"/>
              <w:rPr>
                <w:sz w:val="16"/>
                <w:szCs w:val="16"/>
              </w:rPr>
            </w:pPr>
            <w:r>
              <w:rPr>
                <w:sz w:val="16"/>
                <w:szCs w:val="16"/>
              </w:rPr>
              <w:t>244</w:t>
            </w:r>
          </w:p>
        </w:tc>
        <w:tc>
          <w:tcPr>
            <w:tcW w:w="296" w:type="pct"/>
            <w:vAlign w:val="center"/>
          </w:tcPr>
          <w:p>
            <w:pPr>
              <w:autoSpaceDE w:val="0"/>
              <w:autoSpaceDN w:val="0"/>
              <w:adjustRightInd w:val="0"/>
              <w:jc w:val="center"/>
              <w:rPr>
                <w:b/>
                <w:sz w:val="16"/>
                <w:szCs w:val="16"/>
              </w:rPr>
            </w:pPr>
            <w:r>
              <w:rPr>
                <w:b/>
                <w:sz w:val="16"/>
                <w:szCs w:val="16"/>
              </w:rPr>
              <w:t>311</w:t>
            </w:r>
          </w:p>
        </w:tc>
        <w:tc>
          <w:tcPr>
            <w:tcW w:w="391" w:type="pct"/>
            <w:vAlign w:val="center"/>
          </w:tcPr>
          <w:p>
            <w:pPr>
              <w:autoSpaceDE w:val="0"/>
              <w:autoSpaceDN w:val="0"/>
              <w:adjustRightInd w:val="0"/>
              <w:jc w:val="center"/>
              <w:rPr>
                <w:sz w:val="16"/>
                <w:szCs w:val="16"/>
              </w:rPr>
            </w:pPr>
            <w:r>
              <w:rPr>
                <w:sz w:val="16"/>
                <w:szCs w:val="16"/>
              </w:rPr>
              <w:t>306</w:t>
            </w:r>
          </w:p>
        </w:tc>
        <w:tc>
          <w:tcPr>
            <w:tcW w:w="296" w:type="pct"/>
            <w:vAlign w:val="center"/>
          </w:tcPr>
          <w:p>
            <w:pPr>
              <w:autoSpaceDE w:val="0"/>
              <w:autoSpaceDN w:val="0"/>
              <w:adjustRightInd w:val="0"/>
              <w:jc w:val="center"/>
              <w:rPr>
                <w:b/>
                <w:sz w:val="16"/>
                <w:szCs w:val="16"/>
              </w:rPr>
            </w:pPr>
            <w:r>
              <w:rPr>
                <w:b/>
                <w:sz w:val="16"/>
                <w:szCs w:val="16"/>
              </w:rPr>
              <w:t>385</w:t>
            </w:r>
          </w:p>
        </w:tc>
        <w:tc>
          <w:tcPr>
            <w:tcW w:w="391" w:type="pct"/>
            <w:vAlign w:val="center"/>
          </w:tcPr>
          <w:p>
            <w:pPr>
              <w:autoSpaceDE w:val="0"/>
              <w:autoSpaceDN w:val="0"/>
              <w:adjustRightInd w:val="0"/>
              <w:jc w:val="center"/>
              <w:rPr>
                <w:sz w:val="16"/>
                <w:szCs w:val="16"/>
              </w:rPr>
            </w:pPr>
            <w:r>
              <w:rPr>
                <w:sz w:val="16"/>
                <w:szCs w:val="16"/>
              </w:rPr>
              <w:t>368</w:t>
            </w:r>
          </w:p>
        </w:tc>
        <w:tc>
          <w:tcPr>
            <w:tcW w:w="296" w:type="pct"/>
            <w:vAlign w:val="center"/>
          </w:tcPr>
          <w:p>
            <w:pPr>
              <w:autoSpaceDE w:val="0"/>
              <w:autoSpaceDN w:val="0"/>
              <w:adjustRightInd w:val="0"/>
              <w:jc w:val="center"/>
              <w:rPr>
                <w:b/>
                <w:sz w:val="16"/>
                <w:szCs w:val="16"/>
              </w:rPr>
            </w:pPr>
            <w:r>
              <w:rPr>
                <w:b/>
                <w:sz w:val="16"/>
                <w:szCs w:val="16"/>
              </w:rPr>
              <w:t>460</w:t>
            </w:r>
          </w:p>
        </w:tc>
        <w:tc>
          <w:tcPr>
            <w:tcW w:w="391" w:type="pct"/>
            <w:vAlign w:val="center"/>
          </w:tcPr>
          <w:p>
            <w:pPr>
              <w:autoSpaceDE w:val="0"/>
              <w:autoSpaceDN w:val="0"/>
              <w:adjustRightInd w:val="0"/>
              <w:jc w:val="center"/>
              <w:rPr>
                <w:sz w:val="16"/>
                <w:szCs w:val="16"/>
              </w:rPr>
            </w:pPr>
            <w:r>
              <w:rPr>
                <w:sz w:val="16"/>
                <w:szCs w:val="16"/>
              </w:rPr>
              <w:t>430</w:t>
            </w:r>
          </w:p>
        </w:tc>
        <w:tc>
          <w:tcPr>
            <w:tcW w:w="296" w:type="pct"/>
            <w:vAlign w:val="center"/>
          </w:tcPr>
          <w:p>
            <w:pPr>
              <w:autoSpaceDE w:val="0"/>
              <w:autoSpaceDN w:val="0"/>
              <w:adjustRightInd w:val="0"/>
              <w:jc w:val="center"/>
              <w:rPr>
                <w:b/>
                <w:sz w:val="16"/>
                <w:szCs w:val="16"/>
              </w:rPr>
            </w:pPr>
            <w:r>
              <w:rPr>
                <w:b/>
                <w:sz w:val="16"/>
                <w:szCs w:val="16"/>
              </w:rPr>
              <w:t>534</w:t>
            </w:r>
          </w:p>
        </w:tc>
        <w:tc>
          <w:tcPr>
            <w:tcW w:w="391" w:type="pct"/>
            <w:vAlign w:val="bottom"/>
          </w:tcPr>
          <w:p>
            <w:pPr>
              <w:jc w:val="center"/>
              <w:rPr>
                <w:rFonts w:eastAsia="Arial Unicode MS"/>
                <w:sz w:val="16"/>
                <w:szCs w:val="16"/>
              </w:rPr>
            </w:pPr>
            <w:r>
              <w:rPr>
                <w:sz w:val="16"/>
                <w:szCs w:val="16"/>
              </w:rPr>
              <w:t>492</w:t>
            </w:r>
          </w:p>
        </w:tc>
        <w:tc>
          <w:tcPr>
            <w:tcW w:w="429" w:type="pct"/>
          </w:tcPr>
          <w:p>
            <w:pPr>
              <w:autoSpaceDE w:val="0"/>
              <w:autoSpaceDN w:val="0"/>
              <w:adjustRightInd w:val="0"/>
              <w:jc w:val="center"/>
              <w:rPr>
                <w:b/>
                <w:sz w:val="16"/>
                <w:szCs w:val="16"/>
              </w:rPr>
            </w:pPr>
            <w:r>
              <w:rPr>
                <w:b/>
                <w:sz w:val="16"/>
                <w:szCs w:val="16"/>
              </w:rPr>
              <w:t>608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121</w:t>
            </w:r>
          </w:p>
        </w:tc>
        <w:tc>
          <w:tcPr>
            <w:tcW w:w="272" w:type="pct"/>
            <w:vAlign w:val="center"/>
          </w:tcPr>
          <w:p>
            <w:pPr>
              <w:autoSpaceDE w:val="0"/>
              <w:autoSpaceDN w:val="0"/>
              <w:adjustRightInd w:val="0"/>
              <w:jc w:val="center"/>
              <w:rPr>
                <w:b/>
                <w:sz w:val="16"/>
                <w:szCs w:val="16"/>
              </w:rPr>
            </w:pPr>
            <w:r>
              <w:rPr>
                <w:b/>
                <w:sz w:val="16"/>
                <w:szCs w:val="16"/>
              </w:rPr>
              <w:t>163</w:t>
            </w:r>
          </w:p>
        </w:tc>
        <w:tc>
          <w:tcPr>
            <w:tcW w:w="391" w:type="pct"/>
            <w:vAlign w:val="center"/>
          </w:tcPr>
          <w:p>
            <w:pPr>
              <w:autoSpaceDE w:val="0"/>
              <w:autoSpaceDN w:val="0"/>
              <w:adjustRightInd w:val="0"/>
              <w:jc w:val="center"/>
              <w:rPr>
                <w:sz w:val="16"/>
                <w:szCs w:val="16"/>
              </w:rPr>
            </w:pPr>
            <w:r>
              <w:rPr>
                <w:sz w:val="16"/>
                <w:szCs w:val="16"/>
              </w:rPr>
              <w:t>183</w:t>
            </w:r>
          </w:p>
        </w:tc>
        <w:tc>
          <w:tcPr>
            <w:tcW w:w="296" w:type="pct"/>
            <w:vAlign w:val="center"/>
          </w:tcPr>
          <w:p>
            <w:pPr>
              <w:autoSpaceDE w:val="0"/>
              <w:autoSpaceDN w:val="0"/>
              <w:adjustRightInd w:val="0"/>
              <w:jc w:val="center"/>
              <w:rPr>
                <w:b/>
                <w:sz w:val="16"/>
                <w:szCs w:val="16"/>
              </w:rPr>
            </w:pPr>
            <w:r>
              <w:rPr>
                <w:b/>
                <w:sz w:val="16"/>
                <w:szCs w:val="16"/>
              </w:rPr>
              <w:t>238</w:t>
            </w:r>
          </w:p>
        </w:tc>
        <w:tc>
          <w:tcPr>
            <w:tcW w:w="391" w:type="pct"/>
            <w:vAlign w:val="center"/>
          </w:tcPr>
          <w:p>
            <w:pPr>
              <w:autoSpaceDE w:val="0"/>
              <w:autoSpaceDN w:val="0"/>
              <w:adjustRightInd w:val="0"/>
              <w:jc w:val="center"/>
              <w:rPr>
                <w:sz w:val="16"/>
                <w:szCs w:val="16"/>
              </w:rPr>
            </w:pPr>
            <w:r>
              <w:rPr>
                <w:sz w:val="16"/>
                <w:szCs w:val="16"/>
              </w:rPr>
              <w:t>245</w:t>
            </w:r>
          </w:p>
        </w:tc>
        <w:tc>
          <w:tcPr>
            <w:tcW w:w="296" w:type="pct"/>
            <w:vAlign w:val="center"/>
          </w:tcPr>
          <w:p>
            <w:pPr>
              <w:autoSpaceDE w:val="0"/>
              <w:autoSpaceDN w:val="0"/>
              <w:adjustRightInd w:val="0"/>
              <w:jc w:val="center"/>
              <w:rPr>
                <w:b/>
                <w:sz w:val="16"/>
                <w:szCs w:val="16"/>
              </w:rPr>
            </w:pPr>
            <w:r>
              <w:rPr>
                <w:b/>
                <w:sz w:val="16"/>
                <w:szCs w:val="16"/>
              </w:rPr>
              <w:t>312</w:t>
            </w:r>
          </w:p>
        </w:tc>
        <w:tc>
          <w:tcPr>
            <w:tcW w:w="391" w:type="pct"/>
            <w:vAlign w:val="center"/>
          </w:tcPr>
          <w:p>
            <w:pPr>
              <w:autoSpaceDE w:val="0"/>
              <w:autoSpaceDN w:val="0"/>
              <w:adjustRightInd w:val="0"/>
              <w:jc w:val="center"/>
              <w:rPr>
                <w:sz w:val="16"/>
                <w:szCs w:val="16"/>
              </w:rPr>
            </w:pPr>
            <w:r>
              <w:rPr>
                <w:sz w:val="16"/>
                <w:szCs w:val="16"/>
              </w:rPr>
              <w:t>307</w:t>
            </w:r>
          </w:p>
        </w:tc>
        <w:tc>
          <w:tcPr>
            <w:tcW w:w="296" w:type="pct"/>
            <w:vAlign w:val="center"/>
          </w:tcPr>
          <w:p>
            <w:pPr>
              <w:autoSpaceDE w:val="0"/>
              <w:autoSpaceDN w:val="0"/>
              <w:adjustRightInd w:val="0"/>
              <w:jc w:val="center"/>
              <w:rPr>
                <w:b/>
                <w:sz w:val="16"/>
                <w:szCs w:val="16"/>
              </w:rPr>
            </w:pPr>
            <w:r>
              <w:rPr>
                <w:b/>
                <w:sz w:val="16"/>
                <w:szCs w:val="16"/>
              </w:rPr>
              <w:t>386</w:t>
            </w:r>
          </w:p>
        </w:tc>
        <w:tc>
          <w:tcPr>
            <w:tcW w:w="391" w:type="pct"/>
            <w:vAlign w:val="center"/>
          </w:tcPr>
          <w:p>
            <w:pPr>
              <w:autoSpaceDE w:val="0"/>
              <w:autoSpaceDN w:val="0"/>
              <w:adjustRightInd w:val="0"/>
              <w:jc w:val="center"/>
              <w:rPr>
                <w:sz w:val="16"/>
                <w:szCs w:val="16"/>
              </w:rPr>
            </w:pPr>
            <w:r>
              <w:rPr>
                <w:sz w:val="16"/>
                <w:szCs w:val="16"/>
              </w:rPr>
              <w:t>369</w:t>
            </w:r>
          </w:p>
        </w:tc>
        <w:tc>
          <w:tcPr>
            <w:tcW w:w="296" w:type="pct"/>
            <w:vAlign w:val="center"/>
          </w:tcPr>
          <w:p>
            <w:pPr>
              <w:autoSpaceDE w:val="0"/>
              <w:autoSpaceDN w:val="0"/>
              <w:adjustRightInd w:val="0"/>
              <w:jc w:val="center"/>
              <w:rPr>
                <w:b/>
                <w:sz w:val="16"/>
                <w:szCs w:val="16"/>
              </w:rPr>
            </w:pPr>
            <w:r>
              <w:rPr>
                <w:b/>
                <w:sz w:val="16"/>
                <w:szCs w:val="16"/>
              </w:rPr>
              <w:t>461</w:t>
            </w:r>
          </w:p>
        </w:tc>
        <w:tc>
          <w:tcPr>
            <w:tcW w:w="391" w:type="pct"/>
            <w:vAlign w:val="center"/>
          </w:tcPr>
          <w:p>
            <w:pPr>
              <w:autoSpaceDE w:val="0"/>
              <w:autoSpaceDN w:val="0"/>
              <w:adjustRightInd w:val="0"/>
              <w:jc w:val="center"/>
              <w:rPr>
                <w:sz w:val="16"/>
                <w:szCs w:val="16"/>
              </w:rPr>
            </w:pPr>
            <w:r>
              <w:rPr>
                <w:sz w:val="16"/>
                <w:szCs w:val="16"/>
              </w:rPr>
              <w:t>431</w:t>
            </w:r>
          </w:p>
        </w:tc>
        <w:tc>
          <w:tcPr>
            <w:tcW w:w="296" w:type="pct"/>
            <w:vAlign w:val="center"/>
          </w:tcPr>
          <w:p>
            <w:pPr>
              <w:autoSpaceDE w:val="0"/>
              <w:autoSpaceDN w:val="0"/>
              <w:adjustRightInd w:val="0"/>
              <w:jc w:val="center"/>
              <w:rPr>
                <w:b/>
                <w:sz w:val="16"/>
                <w:szCs w:val="16"/>
              </w:rPr>
            </w:pPr>
            <w:r>
              <w:rPr>
                <w:b/>
                <w:sz w:val="16"/>
                <w:szCs w:val="16"/>
              </w:rPr>
              <w:t>535</w:t>
            </w:r>
          </w:p>
        </w:tc>
        <w:tc>
          <w:tcPr>
            <w:tcW w:w="391" w:type="pct"/>
            <w:vAlign w:val="bottom"/>
          </w:tcPr>
          <w:p>
            <w:pPr>
              <w:jc w:val="center"/>
              <w:rPr>
                <w:rFonts w:eastAsia="Arial Unicode MS"/>
                <w:sz w:val="16"/>
                <w:szCs w:val="16"/>
              </w:rPr>
            </w:pPr>
            <w:r>
              <w:rPr>
                <w:sz w:val="16"/>
                <w:szCs w:val="16"/>
              </w:rPr>
              <w:t>493</w:t>
            </w:r>
          </w:p>
        </w:tc>
        <w:tc>
          <w:tcPr>
            <w:tcW w:w="429" w:type="pct"/>
          </w:tcPr>
          <w:p>
            <w:pPr>
              <w:autoSpaceDE w:val="0"/>
              <w:autoSpaceDN w:val="0"/>
              <w:adjustRightInd w:val="0"/>
              <w:jc w:val="center"/>
              <w:rPr>
                <w:b/>
                <w:sz w:val="16"/>
                <w:szCs w:val="16"/>
              </w:rPr>
            </w:pPr>
            <w:r>
              <w:rPr>
                <w:b/>
                <w:sz w:val="16"/>
                <w:szCs w:val="16"/>
              </w:rPr>
              <w:t>610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122</w:t>
            </w:r>
          </w:p>
        </w:tc>
        <w:tc>
          <w:tcPr>
            <w:tcW w:w="272" w:type="pct"/>
            <w:vAlign w:val="center"/>
          </w:tcPr>
          <w:p>
            <w:pPr>
              <w:autoSpaceDE w:val="0"/>
              <w:autoSpaceDN w:val="0"/>
              <w:adjustRightInd w:val="0"/>
              <w:jc w:val="center"/>
              <w:rPr>
                <w:b/>
                <w:sz w:val="16"/>
                <w:szCs w:val="16"/>
              </w:rPr>
            </w:pPr>
            <w:r>
              <w:rPr>
                <w:b/>
                <w:sz w:val="16"/>
                <w:szCs w:val="16"/>
              </w:rPr>
              <w:t>164</w:t>
            </w:r>
          </w:p>
        </w:tc>
        <w:tc>
          <w:tcPr>
            <w:tcW w:w="391" w:type="pct"/>
            <w:vAlign w:val="center"/>
          </w:tcPr>
          <w:p>
            <w:pPr>
              <w:autoSpaceDE w:val="0"/>
              <w:autoSpaceDN w:val="0"/>
              <w:adjustRightInd w:val="0"/>
              <w:jc w:val="center"/>
              <w:rPr>
                <w:sz w:val="16"/>
                <w:szCs w:val="16"/>
              </w:rPr>
            </w:pPr>
            <w:r>
              <w:rPr>
                <w:sz w:val="16"/>
                <w:szCs w:val="16"/>
              </w:rPr>
              <w:t>184</w:t>
            </w:r>
          </w:p>
        </w:tc>
        <w:tc>
          <w:tcPr>
            <w:tcW w:w="296" w:type="pct"/>
            <w:vAlign w:val="center"/>
          </w:tcPr>
          <w:p>
            <w:pPr>
              <w:autoSpaceDE w:val="0"/>
              <w:autoSpaceDN w:val="0"/>
              <w:adjustRightInd w:val="0"/>
              <w:jc w:val="center"/>
              <w:rPr>
                <w:b/>
                <w:sz w:val="16"/>
                <w:szCs w:val="16"/>
              </w:rPr>
            </w:pPr>
            <w:r>
              <w:rPr>
                <w:b/>
                <w:sz w:val="16"/>
                <w:szCs w:val="16"/>
              </w:rPr>
              <w:t>239</w:t>
            </w:r>
          </w:p>
        </w:tc>
        <w:tc>
          <w:tcPr>
            <w:tcW w:w="391" w:type="pct"/>
            <w:vAlign w:val="center"/>
          </w:tcPr>
          <w:p>
            <w:pPr>
              <w:autoSpaceDE w:val="0"/>
              <w:autoSpaceDN w:val="0"/>
              <w:adjustRightInd w:val="0"/>
              <w:jc w:val="center"/>
              <w:rPr>
                <w:sz w:val="16"/>
                <w:szCs w:val="16"/>
              </w:rPr>
            </w:pPr>
            <w:r>
              <w:rPr>
                <w:sz w:val="16"/>
                <w:szCs w:val="16"/>
              </w:rPr>
              <w:t>246</w:t>
            </w:r>
          </w:p>
        </w:tc>
        <w:tc>
          <w:tcPr>
            <w:tcW w:w="296" w:type="pct"/>
            <w:vAlign w:val="center"/>
          </w:tcPr>
          <w:p>
            <w:pPr>
              <w:autoSpaceDE w:val="0"/>
              <w:autoSpaceDN w:val="0"/>
              <w:adjustRightInd w:val="0"/>
              <w:jc w:val="center"/>
              <w:rPr>
                <w:b/>
                <w:sz w:val="16"/>
                <w:szCs w:val="16"/>
              </w:rPr>
            </w:pPr>
            <w:r>
              <w:rPr>
                <w:b/>
                <w:sz w:val="16"/>
                <w:szCs w:val="16"/>
              </w:rPr>
              <w:t>313</w:t>
            </w:r>
          </w:p>
        </w:tc>
        <w:tc>
          <w:tcPr>
            <w:tcW w:w="391" w:type="pct"/>
            <w:vAlign w:val="center"/>
          </w:tcPr>
          <w:p>
            <w:pPr>
              <w:autoSpaceDE w:val="0"/>
              <w:autoSpaceDN w:val="0"/>
              <w:adjustRightInd w:val="0"/>
              <w:jc w:val="center"/>
              <w:rPr>
                <w:sz w:val="16"/>
                <w:szCs w:val="16"/>
              </w:rPr>
            </w:pPr>
            <w:r>
              <w:rPr>
                <w:sz w:val="16"/>
                <w:szCs w:val="16"/>
              </w:rPr>
              <w:t>308</w:t>
            </w:r>
          </w:p>
        </w:tc>
        <w:tc>
          <w:tcPr>
            <w:tcW w:w="296" w:type="pct"/>
            <w:vAlign w:val="center"/>
          </w:tcPr>
          <w:p>
            <w:pPr>
              <w:autoSpaceDE w:val="0"/>
              <w:autoSpaceDN w:val="0"/>
              <w:adjustRightInd w:val="0"/>
              <w:jc w:val="center"/>
              <w:rPr>
                <w:b/>
                <w:sz w:val="16"/>
                <w:szCs w:val="16"/>
              </w:rPr>
            </w:pPr>
            <w:r>
              <w:rPr>
                <w:b/>
                <w:sz w:val="16"/>
                <w:szCs w:val="16"/>
              </w:rPr>
              <w:t>388</w:t>
            </w:r>
          </w:p>
        </w:tc>
        <w:tc>
          <w:tcPr>
            <w:tcW w:w="391" w:type="pct"/>
            <w:vAlign w:val="center"/>
          </w:tcPr>
          <w:p>
            <w:pPr>
              <w:autoSpaceDE w:val="0"/>
              <w:autoSpaceDN w:val="0"/>
              <w:adjustRightInd w:val="0"/>
              <w:jc w:val="center"/>
              <w:rPr>
                <w:sz w:val="16"/>
                <w:szCs w:val="16"/>
              </w:rPr>
            </w:pPr>
            <w:r>
              <w:rPr>
                <w:sz w:val="16"/>
                <w:szCs w:val="16"/>
              </w:rPr>
              <w:t>370</w:t>
            </w:r>
          </w:p>
        </w:tc>
        <w:tc>
          <w:tcPr>
            <w:tcW w:w="296" w:type="pct"/>
            <w:vAlign w:val="center"/>
          </w:tcPr>
          <w:p>
            <w:pPr>
              <w:autoSpaceDE w:val="0"/>
              <w:autoSpaceDN w:val="0"/>
              <w:adjustRightInd w:val="0"/>
              <w:jc w:val="center"/>
              <w:rPr>
                <w:b/>
                <w:sz w:val="16"/>
                <w:szCs w:val="16"/>
              </w:rPr>
            </w:pPr>
            <w:r>
              <w:rPr>
                <w:b/>
                <w:sz w:val="16"/>
                <w:szCs w:val="16"/>
              </w:rPr>
              <w:t>462</w:t>
            </w:r>
          </w:p>
        </w:tc>
        <w:tc>
          <w:tcPr>
            <w:tcW w:w="391" w:type="pct"/>
            <w:vAlign w:val="center"/>
          </w:tcPr>
          <w:p>
            <w:pPr>
              <w:autoSpaceDE w:val="0"/>
              <w:autoSpaceDN w:val="0"/>
              <w:adjustRightInd w:val="0"/>
              <w:jc w:val="center"/>
              <w:rPr>
                <w:sz w:val="16"/>
                <w:szCs w:val="16"/>
              </w:rPr>
            </w:pPr>
            <w:r>
              <w:rPr>
                <w:sz w:val="16"/>
                <w:szCs w:val="16"/>
              </w:rPr>
              <w:t>432</w:t>
            </w:r>
          </w:p>
        </w:tc>
        <w:tc>
          <w:tcPr>
            <w:tcW w:w="296" w:type="pct"/>
            <w:vAlign w:val="center"/>
          </w:tcPr>
          <w:p>
            <w:pPr>
              <w:autoSpaceDE w:val="0"/>
              <w:autoSpaceDN w:val="0"/>
              <w:adjustRightInd w:val="0"/>
              <w:jc w:val="center"/>
              <w:rPr>
                <w:b/>
                <w:sz w:val="16"/>
                <w:szCs w:val="16"/>
              </w:rPr>
            </w:pPr>
            <w:r>
              <w:rPr>
                <w:b/>
                <w:sz w:val="16"/>
                <w:szCs w:val="16"/>
              </w:rPr>
              <w:t>536</w:t>
            </w:r>
          </w:p>
        </w:tc>
        <w:tc>
          <w:tcPr>
            <w:tcW w:w="391" w:type="pct"/>
            <w:vAlign w:val="bottom"/>
          </w:tcPr>
          <w:p>
            <w:pPr>
              <w:jc w:val="center"/>
              <w:rPr>
                <w:rFonts w:eastAsia="Arial Unicode MS"/>
                <w:sz w:val="16"/>
                <w:szCs w:val="16"/>
              </w:rPr>
            </w:pPr>
            <w:r>
              <w:rPr>
                <w:sz w:val="16"/>
                <w:szCs w:val="16"/>
              </w:rPr>
              <w:t>494</w:t>
            </w:r>
          </w:p>
        </w:tc>
        <w:tc>
          <w:tcPr>
            <w:tcW w:w="429" w:type="pct"/>
          </w:tcPr>
          <w:p>
            <w:pPr>
              <w:autoSpaceDE w:val="0"/>
              <w:autoSpaceDN w:val="0"/>
              <w:adjustRightInd w:val="0"/>
              <w:jc w:val="center"/>
              <w:rPr>
                <w:b/>
                <w:sz w:val="16"/>
                <w:szCs w:val="16"/>
              </w:rPr>
            </w:pPr>
            <w:r>
              <w:rPr>
                <w:b/>
                <w:sz w:val="16"/>
                <w:szCs w:val="16"/>
              </w:rPr>
              <w:t>611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123</w:t>
            </w:r>
          </w:p>
        </w:tc>
        <w:tc>
          <w:tcPr>
            <w:tcW w:w="272" w:type="pct"/>
            <w:vAlign w:val="center"/>
          </w:tcPr>
          <w:p>
            <w:pPr>
              <w:autoSpaceDE w:val="0"/>
              <w:autoSpaceDN w:val="0"/>
              <w:adjustRightInd w:val="0"/>
              <w:jc w:val="center"/>
              <w:rPr>
                <w:b/>
                <w:sz w:val="16"/>
                <w:szCs w:val="16"/>
              </w:rPr>
            </w:pPr>
            <w:r>
              <w:rPr>
                <w:b/>
                <w:sz w:val="16"/>
                <w:szCs w:val="16"/>
              </w:rPr>
              <w:t>166</w:t>
            </w:r>
          </w:p>
        </w:tc>
        <w:tc>
          <w:tcPr>
            <w:tcW w:w="391" w:type="pct"/>
            <w:vAlign w:val="center"/>
          </w:tcPr>
          <w:p>
            <w:pPr>
              <w:autoSpaceDE w:val="0"/>
              <w:autoSpaceDN w:val="0"/>
              <w:adjustRightInd w:val="0"/>
              <w:jc w:val="center"/>
              <w:rPr>
                <w:sz w:val="16"/>
                <w:szCs w:val="16"/>
              </w:rPr>
            </w:pPr>
            <w:r>
              <w:rPr>
                <w:sz w:val="16"/>
                <w:szCs w:val="16"/>
              </w:rPr>
              <w:t>185</w:t>
            </w:r>
          </w:p>
        </w:tc>
        <w:tc>
          <w:tcPr>
            <w:tcW w:w="296" w:type="pct"/>
            <w:vAlign w:val="center"/>
          </w:tcPr>
          <w:p>
            <w:pPr>
              <w:autoSpaceDE w:val="0"/>
              <w:autoSpaceDN w:val="0"/>
              <w:adjustRightInd w:val="0"/>
              <w:jc w:val="center"/>
              <w:rPr>
                <w:b/>
                <w:sz w:val="16"/>
                <w:szCs w:val="16"/>
              </w:rPr>
            </w:pPr>
            <w:r>
              <w:rPr>
                <w:b/>
                <w:sz w:val="16"/>
                <w:szCs w:val="16"/>
              </w:rPr>
              <w:t>240</w:t>
            </w:r>
          </w:p>
        </w:tc>
        <w:tc>
          <w:tcPr>
            <w:tcW w:w="391" w:type="pct"/>
            <w:vAlign w:val="center"/>
          </w:tcPr>
          <w:p>
            <w:pPr>
              <w:autoSpaceDE w:val="0"/>
              <w:autoSpaceDN w:val="0"/>
              <w:adjustRightInd w:val="0"/>
              <w:jc w:val="center"/>
              <w:rPr>
                <w:sz w:val="16"/>
                <w:szCs w:val="16"/>
              </w:rPr>
            </w:pPr>
            <w:r>
              <w:rPr>
                <w:sz w:val="16"/>
                <w:szCs w:val="16"/>
              </w:rPr>
              <w:t>247</w:t>
            </w:r>
          </w:p>
        </w:tc>
        <w:tc>
          <w:tcPr>
            <w:tcW w:w="296" w:type="pct"/>
            <w:vAlign w:val="center"/>
          </w:tcPr>
          <w:p>
            <w:pPr>
              <w:autoSpaceDE w:val="0"/>
              <w:autoSpaceDN w:val="0"/>
              <w:adjustRightInd w:val="0"/>
              <w:jc w:val="center"/>
              <w:rPr>
                <w:b/>
                <w:sz w:val="16"/>
                <w:szCs w:val="16"/>
              </w:rPr>
            </w:pPr>
            <w:r>
              <w:rPr>
                <w:b/>
                <w:sz w:val="16"/>
                <w:szCs w:val="16"/>
              </w:rPr>
              <w:t>314</w:t>
            </w:r>
          </w:p>
        </w:tc>
        <w:tc>
          <w:tcPr>
            <w:tcW w:w="391" w:type="pct"/>
            <w:vAlign w:val="center"/>
          </w:tcPr>
          <w:p>
            <w:pPr>
              <w:autoSpaceDE w:val="0"/>
              <w:autoSpaceDN w:val="0"/>
              <w:adjustRightInd w:val="0"/>
              <w:jc w:val="center"/>
              <w:rPr>
                <w:sz w:val="16"/>
                <w:szCs w:val="16"/>
              </w:rPr>
            </w:pPr>
            <w:r>
              <w:rPr>
                <w:sz w:val="16"/>
                <w:szCs w:val="16"/>
              </w:rPr>
              <w:t>309</w:t>
            </w:r>
          </w:p>
        </w:tc>
        <w:tc>
          <w:tcPr>
            <w:tcW w:w="296" w:type="pct"/>
            <w:vAlign w:val="center"/>
          </w:tcPr>
          <w:p>
            <w:pPr>
              <w:autoSpaceDE w:val="0"/>
              <w:autoSpaceDN w:val="0"/>
              <w:adjustRightInd w:val="0"/>
              <w:jc w:val="center"/>
              <w:rPr>
                <w:b/>
                <w:sz w:val="16"/>
                <w:szCs w:val="16"/>
              </w:rPr>
            </w:pPr>
            <w:r>
              <w:rPr>
                <w:b/>
                <w:sz w:val="16"/>
                <w:szCs w:val="16"/>
              </w:rPr>
              <w:t>389</w:t>
            </w:r>
          </w:p>
        </w:tc>
        <w:tc>
          <w:tcPr>
            <w:tcW w:w="391" w:type="pct"/>
            <w:vAlign w:val="center"/>
          </w:tcPr>
          <w:p>
            <w:pPr>
              <w:autoSpaceDE w:val="0"/>
              <w:autoSpaceDN w:val="0"/>
              <w:adjustRightInd w:val="0"/>
              <w:jc w:val="center"/>
              <w:rPr>
                <w:sz w:val="16"/>
                <w:szCs w:val="16"/>
              </w:rPr>
            </w:pPr>
            <w:r>
              <w:rPr>
                <w:sz w:val="16"/>
                <w:szCs w:val="16"/>
              </w:rPr>
              <w:t>371</w:t>
            </w:r>
          </w:p>
        </w:tc>
        <w:tc>
          <w:tcPr>
            <w:tcW w:w="296" w:type="pct"/>
            <w:vAlign w:val="center"/>
          </w:tcPr>
          <w:p>
            <w:pPr>
              <w:autoSpaceDE w:val="0"/>
              <w:autoSpaceDN w:val="0"/>
              <w:adjustRightInd w:val="0"/>
              <w:jc w:val="center"/>
              <w:rPr>
                <w:b/>
                <w:sz w:val="16"/>
                <w:szCs w:val="16"/>
              </w:rPr>
            </w:pPr>
            <w:r>
              <w:rPr>
                <w:b/>
                <w:sz w:val="16"/>
                <w:szCs w:val="16"/>
              </w:rPr>
              <w:t>463</w:t>
            </w:r>
          </w:p>
        </w:tc>
        <w:tc>
          <w:tcPr>
            <w:tcW w:w="391" w:type="pct"/>
            <w:vAlign w:val="center"/>
          </w:tcPr>
          <w:p>
            <w:pPr>
              <w:autoSpaceDE w:val="0"/>
              <w:autoSpaceDN w:val="0"/>
              <w:adjustRightInd w:val="0"/>
              <w:jc w:val="center"/>
              <w:rPr>
                <w:sz w:val="16"/>
                <w:szCs w:val="16"/>
              </w:rPr>
            </w:pPr>
            <w:r>
              <w:rPr>
                <w:sz w:val="16"/>
                <w:szCs w:val="16"/>
              </w:rPr>
              <w:t>433</w:t>
            </w:r>
          </w:p>
        </w:tc>
        <w:tc>
          <w:tcPr>
            <w:tcW w:w="296" w:type="pct"/>
            <w:vAlign w:val="center"/>
          </w:tcPr>
          <w:p>
            <w:pPr>
              <w:autoSpaceDE w:val="0"/>
              <w:autoSpaceDN w:val="0"/>
              <w:adjustRightInd w:val="0"/>
              <w:jc w:val="center"/>
              <w:rPr>
                <w:b/>
                <w:sz w:val="16"/>
                <w:szCs w:val="16"/>
              </w:rPr>
            </w:pPr>
            <w:r>
              <w:rPr>
                <w:b/>
                <w:sz w:val="16"/>
                <w:szCs w:val="16"/>
              </w:rPr>
              <w:t>538</w:t>
            </w:r>
          </w:p>
        </w:tc>
        <w:tc>
          <w:tcPr>
            <w:tcW w:w="391" w:type="pct"/>
            <w:vAlign w:val="bottom"/>
          </w:tcPr>
          <w:p>
            <w:pPr>
              <w:jc w:val="center"/>
              <w:rPr>
                <w:rFonts w:eastAsia="Arial Unicode MS"/>
                <w:sz w:val="16"/>
                <w:szCs w:val="16"/>
              </w:rPr>
            </w:pPr>
            <w:r>
              <w:rPr>
                <w:sz w:val="16"/>
                <w:szCs w:val="16"/>
              </w:rPr>
              <w:t>495</w:t>
            </w:r>
          </w:p>
        </w:tc>
        <w:tc>
          <w:tcPr>
            <w:tcW w:w="429" w:type="pct"/>
          </w:tcPr>
          <w:p>
            <w:pPr>
              <w:autoSpaceDE w:val="0"/>
              <w:autoSpaceDN w:val="0"/>
              <w:adjustRightInd w:val="0"/>
              <w:jc w:val="center"/>
              <w:rPr>
                <w:b/>
                <w:sz w:val="16"/>
                <w:szCs w:val="16"/>
              </w:rPr>
            </w:pPr>
            <w:r>
              <w:rPr>
                <w:b/>
                <w:sz w:val="16"/>
                <w:szCs w:val="16"/>
              </w:rPr>
              <w:t>612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124</w:t>
            </w:r>
          </w:p>
        </w:tc>
        <w:tc>
          <w:tcPr>
            <w:tcW w:w="272" w:type="pct"/>
            <w:vAlign w:val="center"/>
          </w:tcPr>
          <w:p>
            <w:pPr>
              <w:autoSpaceDE w:val="0"/>
              <w:autoSpaceDN w:val="0"/>
              <w:adjustRightInd w:val="0"/>
              <w:jc w:val="center"/>
              <w:rPr>
                <w:b/>
                <w:sz w:val="16"/>
                <w:szCs w:val="16"/>
              </w:rPr>
            </w:pPr>
            <w:r>
              <w:rPr>
                <w:b/>
                <w:sz w:val="16"/>
                <w:szCs w:val="16"/>
              </w:rPr>
              <w:t>167</w:t>
            </w:r>
          </w:p>
        </w:tc>
        <w:tc>
          <w:tcPr>
            <w:tcW w:w="391" w:type="pct"/>
            <w:vAlign w:val="center"/>
          </w:tcPr>
          <w:p>
            <w:pPr>
              <w:autoSpaceDE w:val="0"/>
              <w:autoSpaceDN w:val="0"/>
              <w:adjustRightInd w:val="0"/>
              <w:jc w:val="center"/>
              <w:rPr>
                <w:sz w:val="16"/>
                <w:szCs w:val="16"/>
              </w:rPr>
            </w:pPr>
            <w:r>
              <w:rPr>
                <w:sz w:val="16"/>
                <w:szCs w:val="16"/>
              </w:rPr>
              <w:t>186</w:t>
            </w:r>
          </w:p>
        </w:tc>
        <w:tc>
          <w:tcPr>
            <w:tcW w:w="296" w:type="pct"/>
            <w:vAlign w:val="center"/>
          </w:tcPr>
          <w:p>
            <w:pPr>
              <w:autoSpaceDE w:val="0"/>
              <w:autoSpaceDN w:val="0"/>
              <w:adjustRightInd w:val="0"/>
              <w:jc w:val="center"/>
              <w:rPr>
                <w:b/>
                <w:sz w:val="16"/>
                <w:szCs w:val="16"/>
              </w:rPr>
            </w:pPr>
            <w:r>
              <w:rPr>
                <w:b/>
                <w:sz w:val="16"/>
                <w:szCs w:val="16"/>
              </w:rPr>
              <w:t>241</w:t>
            </w:r>
          </w:p>
        </w:tc>
        <w:tc>
          <w:tcPr>
            <w:tcW w:w="391" w:type="pct"/>
            <w:vAlign w:val="center"/>
          </w:tcPr>
          <w:p>
            <w:pPr>
              <w:autoSpaceDE w:val="0"/>
              <w:autoSpaceDN w:val="0"/>
              <w:adjustRightInd w:val="0"/>
              <w:jc w:val="center"/>
              <w:rPr>
                <w:sz w:val="16"/>
                <w:szCs w:val="16"/>
              </w:rPr>
            </w:pPr>
            <w:r>
              <w:rPr>
                <w:sz w:val="16"/>
                <w:szCs w:val="16"/>
              </w:rPr>
              <w:t>248</w:t>
            </w:r>
          </w:p>
        </w:tc>
        <w:tc>
          <w:tcPr>
            <w:tcW w:w="296" w:type="pct"/>
            <w:vAlign w:val="center"/>
          </w:tcPr>
          <w:p>
            <w:pPr>
              <w:autoSpaceDE w:val="0"/>
              <w:autoSpaceDN w:val="0"/>
              <w:adjustRightInd w:val="0"/>
              <w:jc w:val="center"/>
              <w:rPr>
                <w:b/>
                <w:sz w:val="16"/>
                <w:szCs w:val="16"/>
              </w:rPr>
            </w:pPr>
            <w:r>
              <w:rPr>
                <w:b/>
                <w:sz w:val="16"/>
                <w:szCs w:val="16"/>
              </w:rPr>
              <w:t>316</w:t>
            </w:r>
          </w:p>
        </w:tc>
        <w:tc>
          <w:tcPr>
            <w:tcW w:w="391" w:type="pct"/>
            <w:vAlign w:val="center"/>
          </w:tcPr>
          <w:p>
            <w:pPr>
              <w:autoSpaceDE w:val="0"/>
              <w:autoSpaceDN w:val="0"/>
              <w:adjustRightInd w:val="0"/>
              <w:jc w:val="center"/>
              <w:rPr>
                <w:sz w:val="16"/>
                <w:szCs w:val="16"/>
              </w:rPr>
            </w:pPr>
            <w:r>
              <w:rPr>
                <w:sz w:val="16"/>
                <w:szCs w:val="16"/>
              </w:rPr>
              <w:t>310</w:t>
            </w:r>
          </w:p>
        </w:tc>
        <w:tc>
          <w:tcPr>
            <w:tcW w:w="296" w:type="pct"/>
            <w:vAlign w:val="center"/>
          </w:tcPr>
          <w:p>
            <w:pPr>
              <w:autoSpaceDE w:val="0"/>
              <w:autoSpaceDN w:val="0"/>
              <w:adjustRightInd w:val="0"/>
              <w:jc w:val="center"/>
              <w:rPr>
                <w:b/>
                <w:sz w:val="16"/>
                <w:szCs w:val="16"/>
              </w:rPr>
            </w:pPr>
            <w:r>
              <w:rPr>
                <w:b/>
                <w:sz w:val="16"/>
                <w:szCs w:val="16"/>
              </w:rPr>
              <w:t>390</w:t>
            </w:r>
          </w:p>
        </w:tc>
        <w:tc>
          <w:tcPr>
            <w:tcW w:w="391" w:type="pct"/>
            <w:vAlign w:val="center"/>
          </w:tcPr>
          <w:p>
            <w:pPr>
              <w:autoSpaceDE w:val="0"/>
              <w:autoSpaceDN w:val="0"/>
              <w:adjustRightInd w:val="0"/>
              <w:jc w:val="center"/>
              <w:rPr>
                <w:sz w:val="16"/>
                <w:szCs w:val="16"/>
              </w:rPr>
            </w:pPr>
            <w:r>
              <w:rPr>
                <w:sz w:val="16"/>
                <w:szCs w:val="16"/>
              </w:rPr>
              <w:t>372</w:t>
            </w:r>
          </w:p>
        </w:tc>
        <w:tc>
          <w:tcPr>
            <w:tcW w:w="296" w:type="pct"/>
            <w:vAlign w:val="center"/>
          </w:tcPr>
          <w:p>
            <w:pPr>
              <w:autoSpaceDE w:val="0"/>
              <w:autoSpaceDN w:val="0"/>
              <w:adjustRightInd w:val="0"/>
              <w:jc w:val="center"/>
              <w:rPr>
                <w:b/>
                <w:sz w:val="16"/>
                <w:szCs w:val="16"/>
              </w:rPr>
            </w:pPr>
            <w:r>
              <w:rPr>
                <w:b/>
                <w:sz w:val="16"/>
                <w:szCs w:val="16"/>
              </w:rPr>
              <w:t>464</w:t>
            </w:r>
          </w:p>
        </w:tc>
        <w:tc>
          <w:tcPr>
            <w:tcW w:w="391" w:type="pct"/>
            <w:vAlign w:val="center"/>
          </w:tcPr>
          <w:p>
            <w:pPr>
              <w:autoSpaceDE w:val="0"/>
              <w:autoSpaceDN w:val="0"/>
              <w:adjustRightInd w:val="0"/>
              <w:jc w:val="center"/>
              <w:rPr>
                <w:sz w:val="16"/>
                <w:szCs w:val="16"/>
              </w:rPr>
            </w:pPr>
            <w:r>
              <w:rPr>
                <w:sz w:val="16"/>
                <w:szCs w:val="16"/>
              </w:rPr>
              <w:t>434</w:t>
            </w:r>
          </w:p>
        </w:tc>
        <w:tc>
          <w:tcPr>
            <w:tcW w:w="296" w:type="pct"/>
            <w:vAlign w:val="center"/>
          </w:tcPr>
          <w:p>
            <w:pPr>
              <w:autoSpaceDE w:val="0"/>
              <w:autoSpaceDN w:val="0"/>
              <w:adjustRightInd w:val="0"/>
              <w:jc w:val="center"/>
              <w:rPr>
                <w:b/>
                <w:sz w:val="16"/>
                <w:szCs w:val="16"/>
              </w:rPr>
            </w:pPr>
            <w:r>
              <w:rPr>
                <w:b/>
                <w:sz w:val="16"/>
                <w:szCs w:val="16"/>
              </w:rPr>
              <w:t>539</w:t>
            </w:r>
          </w:p>
        </w:tc>
        <w:tc>
          <w:tcPr>
            <w:tcW w:w="391" w:type="pct"/>
            <w:vAlign w:val="bottom"/>
          </w:tcPr>
          <w:p>
            <w:pPr>
              <w:jc w:val="center"/>
              <w:rPr>
                <w:rFonts w:eastAsia="Arial Unicode MS"/>
                <w:sz w:val="16"/>
                <w:szCs w:val="16"/>
              </w:rPr>
            </w:pPr>
            <w:r>
              <w:rPr>
                <w:sz w:val="16"/>
                <w:szCs w:val="16"/>
              </w:rPr>
              <w:t>496</w:t>
            </w:r>
          </w:p>
        </w:tc>
        <w:tc>
          <w:tcPr>
            <w:tcW w:w="429" w:type="pct"/>
          </w:tcPr>
          <w:p>
            <w:pPr>
              <w:autoSpaceDE w:val="0"/>
              <w:autoSpaceDN w:val="0"/>
              <w:adjustRightInd w:val="0"/>
              <w:jc w:val="center"/>
              <w:rPr>
                <w:b/>
                <w:sz w:val="16"/>
                <w:szCs w:val="16"/>
              </w:rPr>
            </w:pPr>
            <w:r>
              <w:rPr>
                <w:b/>
                <w:sz w:val="16"/>
                <w:szCs w:val="16"/>
              </w:rPr>
              <w:t>613</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125</w:t>
            </w:r>
          </w:p>
        </w:tc>
        <w:tc>
          <w:tcPr>
            <w:tcW w:w="272" w:type="pct"/>
            <w:vAlign w:val="center"/>
          </w:tcPr>
          <w:p>
            <w:pPr>
              <w:autoSpaceDE w:val="0"/>
              <w:autoSpaceDN w:val="0"/>
              <w:adjustRightInd w:val="0"/>
              <w:jc w:val="center"/>
              <w:rPr>
                <w:b/>
                <w:sz w:val="16"/>
                <w:szCs w:val="16"/>
              </w:rPr>
            </w:pPr>
            <w:r>
              <w:rPr>
                <w:b/>
                <w:sz w:val="16"/>
                <w:szCs w:val="16"/>
              </w:rPr>
              <w:t>168</w:t>
            </w:r>
          </w:p>
        </w:tc>
        <w:tc>
          <w:tcPr>
            <w:tcW w:w="391" w:type="pct"/>
            <w:vAlign w:val="center"/>
          </w:tcPr>
          <w:p>
            <w:pPr>
              <w:autoSpaceDE w:val="0"/>
              <w:autoSpaceDN w:val="0"/>
              <w:adjustRightInd w:val="0"/>
              <w:jc w:val="center"/>
              <w:rPr>
                <w:sz w:val="16"/>
                <w:szCs w:val="16"/>
              </w:rPr>
            </w:pPr>
            <w:r>
              <w:rPr>
                <w:sz w:val="16"/>
                <w:szCs w:val="16"/>
              </w:rPr>
              <w:t>187</w:t>
            </w:r>
          </w:p>
        </w:tc>
        <w:tc>
          <w:tcPr>
            <w:tcW w:w="296" w:type="pct"/>
            <w:vAlign w:val="center"/>
          </w:tcPr>
          <w:p>
            <w:pPr>
              <w:autoSpaceDE w:val="0"/>
              <w:autoSpaceDN w:val="0"/>
              <w:adjustRightInd w:val="0"/>
              <w:jc w:val="center"/>
              <w:rPr>
                <w:b/>
                <w:sz w:val="16"/>
                <w:szCs w:val="16"/>
              </w:rPr>
            </w:pPr>
            <w:r>
              <w:rPr>
                <w:b/>
                <w:sz w:val="16"/>
                <w:szCs w:val="16"/>
              </w:rPr>
              <w:t>242</w:t>
            </w:r>
          </w:p>
        </w:tc>
        <w:tc>
          <w:tcPr>
            <w:tcW w:w="391" w:type="pct"/>
            <w:vAlign w:val="center"/>
          </w:tcPr>
          <w:p>
            <w:pPr>
              <w:autoSpaceDE w:val="0"/>
              <w:autoSpaceDN w:val="0"/>
              <w:adjustRightInd w:val="0"/>
              <w:jc w:val="center"/>
              <w:rPr>
                <w:sz w:val="16"/>
                <w:szCs w:val="16"/>
              </w:rPr>
            </w:pPr>
            <w:r>
              <w:rPr>
                <w:sz w:val="16"/>
                <w:szCs w:val="16"/>
              </w:rPr>
              <w:t>249</w:t>
            </w:r>
          </w:p>
        </w:tc>
        <w:tc>
          <w:tcPr>
            <w:tcW w:w="296" w:type="pct"/>
            <w:vAlign w:val="center"/>
          </w:tcPr>
          <w:p>
            <w:pPr>
              <w:autoSpaceDE w:val="0"/>
              <w:autoSpaceDN w:val="0"/>
              <w:adjustRightInd w:val="0"/>
              <w:jc w:val="center"/>
              <w:rPr>
                <w:b/>
                <w:sz w:val="16"/>
                <w:szCs w:val="16"/>
              </w:rPr>
            </w:pPr>
            <w:r>
              <w:rPr>
                <w:b/>
                <w:sz w:val="16"/>
                <w:szCs w:val="16"/>
              </w:rPr>
              <w:t>317</w:t>
            </w:r>
          </w:p>
        </w:tc>
        <w:tc>
          <w:tcPr>
            <w:tcW w:w="391" w:type="pct"/>
            <w:vAlign w:val="center"/>
          </w:tcPr>
          <w:p>
            <w:pPr>
              <w:autoSpaceDE w:val="0"/>
              <w:autoSpaceDN w:val="0"/>
              <w:adjustRightInd w:val="0"/>
              <w:jc w:val="center"/>
              <w:rPr>
                <w:sz w:val="16"/>
                <w:szCs w:val="16"/>
              </w:rPr>
            </w:pPr>
            <w:r>
              <w:rPr>
                <w:sz w:val="16"/>
                <w:szCs w:val="16"/>
              </w:rPr>
              <w:t>311</w:t>
            </w:r>
          </w:p>
        </w:tc>
        <w:tc>
          <w:tcPr>
            <w:tcW w:w="296" w:type="pct"/>
            <w:vAlign w:val="center"/>
          </w:tcPr>
          <w:p>
            <w:pPr>
              <w:autoSpaceDE w:val="0"/>
              <w:autoSpaceDN w:val="0"/>
              <w:adjustRightInd w:val="0"/>
              <w:jc w:val="center"/>
              <w:rPr>
                <w:b/>
                <w:sz w:val="16"/>
                <w:szCs w:val="16"/>
              </w:rPr>
            </w:pPr>
            <w:r>
              <w:rPr>
                <w:b/>
                <w:sz w:val="16"/>
                <w:szCs w:val="16"/>
              </w:rPr>
              <w:t>391</w:t>
            </w:r>
          </w:p>
        </w:tc>
        <w:tc>
          <w:tcPr>
            <w:tcW w:w="391" w:type="pct"/>
            <w:vAlign w:val="center"/>
          </w:tcPr>
          <w:p>
            <w:pPr>
              <w:autoSpaceDE w:val="0"/>
              <w:autoSpaceDN w:val="0"/>
              <w:adjustRightInd w:val="0"/>
              <w:jc w:val="center"/>
              <w:rPr>
                <w:sz w:val="16"/>
                <w:szCs w:val="16"/>
              </w:rPr>
            </w:pPr>
            <w:r>
              <w:rPr>
                <w:sz w:val="16"/>
                <w:szCs w:val="16"/>
              </w:rPr>
              <w:t>373</w:t>
            </w:r>
          </w:p>
        </w:tc>
        <w:tc>
          <w:tcPr>
            <w:tcW w:w="296" w:type="pct"/>
            <w:vAlign w:val="center"/>
          </w:tcPr>
          <w:p>
            <w:pPr>
              <w:autoSpaceDE w:val="0"/>
              <w:autoSpaceDN w:val="0"/>
              <w:adjustRightInd w:val="0"/>
              <w:jc w:val="center"/>
              <w:rPr>
                <w:b/>
                <w:sz w:val="16"/>
                <w:szCs w:val="16"/>
              </w:rPr>
            </w:pPr>
            <w:r>
              <w:rPr>
                <w:b/>
                <w:sz w:val="16"/>
                <w:szCs w:val="16"/>
              </w:rPr>
              <w:t>466</w:t>
            </w:r>
          </w:p>
        </w:tc>
        <w:tc>
          <w:tcPr>
            <w:tcW w:w="391" w:type="pct"/>
            <w:vAlign w:val="center"/>
          </w:tcPr>
          <w:p>
            <w:pPr>
              <w:autoSpaceDE w:val="0"/>
              <w:autoSpaceDN w:val="0"/>
              <w:adjustRightInd w:val="0"/>
              <w:jc w:val="center"/>
              <w:rPr>
                <w:sz w:val="16"/>
                <w:szCs w:val="16"/>
              </w:rPr>
            </w:pPr>
            <w:r>
              <w:rPr>
                <w:sz w:val="16"/>
                <w:szCs w:val="16"/>
              </w:rPr>
              <w:t>435</w:t>
            </w:r>
          </w:p>
        </w:tc>
        <w:tc>
          <w:tcPr>
            <w:tcW w:w="296" w:type="pct"/>
            <w:vAlign w:val="center"/>
          </w:tcPr>
          <w:p>
            <w:pPr>
              <w:autoSpaceDE w:val="0"/>
              <w:autoSpaceDN w:val="0"/>
              <w:adjustRightInd w:val="0"/>
              <w:jc w:val="center"/>
              <w:rPr>
                <w:b/>
                <w:sz w:val="16"/>
                <w:szCs w:val="16"/>
              </w:rPr>
            </w:pPr>
            <w:r>
              <w:rPr>
                <w:b/>
                <w:sz w:val="16"/>
                <w:szCs w:val="16"/>
              </w:rPr>
              <w:t>540</w:t>
            </w:r>
          </w:p>
        </w:tc>
        <w:tc>
          <w:tcPr>
            <w:tcW w:w="391" w:type="pct"/>
            <w:vAlign w:val="bottom"/>
          </w:tcPr>
          <w:p>
            <w:pPr>
              <w:jc w:val="center"/>
              <w:rPr>
                <w:rFonts w:eastAsia="Arial Unicode MS"/>
                <w:sz w:val="16"/>
                <w:szCs w:val="16"/>
              </w:rPr>
            </w:pPr>
            <w:r>
              <w:rPr>
                <w:sz w:val="16"/>
                <w:szCs w:val="16"/>
              </w:rPr>
              <w:t>497</w:t>
            </w:r>
          </w:p>
        </w:tc>
        <w:tc>
          <w:tcPr>
            <w:tcW w:w="429" w:type="pct"/>
          </w:tcPr>
          <w:p>
            <w:pPr>
              <w:autoSpaceDE w:val="0"/>
              <w:autoSpaceDN w:val="0"/>
              <w:adjustRightInd w:val="0"/>
              <w:jc w:val="center"/>
              <w:rPr>
                <w:b/>
                <w:sz w:val="16"/>
                <w:szCs w:val="16"/>
              </w:rPr>
            </w:pPr>
            <w:r>
              <w:rPr>
                <w:b/>
                <w:sz w:val="16"/>
                <w:szCs w:val="16"/>
              </w:rPr>
              <w:t>614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126</w:t>
            </w:r>
          </w:p>
        </w:tc>
        <w:tc>
          <w:tcPr>
            <w:tcW w:w="272" w:type="pct"/>
            <w:vAlign w:val="center"/>
          </w:tcPr>
          <w:p>
            <w:pPr>
              <w:autoSpaceDE w:val="0"/>
              <w:autoSpaceDN w:val="0"/>
              <w:adjustRightInd w:val="0"/>
              <w:jc w:val="center"/>
              <w:rPr>
                <w:b/>
                <w:sz w:val="16"/>
                <w:szCs w:val="16"/>
              </w:rPr>
            </w:pPr>
            <w:r>
              <w:rPr>
                <w:b/>
                <w:sz w:val="16"/>
                <w:szCs w:val="16"/>
              </w:rPr>
              <w:t>169</w:t>
            </w:r>
          </w:p>
        </w:tc>
        <w:tc>
          <w:tcPr>
            <w:tcW w:w="391" w:type="pct"/>
            <w:vAlign w:val="center"/>
          </w:tcPr>
          <w:p>
            <w:pPr>
              <w:autoSpaceDE w:val="0"/>
              <w:autoSpaceDN w:val="0"/>
              <w:adjustRightInd w:val="0"/>
              <w:jc w:val="center"/>
              <w:rPr>
                <w:sz w:val="16"/>
                <w:szCs w:val="16"/>
              </w:rPr>
            </w:pPr>
            <w:r>
              <w:rPr>
                <w:sz w:val="16"/>
                <w:szCs w:val="16"/>
              </w:rPr>
              <w:t>188</w:t>
            </w:r>
          </w:p>
        </w:tc>
        <w:tc>
          <w:tcPr>
            <w:tcW w:w="296" w:type="pct"/>
            <w:vAlign w:val="center"/>
          </w:tcPr>
          <w:p>
            <w:pPr>
              <w:autoSpaceDE w:val="0"/>
              <w:autoSpaceDN w:val="0"/>
              <w:adjustRightInd w:val="0"/>
              <w:jc w:val="center"/>
              <w:rPr>
                <w:b/>
                <w:sz w:val="16"/>
                <w:szCs w:val="16"/>
              </w:rPr>
            </w:pPr>
            <w:r>
              <w:rPr>
                <w:b/>
                <w:sz w:val="16"/>
                <w:szCs w:val="16"/>
              </w:rPr>
              <w:t>244</w:t>
            </w:r>
          </w:p>
        </w:tc>
        <w:tc>
          <w:tcPr>
            <w:tcW w:w="391" w:type="pct"/>
            <w:vAlign w:val="center"/>
          </w:tcPr>
          <w:p>
            <w:pPr>
              <w:autoSpaceDE w:val="0"/>
              <w:autoSpaceDN w:val="0"/>
              <w:adjustRightInd w:val="0"/>
              <w:jc w:val="center"/>
              <w:rPr>
                <w:sz w:val="16"/>
                <w:szCs w:val="16"/>
              </w:rPr>
            </w:pPr>
            <w:r>
              <w:rPr>
                <w:sz w:val="16"/>
                <w:szCs w:val="16"/>
              </w:rPr>
              <w:t>250</w:t>
            </w:r>
          </w:p>
        </w:tc>
        <w:tc>
          <w:tcPr>
            <w:tcW w:w="296" w:type="pct"/>
            <w:vAlign w:val="center"/>
          </w:tcPr>
          <w:p>
            <w:pPr>
              <w:autoSpaceDE w:val="0"/>
              <w:autoSpaceDN w:val="0"/>
              <w:adjustRightInd w:val="0"/>
              <w:jc w:val="center"/>
              <w:rPr>
                <w:b/>
                <w:sz w:val="16"/>
                <w:szCs w:val="16"/>
              </w:rPr>
            </w:pPr>
            <w:r>
              <w:rPr>
                <w:b/>
                <w:sz w:val="16"/>
                <w:szCs w:val="16"/>
              </w:rPr>
              <w:t>318</w:t>
            </w:r>
          </w:p>
        </w:tc>
        <w:tc>
          <w:tcPr>
            <w:tcW w:w="391" w:type="pct"/>
            <w:vAlign w:val="center"/>
          </w:tcPr>
          <w:p>
            <w:pPr>
              <w:autoSpaceDE w:val="0"/>
              <w:autoSpaceDN w:val="0"/>
              <w:adjustRightInd w:val="0"/>
              <w:jc w:val="center"/>
              <w:rPr>
                <w:sz w:val="16"/>
                <w:szCs w:val="16"/>
              </w:rPr>
            </w:pPr>
            <w:r>
              <w:rPr>
                <w:sz w:val="16"/>
                <w:szCs w:val="16"/>
              </w:rPr>
              <w:t>312</w:t>
            </w:r>
          </w:p>
        </w:tc>
        <w:tc>
          <w:tcPr>
            <w:tcW w:w="296" w:type="pct"/>
            <w:vAlign w:val="center"/>
          </w:tcPr>
          <w:p>
            <w:pPr>
              <w:autoSpaceDE w:val="0"/>
              <w:autoSpaceDN w:val="0"/>
              <w:adjustRightInd w:val="0"/>
              <w:jc w:val="center"/>
              <w:rPr>
                <w:b/>
                <w:sz w:val="16"/>
                <w:szCs w:val="16"/>
              </w:rPr>
            </w:pPr>
            <w:r>
              <w:rPr>
                <w:b/>
                <w:sz w:val="16"/>
                <w:szCs w:val="16"/>
              </w:rPr>
              <w:t>392</w:t>
            </w:r>
          </w:p>
        </w:tc>
        <w:tc>
          <w:tcPr>
            <w:tcW w:w="391" w:type="pct"/>
            <w:vAlign w:val="center"/>
          </w:tcPr>
          <w:p>
            <w:pPr>
              <w:autoSpaceDE w:val="0"/>
              <w:autoSpaceDN w:val="0"/>
              <w:adjustRightInd w:val="0"/>
              <w:jc w:val="center"/>
              <w:rPr>
                <w:sz w:val="16"/>
                <w:szCs w:val="16"/>
              </w:rPr>
            </w:pPr>
            <w:r>
              <w:rPr>
                <w:sz w:val="16"/>
                <w:szCs w:val="16"/>
              </w:rPr>
              <w:t>374</w:t>
            </w:r>
          </w:p>
        </w:tc>
        <w:tc>
          <w:tcPr>
            <w:tcW w:w="296" w:type="pct"/>
            <w:vAlign w:val="center"/>
          </w:tcPr>
          <w:p>
            <w:pPr>
              <w:autoSpaceDE w:val="0"/>
              <w:autoSpaceDN w:val="0"/>
              <w:adjustRightInd w:val="0"/>
              <w:jc w:val="center"/>
              <w:rPr>
                <w:b/>
                <w:sz w:val="16"/>
                <w:szCs w:val="16"/>
              </w:rPr>
            </w:pPr>
            <w:r>
              <w:rPr>
                <w:b/>
                <w:sz w:val="16"/>
                <w:szCs w:val="16"/>
              </w:rPr>
              <w:t>467</w:t>
            </w:r>
          </w:p>
        </w:tc>
        <w:tc>
          <w:tcPr>
            <w:tcW w:w="391" w:type="pct"/>
            <w:vAlign w:val="center"/>
          </w:tcPr>
          <w:p>
            <w:pPr>
              <w:autoSpaceDE w:val="0"/>
              <w:autoSpaceDN w:val="0"/>
              <w:adjustRightInd w:val="0"/>
              <w:jc w:val="center"/>
              <w:rPr>
                <w:sz w:val="16"/>
                <w:szCs w:val="16"/>
              </w:rPr>
            </w:pPr>
            <w:r>
              <w:rPr>
                <w:sz w:val="16"/>
                <w:szCs w:val="16"/>
              </w:rPr>
              <w:t>436</w:t>
            </w:r>
          </w:p>
        </w:tc>
        <w:tc>
          <w:tcPr>
            <w:tcW w:w="296" w:type="pct"/>
            <w:vAlign w:val="center"/>
          </w:tcPr>
          <w:p>
            <w:pPr>
              <w:autoSpaceDE w:val="0"/>
              <w:autoSpaceDN w:val="0"/>
              <w:adjustRightInd w:val="0"/>
              <w:jc w:val="center"/>
              <w:rPr>
                <w:b/>
                <w:sz w:val="16"/>
                <w:szCs w:val="16"/>
              </w:rPr>
            </w:pPr>
            <w:r>
              <w:rPr>
                <w:b/>
                <w:sz w:val="16"/>
                <w:szCs w:val="16"/>
              </w:rPr>
              <w:t>541</w:t>
            </w:r>
          </w:p>
        </w:tc>
        <w:tc>
          <w:tcPr>
            <w:tcW w:w="391" w:type="pct"/>
            <w:vAlign w:val="bottom"/>
          </w:tcPr>
          <w:p>
            <w:pPr>
              <w:jc w:val="center"/>
              <w:rPr>
                <w:rFonts w:eastAsia="Arial Unicode MS"/>
                <w:sz w:val="16"/>
                <w:szCs w:val="16"/>
              </w:rPr>
            </w:pPr>
            <w:r>
              <w:rPr>
                <w:sz w:val="16"/>
                <w:szCs w:val="16"/>
              </w:rPr>
              <w:t>498</w:t>
            </w:r>
          </w:p>
        </w:tc>
        <w:tc>
          <w:tcPr>
            <w:tcW w:w="429" w:type="pct"/>
          </w:tcPr>
          <w:p>
            <w:pPr>
              <w:autoSpaceDE w:val="0"/>
              <w:autoSpaceDN w:val="0"/>
              <w:adjustRightInd w:val="0"/>
              <w:jc w:val="center"/>
              <w:rPr>
                <w:b/>
                <w:sz w:val="16"/>
                <w:szCs w:val="16"/>
              </w:rPr>
            </w:pPr>
            <w:r>
              <w:rPr>
                <w:b/>
                <w:sz w:val="16"/>
                <w:szCs w:val="16"/>
              </w:rPr>
              <w:t>616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127</w:t>
            </w:r>
          </w:p>
        </w:tc>
        <w:tc>
          <w:tcPr>
            <w:tcW w:w="272" w:type="pct"/>
            <w:vAlign w:val="center"/>
          </w:tcPr>
          <w:p>
            <w:pPr>
              <w:autoSpaceDE w:val="0"/>
              <w:autoSpaceDN w:val="0"/>
              <w:adjustRightInd w:val="0"/>
              <w:jc w:val="center"/>
              <w:rPr>
                <w:b/>
                <w:sz w:val="16"/>
                <w:szCs w:val="16"/>
              </w:rPr>
            </w:pPr>
            <w:r>
              <w:rPr>
                <w:b/>
                <w:sz w:val="16"/>
                <w:szCs w:val="16"/>
              </w:rPr>
              <w:t>170</w:t>
            </w:r>
          </w:p>
        </w:tc>
        <w:tc>
          <w:tcPr>
            <w:tcW w:w="391" w:type="pct"/>
            <w:vAlign w:val="center"/>
          </w:tcPr>
          <w:p>
            <w:pPr>
              <w:autoSpaceDE w:val="0"/>
              <w:autoSpaceDN w:val="0"/>
              <w:adjustRightInd w:val="0"/>
              <w:jc w:val="center"/>
              <w:rPr>
                <w:sz w:val="16"/>
                <w:szCs w:val="16"/>
              </w:rPr>
            </w:pPr>
            <w:r>
              <w:rPr>
                <w:sz w:val="16"/>
                <w:szCs w:val="16"/>
              </w:rPr>
              <w:t>189</w:t>
            </w:r>
          </w:p>
        </w:tc>
        <w:tc>
          <w:tcPr>
            <w:tcW w:w="296" w:type="pct"/>
            <w:vAlign w:val="center"/>
          </w:tcPr>
          <w:p>
            <w:pPr>
              <w:autoSpaceDE w:val="0"/>
              <w:autoSpaceDN w:val="0"/>
              <w:adjustRightInd w:val="0"/>
              <w:jc w:val="center"/>
              <w:rPr>
                <w:b/>
                <w:sz w:val="16"/>
                <w:szCs w:val="16"/>
              </w:rPr>
            </w:pPr>
            <w:r>
              <w:rPr>
                <w:b/>
                <w:sz w:val="16"/>
                <w:szCs w:val="16"/>
              </w:rPr>
              <w:t>245</w:t>
            </w:r>
          </w:p>
        </w:tc>
        <w:tc>
          <w:tcPr>
            <w:tcW w:w="391" w:type="pct"/>
            <w:vAlign w:val="center"/>
          </w:tcPr>
          <w:p>
            <w:pPr>
              <w:autoSpaceDE w:val="0"/>
              <w:autoSpaceDN w:val="0"/>
              <w:adjustRightInd w:val="0"/>
              <w:jc w:val="center"/>
              <w:rPr>
                <w:sz w:val="16"/>
                <w:szCs w:val="16"/>
              </w:rPr>
            </w:pPr>
            <w:r>
              <w:rPr>
                <w:sz w:val="16"/>
                <w:szCs w:val="16"/>
              </w:rPr>
              <w:t>251</w:t>
            </w:r>
          </w:p>
        </w:tc>
        <w:tc>
          <w:tcPr>
            <w:tcW w:w="296" w:type="pct"/>
            <w:vAlign w:val="center"/>
          </w:tcPr>
          <w:p>
            <w:pPr>
              <w:autoSpaceDE w:val="0"/>
              <w:autoSpaceDN w:val="0"/>
              <w:adjustRightInd w:val="0"/>
              <w:jc w:val="center"/>
              <w:rPr>
                <w:b/>
                <w:sz w:val="16"/>
                <w:szCs w:val="16"/>
              </w:rPr>
            </w:pPr>
            <w:r>
              <w:rPr>
                <w:b/>
                <w:sz w:val="16"/>
                <w:szCs w:val="16"/>
              </w:rPr>
              <w:t>319</w:t>
            </w:r>
          </w:p>
        </w:tc>
        <w:tc>
          <w:tcPr>
            <w:tcW w:w="391" w:type="pct"/>
            <w:vAlign w:val="center"/>
          </w:tcPr>
          <w:p>
            <w:pPr>
              <w:autoSpaceDE w:val="0"/>
              <w:autoSpaceDN w:val="0"/>
              <w:adjustRightInd w:val="0"/>
              <w:jc w:val="center"/>
              <w:rPr>
                <w:sz w:val="16"/>
                <w:szCs w:val="16"/>
              </w:rPr>
            </w:pPr>
            <w:r>
              <w:rPr>
                <w:sz w:val="16"/>
                <w:szCs w:val="16"/>
              </w:rPr>
              <w:t>313</w:t>
            </w:r>
          </w:p>
        </w:tc>
        <w:tc>
          <w:tcPr>
            <w:tcW w:w="296" w:type="pct"/>
            <w:vAlign w:val="center"/>
          </w:tcPr>
          <w:p>
            <w:pPr>
              <w:autoSpaceDE w:val="0"/>
              <w:autoSpaceDN w:val="0"/>
              <w:adjustRightInd w:val="0"/>
              <w:jc w:val="center"/>
              <w:rPr>
                <w:b/>
                <w:sz w:val="16"/>
                <w:szCs w:val="16"/>
              </w:rPr>
            </w:pPr>
            <w:r>
              <w:rPr>
                <w:b/>
                <w:sz w:val="16"/>
                <w:szCs w:val="16"/>
              </w:rPr>
              <w:t>394</w:t>
            </w:r>
          </w:p>
        </w:tc>
        <w:tc>
          <w:tcPr>
            <w:tcW w:w="391" w:type="pct"/>
            <w:vAlign w:val="center"/>
          </w:tcPr>
          <w:p>
            <w:pPr>
              <w:autoSpaceDE w:val="0"/>
              <w:autoSpaceDN w:val="0"/>
              <w:adjustRightInd w:val="0"/>
              <w:jc w:val="center"/>
              <w:rPr>
                <w:sz w:val="16"/>
                <w:szCs w:val="16"/>
              </w:rPr>
            </w:pPr>
            <w:r>
              <w:rPr>
                <w:sz w:val="16"/>
                <w:szCs w:val="16"/>
              </w:rPr>
              <w:t>375</w:t>
            </w:r>
          </w:p>
        </w:tc>
        <w:tc>
          <w:tcPr>
            <w:tcW w:w="296" w:type="pct"/>
            <w:vAlign w:val="center"/>
          </w:tcPr>
          <w:p>
            <w:pPr>
              <w:autoSpaceDE w:val="0"/>
              <w:autoSpaceDN w:val="0"/>
              <w:adjustRightInd w:val="0"/>
              <w:jc w:val="center"/>
              <w:rPr>
                <w:b/>
                <w:sz w:val="16"/>
                <w:szCs w:val="16"/>
              </w:rPr>
            </w:pPr>
            <w:r>
              <w:rPr>
                <w:b/>
                <w:sz w:val="16"/>
                <w:szCs w:val="16"/>
              </w:rPr>
              <w:t>468</w:t>
            </w:r>
          </w:p>
        </w:tc>
        <w:tc>
          <w:tcPr>
            <w:tcW w:w="391" w:type="pct"/>
            <w:vAlign w:val="center"/>
          </w:tcPr>
          <w:p>
            <w:pPr>
              <w:autoSpaceDE w:val="0"/>
              <w:autoSpaceDN w:val="0"/>
              <w:adjustRightInd w:val="0"/>
              <w:jc w:val="center"/>
              <w:rPr>
                <w:sz w:val="16"/>
                <w:szCs w:val="16"/>
              </w:rPr>
            </w:pPr>
            <w:r>
              <w:rPr>
                <w:sz w:val="16"/>
                <w:szCs w:val="16"/>
              </w:rPr>
              <w:t>437</w:t>
            </w:r>
          </w:p>
        </w:tc>
        <w:tc>
          <w:tcPr>
            <w:tcW w:w="296" w:type="pct"/>
            <w:vAlign w:val="center"/>
          </w:tcPr>
          <w:p>
            <w:pPr>
              <w:autoSpaceDE w:val="0"/>
              <w:autoSpaceDN w:val="0"/>
              <w:adjustRightInd w:val="0"/>
              <w:jc w:val="center"/>
              <w:rPr>
                <w:b/>
                <w:sz w:val="16"/>
                <w:szCs w:val="16"/>
              </w:rPr>
            </w:pPr>
            <w:r>
              <w:rPr>
                <w:b/>
                <w:sz w:val="16"/>
                <w:szCs w:val="16"/>
              </w:rPr>
              <w:t>542</w:t>
            </w:r>
          </w:p>
        </w:tc>
        <w:tc>
          <w:tcPr>
            <w:tcW w:w="391" w:type="pct"/>
            <w:vAlign w:val="bottom"/>
          </w:tcPr>
          <w:p>
            <w:pPr>
              <w:jc w:val="center"/>
              <w:rPr>
                <w:rFonts w:eastAsia="Arial Unicode MS"/>
                <w:sz w:val="16"/>
                <w:szCs w:val="16"/>
              </w:rPr>
            </w:pPr>
            <w:r>
              <w:rPr>
                <w:sz w:val="16"/>
                <w:szCs w:val="16"/>
              </w:rPr>
              <w:t>499</w:t>
            </w:r>
          </w:p>
        </w:tc>
        <w:tc>
          <w:tcPr>
            <w:tcW w:w="429" w:type="pct"/>
          </w:tcPr>
          <w:p>
            <w:pPr>
              <w:autoSpaceDE w:val="0"/>
              <w:autoSpaceDN w:val="0"/>
              <w:adjustRightInd w:val="0"/>
              <w:jc w:val="center"/>
              <w:rPr>
                <w:b/>
                <w:sz w:val="16"/>
                <w:szCs w:val="16"/>
              </w:rPr>
            </w:pPr>
            <w:r>
              <w:rPr>
                <w:b/>
                <w:sz w:val="16"/>
                <w:szCs w:val="16"/>
              </w:rPr>
              <w:t>617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128</w:t>
            </w:r>
          </w:p>
        </w:tc>
        <w:tc>
          <w:tcPr>
            <w:tcW w:w="272" w:type="pct"/>
            <w:vAlign w:val="center"/>
          </w:tcPr>
          <w:p>
            <w:pPr>
              <w:autoSpaceDE w:val="0"/>
              <w:autoSpaceDN w:val="0"/>
              <w:adjustRightInd w:val="0"/>
              <w:jc w:val="center"/>
              <w:rPr>
                <w:b/>
                <w:sz w:val="16"/>
                <w:szCs w:val="16"/>
              </w:rPr>
            </w:pPr>
            <w:r>
              <w:rPr>
                <w:b/>
                <w:sz w:val="16"/>
                <w:szCs w:val="16"/>
              </w:rPr>
              <w:t>172</w:t>
            </w:r>
          </w:p>
        </w:tc>
        <w:tc>
          <w:tcPr>
            <w:tcW w:w="391" w:type="pct"/>
            <w:vAlign w:val="center"/>
          </w:tcPr>
          <w:p>
            <w:pPr>
              <w:autoSpaceDE w:val="0"/>
              <w:autoSpaceDN w:val="0"/>
              <w:adjustRightInd w:val="0"/>
              <w:jc w:val="center"/>
              <w:rPr>
                <w:sz w:val="16"/>
                <w:szCs w:val="16"/>
              </w:rPr>
            </w:pPr>
            <w:r>
              <w:rPr>
                <w:sz w:val="16"/>
                <w:szCs w:val="16"/>
              </w:rPr>
              <w:t>190</w:t>
            </w:r>
          </w:p>
        </w:tc>
        <w:tc>
          <w:tcPr>
            <w:tcW w:w="296" w:type="pct"/>
            <w:vAlign w:val="center"/>
          </w:tcPr>
          <w:p>
            <w:pPr>
              <w:autoSpaceDE w:val="0"/>
              <w:autoSpaceDN w:val="0"/>
              <w:adjustRightInd w:val="0"/>
              <w:jc w:val="center"/>
              <w:rPr>
                <w:b/>
                <w:sz w:val="16"/>
                <w:szCs w:val="16"/>
              </w:rPr>
            </w:pPr>
            <w:r>
              <w:rPr>
                <w:b/>
                <w:sz w:val="16"/>
                <w:szCs w:val="16"/>
              </w:rPr>
              <w:t>246</w:t>
            </w:r>
          </w:p>
        </w:tc>
        <w:tc>
          <w:tcPr>
            <w:tcW w:w="391" w:type="pct"/>
            <w:vAlign w:val="center"/>
          </w:tcPr>
          <w:p>
            <w:pPr>
              <w:autoSpaceDE w:val="0"/>
              <w:autoSpaceDN w:val="0"/>
              <w:adjustRightInd w:val="0"/>
              <w:jc w:val="center"/>
              <w:rPr>
                <w:sz w:val="16"/>
                <w:szCs w:val="16"/>
              </w:rPr>
            </w:pPr>
            <w:r>
              <w:rPr>
                <w:sz w:val="16"/>
                <w:szCs w:val="16"/>
              </w:rPr>
              <w:t>252</w:t>
            </w:r>
          </w:p>
        </w:tc>
        <w:tc>
          <w:tcPr>
            <w:tcW w:w="296" w:type="pct"/>
            <w:vAlign w:val="center"/>
          </w:tcPr>
          <w:p>
            <w:pPr>
              <w:autoSpaceDE w:val="0"/>
              <w:autoSpaceDN w:val="0"/>
              <w:adjustRightInd w:val="0"/>
              <w:jc w:val="center"/>
              <w:rPr>
                <w:b/>
                <w:sz w:val="16"/>
                <w:szCs w:val="16"/>
              </w:rPr>
            </w:pPr>
            <w:r>
              <w:rPr>
                <w:b/>
                <w:sz w:val="16"/>
                <w:szCs w:val="16"/>
              </w:rPr>
              <w:t>320</w:t>
            </w:r>
          </w:p>
        </w:tc>
        <w:tc>
          <w:tcPr>
            <w:tcW w:w="391" w:type="pct"/>
            <w:vAlign w:val="center"/>
          </w:tcPr>
          <w:p>
            <w:pPr>
              <w:autoSpaceDE w:val="0"/>
              <w:autoSpaceDN w:val="0"/>
              <w:adjustRightInd w:val="0"/>
              <w:jc w:val="center"/>
              <w:rPr>
                <w:sz w:val="16"/>
                <w:szCs w:val="16"/>
              </w:rPr>
            </w:pPr>
            <w:r>
              <w:rPr>
                <w:sz w:val="16"/>
                <w:szCs w:val="16"/>
              </w:rPr>
              <w:t>314</w:t>
            </w:r>
          </w:p>
        </w:tc>
        <w:tc>
          <w:tcPr>
            <w:tcW w:w="296" w:type="pct"/>
            <w:vAlign w:val="center"/>
          </w:tcPr>
          <w:p>
            <w:pPr>
              <w:autoSpaceDE w:val="0"/>
              <w:autoSpaceDN w:val="0"/>
              <w:adjustRightInd w:val="0"/>
              <w:jc w:val="center"/>
              <w:rPr>
                <w:b/>
                <w:sz w:val="16"/>
                <w:szCs w:val="16"/>
              </w:rPr>
            </w:pPr>
            <w:r>
              <w:rPr>
                <w:b/>
                <w:sz w:val="16"/>
                <w:szCs w:val="16"/>
              </w:rPr>
              <w:t>395</w:t>
            </w:r>
          </w:p>
        </w:tc>
        <w:tc>
          <w:tcPr>
            <w:tcW w:w="391" w:type="pct"/>
            <w:vAlign w:val="center"/>
          </w:tcPr>
          <w:p>
            <w:pPr>
              <w:autoSpaceDE w:val="0"/>
              <w:autoSpaceDN w:val="0"/>
              <w:adjustRightInd w:val="0"/>
              <w:jc w:val="center"/>
              <w:rPr>
                <w:sz w:val="16"/>
                <w:szCs w:val="16"/>
              </w:rPr>
            </w:pPr>
            <w:r>
              <w:rPr>
                <w:sz w:val="16"/>
                <w:szCs w:val="16"/>
              </w:rPr>
              <w:t>376</w:t>
            </w:r>
          </w:p>
        </w:tc>
        <w:tc>
          <w:tcPr>
            <w:tcW w:w="296" w:type="pct"/>
            <w:vAlign w:val="center"/>
          </w:tcPr>
          <w:p>
            <w:pPr>
              <w:autoSpaceDE w:val="0"/>
              <w:autoSpaceDN w:val="0"/>
              <w:adjustRightInd w:val="0"/>
              <w:jc w:val="center"/>
              <w:rPr>
                <w:b/>
                <w:sz w:val="16"/>
                <w:szCs w:val="16"/>
              </w:rPr>
            </w:pPr>
            <w:r>
              <w:rPr>
                <w:b/>
                <w:sz w:val="16"/>
                <w:szCs w:val="16"/>
              </w:rPr>
              <w:t>469</w:t>
            </w:r>
          </w:p>
        </w:tc>
        <w:tc>
          <w:tcPr>
            <w:tcW w:w="391" w:type="pct"/>
            <w:vAlign w:val="center"/>
          </w:tcPr>
          <w:p>
            <w:pPr>
              <w:autoSpaceDE w:val="0"/>
              <w:autoSpaceDN w:val="0"/>
              <w:adjustRightInd w:val="0"/>
              <w:jc w:val="center"/>
              <w:rPr>
                <w:sz w:val="16"/>
                <w:szCs w:val="16"/>
              </w:rPr>
            </w:pPr>
            <w:r>
              <w:rPr>
                <w:sz w:val="16"/>
                <w:szCs w:val="16"/>
              </w:rPr>
              <w:t>438</w:t>
            </w:r>
          </w:p>
        </w:tc>
        <w:tc>
          <w:tcPr>
            <w:tcW w:w="296" w:type="pct"/>
            <w:vAlign w:val="center"/>
          </w:tcPr>
          <w:p>
            <w:pPr>
              <w:autoSpaceDE w:val="0"/>
              <w:autoSpaceDN w:val="0"/>
              <w:adjustRightInd w:val="0"/>
              <w:jc w:val="center"/>
              <w:rPr>
                <w:b/>
                <w:sz w:val="16"/>
                <w:szCs w:val="16"/>
              </w:rPr>
            </w:pPr>
            <w:r>
              <w:rPr>
                <w:b/>
                <w:sz w:val="16"/>
                <w:szCs w:val="16"/>
              </w:rPr>
              <w:t>544</w:t>
            </w:r>
          </w:p>
        </w:tc>
        <w:tc>
          <w:tcPr>
            <w:tcW w:w="391" w:type="pct"/>
            <w:vAlign w:val="bottom"/>
          </w:tcPr>
          <w:p>
            <w:pPr>
              <w:jc w:val="center"/>
              <w:rPr>
                <w:rFonts w:eastAsia="Arial Unicode MS"/>
                <w:sz w:val="16"/>
                <w:szCs w:val="16"/>
              </w:rPr>
            </w:pPr>
            <w:r>
              <w:rPr>
                <w:sz w:val="16"/>
                <w:szCs w:val="16"/>
              </w:rPr>
              <w:t>500</w:t>
            </w:r>
          </w:p>
        </w:tc>
        <w:tc>
          <w:tcPr>
            <w:tcW w:w="429" w:type="pct"/>
          </w:tcPr>
          <w:p>
            <w:pPr>
              <w:autoSpaceDE w:val="0"/>
              <w:autoSpaceDN w:val="0"/>
              <w:adjustRightInd w:val="0"/>
              <w:jc w:val="center"/>
              <w:rPr>
                <w:b/>
                <w:sz w:val="16"/>
                <w:szCs w:val="16"/>
              </w:rPr>
            </w:pPr>
            <w:r>
              <w:rPr>
                <w:b/>
                <w:sz w:val="16"/>
                <w:szCs w:val="16"/>
              </w:rPr>
              <w:t>618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129</w:t>
            </w:r>
          </w:p>
        </w:tc>
        <w:tc>
          <w:tcPr>
            <w:tcW w:w="272" w:type="pct"/>
            <w:vAlign w:val="center"/>
          </w:tcPr>
          <w:p>
            <w:pPr>
              <w:autoSpaceDE w:val="0"/>
              <w:autoSpaceDN w:val="0"/>
              <w:adjustRightInd w:val="0"/>
              <w:jc w:val="center"/>
              <w:rPr>
                <w:b/>
                <w:sz w:val="16"/>
                <w:szCs w:val="16"/>
              </w:rPr>
            </w:pPr>
            <w:r>
              <w:rPr>
                <w:b/>
                <w:sz w:val="16"/>
                <w:szCs w:val="16"/>
              </w:rPr>
              <w:t>173</w:t>
            </w:r>
          </w:p>
        </w:tc>
        <w:tc>
          <w:tcPr>
            <w:tcW w:w="391" w:type="pct"/>
            <w:vAlign w:val="center"/>
          </w:tcPr>
          <w:p>
            <w:pPr>
              <w:autoSpaceDE w:val="0"/>
              <w:autoSpaceDN w:val="0"/>
              <w:adjustRightInd w:val="0"/>
              <w:jc w:val="center"/>
              <w:rPr>
                <w:sz w:val="16"/>
                <w:szCs w:val="16"/>
              </w:rPr>
            </w:pPr>
            <w:r>
              <w:rPr>
                <w:sz w:val="16"/>
                <w:szCs w:val="16"/>
              </w:rPr>
              <w:t>191</w:t>
            </w:r>
          </w:p>
        </w:tc>
        <w:tc>
          <w:tcPr>
            <w:tcW w:w="296" w:type="pct"/>
            <w:vAlign w:val="center"/>
          </w:tcPr>
          <w:p>
            <w:pPr>
              <w:autoSpaceDE w:val="0"/>
              <w:autoSpaceDN w:val="0"/>
              <w:adjustRightInd w:val="0"/>
              <w:jc w:val="center"/>
              <w:rPr>
                <w:b/>
                <w:sz w:val="16"/>
                <w:szCs w:val="16"/>
              </w:rPr>
            </w:pPr>
            <w:r>
              <w:rPr>
                <w:b/>
                <w:sz w:val="16"/>
                <w:szCs w:val="16"/>
              </w:rPr>
              <w:t>247</w:t>
            </w:r>
          </w:p>
        </w:tc>
        <w:tc>
          <w:tcPr>
            <w:tcW w:w="391" w:type="pct"/>
            <w:vAlign w:val="center"/>
          </w:tcPr>
          <w:p>
            <w:pPr>
              <w:autoSpaceDE w:val="0"/>
              <w:autoSpaceDN w:val="0"/>
              <w:adjustRightInd w:val="0"/>
              <w:jc w:val="center"/>
              <w:rPr>
                <w:sz w:val="16"/>
                <w:szCs w:val="16"/>
              </w:rPr>
            </w:pPr>
            <w:r>
              <w:rPr>
                <w:sz w:val="16"/>
                <w:szCs w:val="16"/>
              </w:rPr>
              <w:t>253</w:t>
            </w:r>
          </w:p>
        </w:tc>
        <w:tc>
          <w:tcPr>
            <w:tcW w:w="296" w:type="pct"/>
            <w:vAlign w:val="center"/>
          </w:tcPr>
          <w:p>
            <w:pPr>
              <w:autoSpaceDE w:val="0"/>
              <w:autoSpaceDN w:val="0"/>
              <w:adjustRightInd w:val="0"/>
              <w:jc w:val="center"/>
              <w:rPr>
                <w:b/>
                <w:sz w:val="16"/>
                <w:szCs w:val="16"/>
              </w:rPr>
            </w:pPr>
            <w:r>
              <w:rPr>
                <w:b/>
                <w:sz w:val="16"/>
                <w:szCs w:val="16"/>
              </w:rPr>
              <w:t>322</w:t>
            </w:r>
          </w:p>
        </w:tc>
        <w:tc>
          <w:tcPr>
            <w:tcW w:w="391" w:type="pct"/>
            <w:vAlign w:val="center"/>
          </w:tcPr>
          <w:p>
            <w:pPr>
              <w:autoSpaceDE w:val="0"/>
              <w:autoSpaceDN w:val="0"/>
              <w:adjustRightInd w:val="0"/>
              <w:jc w:val="center"/>
              <w:rPr>
                <w:sz w:val="16"/>
                <w:szCs w:val="16"/>
              </w:rPr>
            </w:pPr>
            <w:r>
              <w:rPr>
                <w:sz w:val="16"/>
                <w:szCs w:val="16"/>
              </w:rPr>
              <w:t>315</w:t>
            </w:r>
          </w:p>
        </w:tc>
        <w:tc>
          <w:tcPr>
            <w:tcW w:w="296" w:type="pct"/>
            <w:vAlign w:val="center"/>
          </w:tcPr>
          <w:p>
            <w:pPr>
              <w:autoSpaceDE w:val="0"/>
              <w:autoSpaceDN w:val="0"/>
              <w:adjustRightInd w:val="0"/>
              <w:jc w:val="center"/>
              <w:rPr>
                <w:b/>
                <w:sz w:val="16"/>
                <w:szCs w:val="16"/>
              </w:rPr>
            </w:pPr>
            <w:r>
              <w:rPr>
                <w:b/>
                <w:sz w:val="16"/>
                <w:szCs w:val="16"/>
              </w:rPr>
              <w:t>396</w:t>
            </w:r>
          </w:p>
        </w:tc>
        <w:tc>
          <w:tcPr>
            <w:tcW w:w="391" w:type="pct"/>
            <w:vAlign w:val="center"/>
          </w:tcPr>
          <w:p>
            <w:pPr>
              <w:autoSpaceDE w:val="0"/>
              <w:autoSpaceDN w:val="0"/>
              <w:adjustRightInd w:val="0"/>
              <w:jc w:val="center"/>
              <w:rPr>
                <w:sz w:val="16"/>
                <w:szCs w:val="16"/>
              </w:rPr>
            </w:pPr>
            <w:r>
              <w:rPr>
                <w:sz w:val="16"/>
                <w:szCs w:val="16"/>
              </w:rPr>
              <w:t>377</w:t>
            </w:r>
          </w:p>
        </w:tc>
        <w:tc>
          <w:tcPr>
            <w:tcW w:w="296" w:type="pct"/>
            <w:vAlign w:val="center"/>
          </w:tcPr>
          <w:p>
            <w:pPr>
              <w:autoSpaceDE w:val="0"/>
              <w:autoSpaceDN w:val="0"/>
              <w:adjustRightInd w:val="0"/>
              <w:jc w:val="center"/>
              <w:rPr>
                <w:b/>
                <w:sz w:val="16"/>
                <w:szCs w:val="16"/>
              </w:rPr>
            </w:pPr>
            <w:r>
              <w:rPr>
                <w:b/>
                <w:sz w:val="16"/>
                <w:szCs w:val="16"/>
              </w:rPr>
              <w:t>470</w:t>
            </w:r>
          </w:p>
        </w:tc>
        <w:tc>
          <w:tcPr>
            <w:tcW w:w="391" w:type="pct"/>
            <w:vAlign w:val="center"/>
          </w:tcPr>
          <w:p>
            <w:pPr>
              <w:autoSpaceDE w:val="0"/>
              <w:autoSpaceDN w:val="0"/>
              <w:adjustRightInd w:val="0"/>
              <w:jc w:val="center"/>
              <w:rPr>
                <w:sz w:val="16"/>
                <w:szCs w:val="16"/>
              </w:rPr>
            </w:pPr>
            <w:r>
              <w:rPr>
                <w:sz w:val="16"/>
                <w:szCs w:val="16"/>
              </w:rPr>
              <w:t>439</w:t>
            </w:r>
          </w:p>
        </w:tc>
        <w:tc>
          <w:tcPr>
            <w:tcW w:w="296" w:type="pct"/>
            <w:vAlign w:val="center"/>
          </w:tcPr>
          <w:p>
            <w:pPr>
              <w:autoSpaceDE w:val="0"/>
              <w:autoSpaceDN w:val="0"/>
              <w:adjustRightInd w:val="0"/>
              <w:jc w:val="center"/>
              <w:rPr>
                <w:b/>
                <w:sz w:val="16"/>
                <w:szCs w:val="16"/>
              </w:rPr>
            </w:pPr>
            <w:r>
              <w:rPr>
                <w:b/>
                <w:sz w:val="16"/>
                <w:szCs w:val="16"/>
              </w:rPr>
              <w:t>545</w:t>
            </w:r>
          </w:p>
        </w:tc>
        <w:tc>
          <w:tcPr>
            <w:tcW w:w="391" w:type="pct"/>
            <w:vAlign w:val="bottom"/>
          </w:tcPr>
          <w:p>
            <w:pPr>
              <w:jc w:val="center"/>
              <w:rPr>
                <w:rFonts w:eastAsia="Arial Unicode MS"/>
                <w:sz w:val="16"/>
                <w:szCs w:val="16"/>
              </w:rPr>
            </w:pPr>
            <w:r>
              <w:rPr>
                <w:sz w:val="16"/>
                <w:szCs w:val="16"/>
              </w:rPr>
              <w:t>501</w:t>
            </w:r>
          </w:p>
        </w:tc>
        <w:tc>
          <w:tcPr>
            <w:tcW w:w="429" w:type="pct"/>
          </w:tcPr>
          <w:p>
            <w:pPr>
              <w:autoSpaceDE w:val="0"/>
              <w:autoSpaceDN w:val="0"/>
              <w:adjustRightInd w:val="0"/>
              <w:jc w:val="center"/>
              <w:rPr>
                <w:b/>
                <w:sz w:val="16"/>
                <w:szCs w:val="16"/>
              </w:rPr>
            </w:pPr>
            <w:r>
              <w:rPr>
                <w:b/>
                <w:sz w:val="16"/>
                <w:szCs w:val="16"/>
              </w:rPr>
              <w:t>619</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130</w:t>
            </w:r>
          </w:p>
        </w:tc>
        <w:tc>
          <w:tcPr>
            <w:tcW w:w="272" w:type="pct"/>
            <w:vAlign w:val="center"/>
          </w:tcPr>
          <w:p>
            <w:pPr>
              <w:autoSpaceDE w:val="0"/>
              <w:autoSpaceDN w:val="0"/>
              <w:adjustRightInd w:val="0"/>
              <w:jc w:val="center"/>
              <w:rPr>
                <w:b/>
                <w:sz w:val="16"/>
                <w:szCs w:val="16"/>
              </w:rPr>
            </w:pPr>
            <w:r>
              <w:rPr>
                <w:b/>
                <w:sz w:val="16"/>
                <w:szCs w:val="16"/>
              </w:rPr>
              <w:t>174</w:t>
            </w:r>
          </w:p>
        </w:tc>
        <w:tc>
          <w:tcPr>
            <w:tcW w:w="391" w:type="pct"/>
            <w:vAlign w:val="center"/>
          </w:tcPr>
          <w:p>
            <w:pPr>
              <w:autoSpaceDE w:val="0"/>
              <w:autoSpaceDN w:val="0"/>
              <w:adjustRightInd w:val="0"/>
              <w:jc w:val="center"/>
              <w:rPr>
                <w:sz w:val="16"/>
                <w:szCs w:val="16"/>
              </w:rPr>
            </w:pPr>
            <w:r>
              <w:rPr>
                <w:sz w:val="16"/>
                <w:szCs w:val="16"/>
              </w:rPr>
              <w:t>192</w:t>
            </w:r>
          </w:p>
        </w:tc>
        <w:tc>
          <w:tcPr>
            <w:tcW w:w="296" w:type="pct"/>
            <w:vAlign w:val="center"/>
          </w:tcPr>
          <w:p>
            <w:pPr>
              <w:autoSpaceDE w:val="0"/>
              <w:autoSpaceDN w:val="0"/>
              <w:adjustRightInd w:val="0"/>
              <w:jc w:val="center"/>
              <w:rPr>
                <w:b/>
                <w:sz w:val="16"/>
                <w:szCs w:val="16"/>
              </w:rPr>
            </w:pPr>
            <w:r>
              <w:rPr>
                <w:b/>
                <w:sz w:val="16"/>
                <w:szCs w:val="16"/>
              </w:rPr>
              <w:t>248</w:t>
            </w:r>
          </w:p>
        </w:tc>
        <w:tc>
          <w:tcPr>
            <w:tcW w:w="391" w:type="pct"/>
            <w:vAlign w:val="center"/>
          </w:tcPr>
          <w:p>
            <w:pPr>
              <w:autoSpaceDE w:val="0"/>
              <w:autoSpaceDN w:val="0"/>
              <w:adjustRightInd w:val="0"/>
              <w:jc w:val="center"/>
              <w:rPr>
                <w:sz w:val="16"/>
                <w:szCs w:val="16"/>
              </w:rPr>
            </w:pPr>
            <w:r>
              <w:rPr>
                <w:sz w:val="16"/>
                <w:szCs w:val="16"/>
              </w:rPr>
              <w:t>254</w:t>
            </w:r>
          </w:p>
        </w:tc>
        <w:tc>
          <w:tcPr>
            <w:tcW w:w="296" w:type="pct"/>
            <w:vAlign w:val="center"/>
          </w:tcPr>
          <w:p>
            <w:pPr>
              <w:autoSpaceDE w:val="0"/>
              <w:autoSpaceDN w:val="0"/>
              <w:adjustRightInd w:val="0"/>
              <w:jc w:val="center"/>
              <w:rPr>
                <w:b/>
                <w:sz w:val="16"/>
                <w:szCs w:val="16"/>
              </w:rPr>
            </w:pPr>
            <w:r>
              <w:rPr>
                <w:b/>
                <w:sz w:val="16"/>
                <w:szCs w:val="16"/>
              </w:rPr>
              <w:t>323</w:t>
            </w:r>
          </w:p>
        </w:tc>
        <w:tc>
          <w:tcPr>
            <w:tcW w:w="391" w:type="pct"/>
            <w:vAlign w:val="center"/>
          </w:tcPr>
          <w:p>
            <w:pPr>
              <w:autoSpaceDE w:val="0"/>
              <w:autoSpaceDN w:val="0"/>
              <w:adjustRightInd w:val="0"/>
              <w:jc w:val="center"/>
              <w:rPr>
                <w:sz w:val="16"/>
                <w:szCs w:val="16"/>
              </w:rPr>
            </w:pPr>
            <w:r>
              <w:rPr>
                <w:sz w:val="16"/>
                <w:szCs w:val="16"/>
              </w:rPr>
              <w:t>316</w:t>
            </w:r>
          </w:p>
        </w:tc>
        <w:tc>
          <w:tcPr>
            <w:tcW w:w="296" w:type="pct"/>
            <w:vAlign w:val="center"/>
          </w:tcPr>
          <w:p>
            <w:pPr>
              <w:autoSpaceDE w:val="0"/>
              <w:autoSpaceDN w:val="0"/>
              <w:adjustRightInd w:val="0"/>
              <w:jc w:val="center"/>
              <w:rPr>
                <w:b/>
                <w:sz w:val="16"/>
                <w:szCs w:val="16"/>
              </w:rPr>
            </w:pPr>
            <w:r>
              <w:rPr>
                <w:b/>
                <w:sz w:val="16"/>
                <w:szCs w:val="16"/>
              </w:rPr>
              <w:t>397</w:t>
            </w:r>
          </w:p>
        </w:tc>
        <w:tc>
          <w:tcPr>
            <w:tcW w:w="391" w:type="pct"/>
            <w:vAlign w:val="center"/>
          </w:tcPr>
          <w:p>
            <w:pPr>
              <w:autoSpaceDE w:val="0"/>
              <w:autoSpaceDN w:val="0"/>
              <w:adjustRightInd w:val="0"/>
              <w:jc w:val="center"/>
              <w:rPr>
                <w:sz w:val="16"/>
                <w:szCs w:val="16"/>
              </w:rPr>
            </w:pPr>
            <w:r>
              <w:rPr>
                <w:sz w:val="16"/>
                <w:szCs w:val="16"/>
              </w:rPr>
              <w:t>378</w:t>
            </w:r>
          </w:p>
        </w:tc>
        <w:tc>
          <w:tcPr>
            <w:tcW w:w="296" w:type="pct"/>
            <w:vAlign w:val="center"/>
          </w:tcPr>
          <w:p>
            <w:pPr>
              <w:autoSpaceDE w:val="0"/>
              <w:autoSpaceDN w:val="0"/>
              <w:adjustRightInd w:val="0"/>
              <w:jc w:val="center"/>
              <w:rPr>
                <w:b/>
                <w:sz w:val="16"/>
                <w:szCs w:val="16"/>
              </w:rPr>
            </w:pPr>
            <w:r>
              <w:rPr>
                <w:b/>
                <w:sz w:val="16"/>
                <w:szCs w:val="16"/>
              </w:rPr>
              <w:t>472</w:t>
            </w:r>
          </w:p>
        </w:tc>
        <w:tc>
          <w:tcPr>
            <w:tcW w:w="391" w:type="pct"/>
            <w:vAlign w:val="center"/>
          </w:tcPr>
          <w:p>
            <w:pPr>
              <w:autoSpaceDE w:val="0"/>
              <w:autoSpaceDN w:val="0"/>
              <w:adjustRightInd w:val="0"/>
              <w:jc w:val="center"/>
              <w:rPr>
                <w:sz w:val="16"/>
                <w:szCs w:val="16"/>
              </w:rPr>
            </w:pPr>
            <w:r>
              <w:rPr>
                <w:sz w:val="16"/>
                <w:szCs w:val="16"/>
              </w:rPr>
              <w:t>440</w:t>
            </w:r>
          </w:p>
        </w:tc>
        <w:tc>
          <w:tcPr>
            <w:tcW w:w="296" w:type="pct"/>
            <w:vAlign w:val="center"/>
          </w:tcPr>
          <w:p>
            <w:pPr>
              <w:autoSpaceDE w:val="0"/>
              <w:autoSpaceDN w:val="0"/>
              <w:adjustRightInd w:val="0"/>
              <w:jc w:val="center"/>
              <w:rPr>
                <w:b/>
                <w:sz w:val="16"/>
                <w:szCs w:val="16"/>
              </w:rPr>
            </w:pPr>
            <w:r>
              <w:rPr>
                <w:b/>
                <w:sz w:val="16"/>
                <w:szCs w:val="16"/>
              </w:rPr>
              <w:t>546</w:t>
            </w:r>
          </w:p>
        </w:tc>
        <w:tc>
          <w:tcPr>
            <w:tcW w:w="391" w:type="pct"/>
            <w:vAlign w:val="bottom"/>
          </w:tcPr>
          <w:p>
            <w:pPr>
              <w:jc w:val="center"/>
              <w:rPr>
                <w:rFonts w:eastAsia="Arial Unicode MS"/>
                <w:sz w:val="16"/>
                <w:szCs w:val="16"/>
              </w:rPr>
            </w:pPr>
            <w:r>
              <w:rPr>
                <w:sz w:val="16"/>
                <w:szCs w:val="16"/>
              </w:rPr>
              <w:t>502</w:t>
            </w:r>
          </w:p>
        </w:tc>
        <w:tc>
          <w:tcPr>
            <w:tcW w:w="429" w:type="pct"/>
          </w:tcPr>
          <w:p>
            <w:pPr>
              <w:autoSpaceDE w:val="0"/>
              <w:autoSpaceDN w:val="0"/>
              <w:adjustRightInd w:val="0"/>
              <w:jc w:val="center"/>
              <w:rPr>
                <w:b/>
                <w:sz w:val="16"/>
                <w:szCs w:val="16"/>
              </w:rPr>
            </w:pPr>
            <w:r>
              <w:rPr>
                <w:b/>
                <w:sz w:val="16"/>
                <w:szCs w:val="16"/>
              </w:rPr>
              <w:t>620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131</w:t>
            </w:r>
          </w:p>
        </w:tc>
        <w:tc>
          <w:tcPr>
            <w:tcW w:w="272" w:type="pct"/>
            <w:vAlign w:val="center"/>
          </w:tcPr>
          <w:p>
            <w:pPr>
              <w:autoSpaceDE w:val="0"/>
              <w:autoSpaceDN w:val="0"/>
              <w:adjustRightInd w:val="0"/>
              <w:jc w:val="center"/>
              <w:rPr>
                <w:b/>
                <w:sz w:val="16"/>
                <w:szCs w:val="16"/>
              </w:rPr>
            </w:pPr>
            <w:r>
              <w:rPr>
                <w:b/>
                <w:sz w:val="16"/>
                <w:szCs w:val="16"/>
              </w:rPr>
              <w:t>175</w:t>
            </w:r>
          </w:p>
        </w:tc>
        <w:tc>
          <w:tcPr>
            <w:tcW w:w="391" w:type="pct"/>
            <w:vAlign w:val="center"/>
          </w:tcPr>
          <w:p>
            <w:pPr>
              <w:autoSpaceDE w:val="0"/>
              <w:autoSpaceDN w:val="0"/>
              <w:adjustRightInd w:val="0"/>
              <w:jc w:val="center"/>
              <w:rPr>
                <w:sz w:val="16"/>
                <w:szCs w:val="16"/>
              </w:rPr>
            </w:pPr>
            <w:r>
              <w:rPr>
                <w:sz w:val="16"/>
                <w:szCs w:val="16"/>
              </w:rPr>
              <w:t>193</w:t>
            </w:r>
          </w:p>
        </w:tc>
        <w:tc>
          <w:tcPr>
            <w:tcW w:w="296" w:type="pct"/>
            <w:vAlign w:val="center"/>
          </w:tcPr>
          <w:p>
            <w:pPr>
              <w:autoSpaceDE w:val="0"/>
              <w:autoSpaceDN w:val="0"/>
              <w:adjustRightInd w:val="0"/>
              <w:jc w:val="center"/>
              <w:rPr>
                <w:b/>
                <w:sz w:val="16"/>
                <w:szCs w:val="16"/>
              </w:rPr>
            </w:pPr>
            <w:r>
              <w:rPr>
                <w:b/>
                <w:sz w:val="16"/>
                <w:szCs w:val="16"/>
              </w:rPr>
              <w:t>250</w:t>
            </w:r>
          </w:p>
        </w:tc>
        <w:tc>
          <w:tcPr>
            <w:tcW w:w="391" w:type="pct"/>
            <w:vAlign w:val="center"/>
          </w:tcPr>
          <w:p>
            <w:pPr>
              <w:autoSpaceDE w:val="0"/>
              <w:autoSpaceDN w:val="0"/>
              <w:adjustRightInd w:val="0"/>
              <w:jc w:val="center"/>
              <w:rPr>
                <w:sz w:val="16"/>
                <w:szCs w:val="16"/>
              </w:rPr>
            </w:pPr>
            <w:r>
              <w:rPr>
                <w:sz w:val="16"/>
                <w:szCs w:val="16"/>
              </w:rPr>
              <w:t>255</w:t>
            </w:r>
          </w:p>
        </w:tc>
        <w:tc>
          <w:tcPr>
            <w:tcW w:w="296" w:type="pct"/>
            <w:vAlign w:val="center"/>
          </w:tcPr>
          <w:p>
            <w:pPr>
              <w:autoSpaceDE w:val="0"/>
              <w:autoSpaceDN w:val="0"/>
              <w:adjustRightInd w:val="0"/>
              <w:jc w:val="center"/>
              <w:rPr>
                <w:b/>
                <w:sz w:val="16"/>
                <w:szCs w:val="16"/>
              </w:rPr>
            </w:pPr>
            <w:r>
              <w:rPr>
                <w:b/>
                <w:sz w:val="16"/>
                <w:szCs w:val="16"/>
              </w:rPr>
              <w:t>324</w:t>
            </w:r>
          </w:p>
        </w:tc>
        <w:tc>
          <w:tcPr>
            <w:tcW w:w="391" w:type="pct"/>
            <w:vAlign w:val="center"/>
          </w:tcPr>
          <w:p>
            <w:pPr>
              <w:autoSpaceDE w:val="0"/>
              <w:autoSpaceDN w:val="0"/>
              <w:adjustRightInd w:val="0"/>
              <w:jc w:val="center"/>
              <w:rPr>
                <w:sz w:val="16"/>
                <w:szCs w:val="16"/>
              </w:rPr>
            </w:pPr>
            <w:r>
              <w:rPr>
                <w:sz w:val="16"/>
                <w:szCs w:val="16"/>
              </w:rPr>
              <w:t>317</w:t>
            </w:r>
          </w:p>
        </w:tc>
        <w:tc>
          <w:tcPr>
            <w:tcW w:w="296" w:type="pct"/>
            <w:vAlign w:val="center"/>
          </w:tcPr>
          <w:p>
            <w:pPr>
              <w:autoSpaceDE w:val="0"/>
              <w:autoSpaceDN w:val="0"/>
              <w:adjustRightInd w:val="0"/>
              <w:jc w:val="center"/>
              <w:rPr>
                <w:b/>
                <w:sz w:val="16"/>
                <w:szCs w:val="16"/>
              </w:rPr>
            </w:pPr>
            <w:r>
              <w:rPr>
                <w:b/>
                <w:sz w:val="16"/>
                <w:szCs w:val="16"/>
              </w:rPr>
              <w:t>398</w:t>
            </w:r>
          </w:p>
        </w:tc>
        <w:tc>
          <w:tcPr>
            <w:tcW w:w="391" w:type="pct"/>
            <w:vAlign w:val="center"/>
          </w:tcPr>
          <w:p>
            <w:pPr>
              <w:autoSpaceDE w:val="0"/>
              <w:autoSpaceDN w:val="0"/>
              <w:adjustRightInd w:val="0"/>
              <w:jc w:val="center"/>
              <w:rPr>
                <w:sz w:val="16"/>
                <w:szCs w:val="16"/>
              </w:rPr>
            </w:pPr>
            <w:r>
              <w:rPr>
                <w:sz w:val="16"/>
                <w:szCs w:val="16"/>
              </w:rPr>
              <w:t>379</w:t>
            </w:r>
          </w:p>
        </w:tc>
        <w:tc>
          <w:tcPr>
            <w:tcW w:w="296" w:type="pct"/>
            <w:vAlign w:val="center"/>
          </w:tcPr>
          <w:p>
            <w:pPr>
              <w:autoSpaceDE w:val="0"/>
              <w:autoSpaceDN w:val="0"/>
              <w:adjustRightInd w:val="0"/>
              <w:jc w:val="center"/>
              <w:rPr>
                <w:b/>
                <w:sz w:val="16"/>
                <w:szCs w:val="16"/>
              </w:rPr>
            </w:pPr>
            <w:r>
              <w:rPr>
                <w:b/>
                <w:sz w:val="16"/>
                <w:szCs w:val="16"/>
              </w:rPr>
              <w:t>473</w:t>
            </w:r>
          </w:p>
        </w:tc>
        <w:tc>
          <w:tcPr>
            <w:tcW w:w="391" w:type="pct"/>
            <w:vAlign w:val="center"/>
          </w:tcPr>
          <w:p>
            <w:pPr>
              <w:autoSpaceDE w:val="0"/>
              <w:autoSpaceDN w:val="0"/>
              <w:adjustRightInd w:val="0"/>
              <w:jc w:val="center"/>
              <w:rPr>
                <w:sz w:val="16"/>
                <w:szCs w:val="16"/>
              </w:rPr>
            </w:pPr>
            <w:r>
              <w:rPr>
                <w:sz w:val="16"/>
                <w:szCs w:val="16"/>
              </w:rPr>
              <w:t>441</w:t>
            </w:r>
          </w:p>
        </w:tc>
        <w:tc>
          <w:tcPr>
            <w:tcW w:w="296" w:type="pct"/>
            <w:vAlign w:val="center"/>
          </w:tcPr>
          <w:p>
            <w:pPr>
              <w:autoSpaceDE w:val="0"/>
              <w:autoSpaceDN w:val="0"/>
              <w:adjustRightInd w:val="0"/>
              <w:jc w:val="center"/>
              <w:rPr>
                <w:b/>
                <w:sz w:val="16"/>
                <w:szCs w:val="16"/>
              </w:rPr>
            </w:pPr>
            <w:r>
              <w:rPr>
                <w:b/>
                <w:sz w:val="16"/>
                <w:szCs w:val="16"/>
              </w:rPr>
              <w:t>547</w:t>
            </w:r>
          </w:p>
        </w:tc>
        <w:tc>
          <w:tcPr>
            <w:tcW w:w="391" w:type="pct"/>
            <w:vAlign w:val="bottom"/>
          </w:tcPr>
          <w:p>
            <w:pPr>
              <w:jc w:val="center"/>
              <w:rPr>
                <w:rFonts w:eastAsia="Arial Unicode MS"/>
                <w:sz w:val="16"/>
                <w:szCs w:val="16"/>
              </w:rPr>
            </w:pPr>
            <w:r>
              <w:rPr>
                <w:sz w:val="16"/>
                <w:szCs w:val="16"/>
              </w:rPr>
              <w:t>503</w:t>
            </w:r>
          </w:p>
        </w:tc>
        <w:tc>
          <w:tcPr>
            <w:tcW w:w="429" w:type="pct"/>
          </w:tcPr>
          <w:p>
            <w:pPr>
              <w:autoSpaceDE w:val="0"/>
              <w:autoSpaceDN w:val="0"/>
              <w:adjustRightInd w:val="0"/>
              <w:jc w:val="center"/>
              <w:rPr>
                <w:b/>
                <w:sz w:val="16"/>
                <w:szCs w:val="16"/>
              </w:rPr>
            </w:pPr>
            <w:r>
              <w:rPr>
                <w:b/>
                <w:sz w:val="16"/>
                <w:szCs w:val="16"/>
              </w:rPr>
              <w:t>622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132</w:t>
            </w:r>
          </w:p>
        </w:tc>
        <w:tc>
          <w:tcPr>
            <w:tcW w:w="272" w:type="pct"/>
            <w:vAlign w:val="center"/>
          </w:tcPr>
          <w:p>
            <w:pPr>
              <w:autoSpaceDE w:val="0"/>
              <w:autoSpaceDN w:val="0"/>
              <w:adjustRightInd w:val="0"/>
              <w:jc w:val="center"/>
              <w:rPr>
                <w:b/>
                <w:sz w:val="16"/>
                <w:szCs w:val="16"/>
              </w:rPr>
            </w:pPr>
            <w:r>
              <w:rPr>
                <w:b/>
                <w:sz w:val="16"/>
                <w:szCs w:val="16"/>
              </w:rPr>
              <w:t>176</w:t>
            </w:r>
          </w:p>
        </w:tc>
        <w:tc>
          <w:tcPr>
            <w:tcW w:w="391" w:type="pct"/>
            <w:vAlign w:val="center"/>
          </w:tcPr>
          <w:p>
            <w:pPr>
              <w:autoSpaceDE w:val="0"/>
              <w:autoSpaceDN w:val="0"/>
              <w:adjustRightInd w:val="0"/>
              <w:jc w:val="center"/>
              <w:rPr>
                <w:sz w:val="16"/>
                <w:szCs w:val="16"/>
              </w:rPr>
            </w:pPr>
            <w:r>
              <w:rPr>
                <w:sz w:val="16"/>
                <w:szCs w:val="16"/>
              </w:rPr>
              <w:t>194</w:t>
            </w:r>
          </w:p>
        </w:tc>
        <w:tc>
          <w:tcPr>
            <w:tcW w:w="296" w:type="pct"/>
            <w:vAlign w:val="center"/>
          </w:tcPr>
          <w:p>
            <w:pPr>
              <w:autoSpaceDE w:val="0"/>
              <w:autoSpaceDN w:val="0"/>
              <w:adjustRightInd w:val="0"/>
              <w:jc w:val="center"/>
              <w:rPr>
                <w:b/>
                <w:sz w:val="16"/>
                <w:szCs w:val="16"/>
              </w:rPr>
            </w:pPr>
            <w:r>
              <w:rPr>
                <w:b/>
                <w:sz w:val="16"/>
                <w:szCs w:val="16"/>
              </w:rPr>
              <w:t>251</w:t>
            </w:r>
          </w:p>
        </w:tc>
        <w:tc>
          <w:tcPr>
            <w:tcW w:w="391" w:type="pct"/>
            <w:vAlign w:val="center"/>
          </w:tcPr>
          <w:p>
            <w:pPr>
              <w:autoSpaceDE w:val="0"/>
              <w:autoSpaceDN w:val="0"/>
              <w:adjustRightInd w:val="0"/>
              <w:jc w:val="center"/>
              <w:rPr>
                <w:sz w:val="16"/>
                <w:szCs w:val="16"/>
              </w:rPr>
            </w:pPr>
            <w:r>
              <w:rPr>
                <w:sz w:val="16"/>
                <w:szCs w:val="16"/>
              </w:rPr>
              <w:t>256</w:t>
            </w:r>
          </w:p>
        </w:tc>
        <w:tc>
          <w:tcPr>
            <w:tcW w:w="296" w:type="pct"/>
            <w:vAlign w:val="center"/>
          </w:tcPr>
          <w:p>
            <w:pPr>
              <w:autoSpaceDE w:val="0"/>
              <w:autoSpaceDN w:val="0"/>
              <w:adjustRightInd w:val="0"/>
              <w:jc w:val="center"/>
              <w:rPr>
                <w:b/>
                <w:sz w:val="16"/>
                <w:szCs w:val="16"/>
              </w:rPr>
            </w:pPr>
            <w:r>
              <w:rPr>
                <w:b/>
                <w:sz w:val="16"/>
                <w:szCs w:val="16"/>
              </w:rPr>
              <w:t>325</w:t>
            </w:r>
          </w:p>
        </w:tc>
        <w:tc>
          <w:tcPr>
            <w:tcW w:w="391" w:type="pct"/>
            <w:vAlign w:val="center"/>
          </w:tcPr>
          <w:p>
            <w:pPr>
              <w:autoSpaceDE w:val="0"/>
              <w:autoSpaceDN w:val="0"/>
              <w:adjustRightInd w:val="0"/>
              <w:jc w:val="center"/>
              <w:rPr>
                <w:sz w:val="16"/>
                <w:szCs w:val="16"/>
              </w:rPr>
            </w:pPr>
            <w:r>
              <w:rPr>
                <w:sz w:val="16"/>
                <w:szCs w:val="16"/>
              </w:rPr>
              <w:t>318</w:t>
            </w:r>
          </w:p>
        </w:tc>
        <w:tc>
          <w:tcPr>
            <w:tcW w:w="296" w:type="pct"/>
            <w:vAlign w:val="center"/>
          </w:tcPr>
          <w:p>
            <w:pPr>
              <w:autoSpaceDE w:val="0"/>
              <w:autoSpaceDN w:val="0"/>
              <w:adjustRightInd w:val="0"/>
              <w:jc w:val="center"/>
              <w:rPr>
                <w:b/>
                <w:sz w:val="16"/>
                <w:szCs w:val="16"/>
              </w:rPr>
            </w:pPr>
            <w:r>
              <w:rPr>
                <w:b/>
                <w:sz w:val="16"/>
                <w:szCs w:val="16"/>
              </w:rPr>
              <w:t>400</w:t>
            </w:r>
          </w:p>
        </w:tc>
        <w:tc>
          <w:tcPr>
            <w:tcW w:w="391" w:type="pct"/>
            <w:vAlign w:val="center"/>
          </w:tcPr>
          <w:p>
            <w:pPr>
              <w:autoSpaceDE w:val="0"/>
              <w:autoSpaceDN w:val="0"/>
              <w:adjustRightInd w:val="0"/>
              <w:jc w:val="center"/>
              <w:rPr>
                <w:sz w:val="16"/>
                <w:szCs w:val="16"/>
              </w:rPr>
            </w:pPr>
            <w:r>
              <w:rPr>
                <w:sz w:val="16"/>
                <w:szCs w:val="16"/>
              </w:rPr>
              <w:t>380</w:t>
            </w:r>
          </w:p>
        </w:tc>
        <w:tc>
          <w:tcPr>
            <w:tcW w:w="296" w:type="pct"/>
            <w:vAlign w:val="center"/>
          </w:tcPr>
          <w:p>
            <w:pPr>
              <w:autoSpaceDE w:val="0"/>
              <w:autoSpaceDN w:val="0"/>
              <w:adjustRightInd w:val="0"/>
              <w:jc w:val="center"/>
              <w:rPr>
                <w:b/>
                <w:sz w:val="16"/>
                <w:szCs w:val="16"/>
              </w:rPr>
            </w:pPr>
            <w:r>
              <w:rPr>
                <w:b/>
                <w:sz w:val="16"/>
                <w:szCs w:val="16"/>
              </w:rPr>
              <w:t>474</w:t>
            </w:r>
          </w:p>
        </w:tc>
        <w:tc>
          <w:tcPr>
            <w:tcW w:w="391" w:type="pct"/>
            <w:vAlign w:val="center"/>
          </w:tcPr>
          <w:p>
            <w:pPr>
              <w:autoSpaceDE w:val="0"/>
              <w:autoSpaceDN w:val="0"/>
              <w:adjustRightInd w:val="0"/>
              <w:jc w:val="center"/>
              <w:rPr>
                <w:sz w:val="16"/>
                <w:szCs w:val="16"/>
              </w:rPr>
            </w:pPr>
            <w:r>
              <w:rPr>
                <w:sz w:val="16"/>
                <w:szCs w:val="16"/>
              </w:rPr>
              <w:t>442</w:t>
            </w:r>
          </w:p>
        </w:tc>
        <w:tc>
          <w:tcPr>
            <w:tcW w:w="296" w:type="pct"/>
            <w:vAlign w:val="center"/>
          </w:tcPr>
          <w:p>
            <w:pPr>
              <w:autoSpaceDE w:val="0"/>
              <w:autoSpaceDN w:val="0"/>
              <w:adjustRightInd w:val="0"/>
              <w:jc w:val="center"/>
              <w:rPr>
                <w:b/>
                <w:sz w:val="16"/>
                <w:szCs w:val="16"/>
              </w:rPr>
            </w:pPr>
            <w:r>
              <w:rPr>
                <w:b/>
                <w:sz w:val="16"/>
                <w:szCs w:val="16"/>
              </w:rPr>
              <w:t>548</w:t>
            </w:r>
          </w:p>
        </w:tc>
        <w:tc>
          <w:tcPr>
            <w:tcW w:w="391" w:type="pct"/>
            <w:vAlign w:val="bottom"/>
          </w:tcPr>
          <w:p>
            <w:pPr>
              <w:jc w:val="center"/>
              <w:rPr>
                <w:rFonts w:eastAsia="Arial Unicode MS"/>
                <w:sz w:val="16"/>
                <w:szCs w:val="16"/>
              </w:rPr>
            </w:pPr>
            <w:r>
              <w:rPr>
                <w:sz w:val="16"/>
                <w:szCs w:val="16"/>
              </w:rPr>
              <w:t>504</w:t>
            </w:r>
          </w:p>
        </w:tc>
        <w:tc>
          <w:tcPr>
            <w:tcW w:w="429" w:type="pct"/>
          </w:tcPr>
          <w:p>
            <w:pPr>
              <w:autoSpaceDE w:val="0"/>
              <w:autoSpaceDN w:val="0"/>
              <w:adjustRightInd w:val="0"/>
              <w:jc w:val="center"/>
              <w:rPr>
                <w:b/>
                <w:sz w:val="16"/>
                <w:szCs w:val="16"/>
              </w:rPr>
            </w:pPr>
            <w:r>
              <w:rPr>
                <w:b/>
                <w:sz w:val="16"/>
                <w:szCs w:val="16"/>
              </w:rPr>
              <w:t>623</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133</w:t>
            </w:r>
          </w:p>
        </w:tc>
        <w:tc>
          <w:tcPr>
            <w:tcW w:w="272" w:type="pct"/>
            <w:vAlign w:val="center"/>
          </w:tcPr>
          <w:p>
            <w:pPr>
              <w:autoSpaceDE w:val="0"/>
              <w:autoSpaceDN w:val="0"/>
              <w:adjustRightInd w:val="0"/>
              <w:jc w:val="center"/>
              <w:rPr>
                <w:b/>
                <w:sz w:val="16"/>
                <w:szCs w:val="16"/>
              </w:rPr>
            </w:pPr>
            <w:r>
              <w:rPr>
                <w:b/>
                <w:sz w:val="16"/>
                <w:szCs w:val="16"/>
              </w:rPr>
              <w:t>178</w:t>
            </w:r>
          </w:p>
        </w:tc>
        <w:tc>
          <w:tcPr>
            <w:tcW w:w="391" w:type="pct"/>
            <w:vAlign w:val="center"/>
          </w:tcPr>
          <w:p>
            <w:pPr>
              <w:autoSpaceDE w:val="0"/>
              <w:autoSpaceDN w:val="0"/>
              <w:adjustRightInd w:val="0"/>
              <w:jc w:val="center"/>
              <w:rPr>
                <w:sz w:val="16"/>
                <w:szCs w:val="16"/>
              </w:rPr>
            </w:pPr>
            <w:r>
              <w:rPr>
                <w:sz w:val="16"/>
                <w:szCs w:val="16"/>
              </w:rPr>
              <w:t>195</w:t>
            </w:r>
          </w:p>
        </w:tc>
        <w:tc>
          <w:tcPr>
            <w:tcW w:w="296" w:type="pct"/>
            <w:vAlign w:val="center"/>
          </w:tcPr>
          <w:p>
            <w:pPr>
              <w:autoSpaceDE w:val="0"/>
              <w:autoSpaceDN w:val="0"/>
              <w:adjustRightInd w:val="0"/>
              <w:jc w:val="center"/>
              <w:rPr>
                <w:b/>
                <w:sz w:val="16"/>
                <w:szCs w:val="16"/>
              </w:rPr>
            </w:pPr>
            <w:r>
              <w:rPr>
                <w:b/>
                <w:sz w:val="16"/>
                <w:szCs w:val="16"/>
              </w:rPr>
              <w:t>252</w:t>
            </w:r>
          </w:p>
        </w:tc>
        <w:tc>
          <w:tcPr>
            <w:tcW w:w="391" w:type="pct"/>
            <w:vAlign w:val="center"/>
          </w:tcPr>
          <w:p>
            <w:pPr>
              <w:autoSpaceDE w:val="0"/>
              <w:autoSpaceDN w:val="0"/>
              <w:adjustRightInd w:val="0"/>
              <w:jc w:val="center"/>
              <w:rPr>
                <w:sz w:val="16"/>
                <w:szCs w:val="16"/>
              </w:rPr>
            </w:pPr>
            <w:r>
              <w:rPr>
                <w:sz w:val="16"/>
                <w:szCs w:val="16"/>
              </w:rPr>
              <w:t>257</w:t>
            </w:r>
          </w:p>
        </w:tc>
        <w:tc>
          <w:tcPr>
            <w:tcW w:w="296" w:type="pct"/>
            <w:vAlign w:val="center"/>
          </w:tcPr>
          <w:p>
            <w:pPr>
              <w:autoSpaceDE w:val="0"/>
              <w:autoSpaceDN w:val="0"/>
              <w:adjustRightInd w:val="0"/>
              <w:jc w:val="center"/>
              <w:rPr>
                <w:b/>
                <w:sz w:val="16"/>
                <w:szCs w:val="16"/>
              </w:rPr>
            </w:pPr>
            <w:r>
              <w:rPr>
                <w:b/>
                <w:sz w:val="16"/>
                <w:szCs w:val="16"/>
              </w:rPr>
              <w:t>326</w:t>
            </w:r>
          </w:p>
        </w:tc>
        <w:tc>
          <w:tcPr>
            <w:tcW w:w="391" w:type="pct"/>
            <w:vAlign w:val="center"/>
          </w:tcPr>
          <w:p>
            <w:pPr>
              <w:autoSpaceDE w:val="0"/>
              <w:autoSpaceDN w:val="0"/>
              <w:adjustRightInd w:val="0"/>
              <w:jc w:val="center"/>
              <w:rPr>
                <w:sz w:val="16"/>
                <w:szCs w:val="16"/>
              </w:rPr>
            </w:pPr>
            <w:r>
              <w:rPr>
                <w:sz w:val="16"/>
                <w:szCs w:val="16"/>
              </w:rPr>
              <w:t>319</w:t>
            </w:r>
          </w:p>
        </w:tc>
        <w:tc>
          <w:tcPr>
            <w:tcW w:w="296" w:type="pct"/>
            <w:vAlign w:val="center"/>
          </w:tcPr>
          <w:p>
            <w:pPr>
              <w:autoSpaceDE w:val="0"/>
              <w:autoSpaceDN w:val="0"/>
              <w:adjustRightInd w:val="0"/>
              <w:jc w:val="center"/>
              <w:rPr>
                <w:b/>
                <w:sz w:val="16"/>
                <w:szCs w:val="16"/>
              </w:rPr>
            </w:pPr>
            <w:r>
              <w:rPr>
                <w:b/>
                <w:sz w:val="16"/>
                <w:szCs w:val="16"/>
              </w:rPr>
              <w:t>401</w:t>
            </w:r>
          </w:p>
        </w:tc>
        <w:tc>
          <w:tcPr>
            <w:tcW w:w="391" w:type="pct"/>
            <w:vAlign w:val="center"/>
          </w:tcPr>
          <w:p>
            <w:pPr>
              <w:autoSpaceDE w:val="0"/>
              <w:autoSpaceDN w:val="0"/>
              <w:adjustRightInd w:val="0"/>
              <w:jc w:val="center"/>
              <w:rPr>
                <w:sz w:val="16"/>
                <w:szCs w:val="16"/>
              </w:rPr>
            </w:pPr>
            <w:r>
              <w:rPr>
                <w:sz w:val="16"/>
                <w:szCs w:val="16"/>
              </w:rPr>
              <w:t>381</w:t>
            </w:r>
          </w:p>
        </w:tc>
        <w:tc>
          <w:tcPr>
            <w:tcW w:w="296" w:type="pct"/>
            <w:vAlign w:val="center"/>
          </w:tcPr>
          <w:p>
            <w:pPr>
              <w:autoSpaceDE w:val="0"/>
              <w:autoSpaceDN w:val="0"/>
              <w:adjustRightInd w:val="0"/>
              <w:jc w:val="center"/>
              <w:rPr>
                <w:b/>
                <w:sz w:val="16"/>
                <w:szCs w:val="16"/>
              </w:rPr>
            </w:pPr>
            <w:r>
              <w:rPr>
                <w:b/>
                <w:sz w:val="16"/>
                <w:szCs w:val="16"/>
              </w:rPr>
              <w:t>475</w:t>
            </w:r>
          </w:p>
        </w:tc>
        <w:tc>
          <w:tcPr>
            <w:tcW w:w="391" w:type="pct"/>
            <w:vAlign w:val="center"/>
          </w:tcPr>
          <w:p>
            <w:pPr>
              <w:autoSpaceDE w:val="0"/>
              <w:autoSpaceDN w:val="0"/>
              <w:adjustRightInd w:val="0"/>
              <w:jc w:val="center"/>
              <w:rPr>
                <w:sz w:val="16"/>
                <w:szCs w:val="16"/>
              </w:rPr>
            </w:pPr>
            <w:r>
              <w:rPr>
                <w:sz w:val="16"/>
                <w:szCs w:val="16"/>
              </w:rPr>
              <w:t>443</w:t>
            </w:r>
          </w:p>
        </w:tc>
        <w:tc>
          <w:tcPr>
            <w:tcW w:w="296" w:type="pct"/>
            <w:vAlign w:val="center"/>
          </w:tcPr>
          <w:p>
            <w:pPr>
              <w:autoSpaceDE w:val="0"/>
              <w:autoSpaceDN w:val="0"/>
              <w:adjustRightInd w:val="0"/>
              <w:jc w:val="center"/>
              <w:rPr>
                <w:b/>
                <w:sz w:val="16"/>
                <w:szCs w:val="16"/>
              </w:rPr>
            </w:pPr>
            <w:r>
              <w:rPr>
                <w:b/>
                <w:sz w:val="16"/>
                <w:szCs w:val="16"/>
              </w:rPr>
              <w:t>550</w:t>
            </w:r>
          </w:p>
        </w:tc>
        <w:tc>
          <w:tcPr>
            <w:tcW w:w="391" w:type="pct"/>
            <w:vAlign w:val="bottom"/>
          </w:tcPr>
          <w:p>
            <w:pPr>
              <w:jc w:val="center"/>
              <w:rPr>
                <w:rFonts w:eastAsia="Arial Unicode MS"/>
                <w:sz w:val="16"/>
                <w:szCs w:val="16"/>
              </w:rPr>
            </w:pPr>
            <w:r>
              <w:rPr>
                <w:sz w:val="16"/>
                <w:szCs w:val="16"/>
              </w:rPr>
              <w:t>505</w:t>
            </w:r>
          </w:p>
        </w:tc>
        <w:tc>
          <w:tcPr>
            <w:tcW w:w="429" w:type="pct"/>
          </w:tcPr>
          <w:p>
            <w:pPr>
              <w:autoSpaceDE w:val="0"/>
              <w:autoSpaceDN w:val="0"/>
              <w:adjustRightInd w:val="0"/>
              <w:jc w:val="center"/>
              <w:rPr>
                <w:b/>
                <w:sz w:val="16"/>
                <w:szCs w:val="16"/>
              </w:rPr>
            </w:pPr>
            <w:r>
              <w:rPr>
                <w:b/>
                <w:sz w:val="16"/>
                <w:szCs w:val="16"/>
              </w:rPr>
              <w:t>624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134</w:t>
            </w:r>
          </w:p>
        </w:tc>
        <w:tc>
          <w:tcPr>
            <w:tcW w:w="272" w:type="pct"/>
            <w:vAlign w:val="center"/>
          </w:tcPr>
          <w:p>
            <w:pPr>
              <w:autoSpaceDE w:val="0"/>
              <w:autoSpaceDN w:val="0"/>
              <w:adjustRightInd w:val="0"/>
              <w:jc w:val="center"/>
              <w:rPr>
                <w:b/>
                <w:sz w:val="16"/>
                <w:szCs w:val="16"/>
              </w:rPr>
            </w:pPr>
            <w:r>
              <w:rPr>
                <w:b/>
                <w:sz w:val="16"/>
                <w:szCs w:val="16"/>
              </w:rPr>
              <w:t>179</w:t>
            </w:r>
          </w:p>
        </w:tc>
        <w:tc>
          <w:tcPr>
            <w:tcW w:w="391" w:type="pct"/>
            <w:vAlign w:val="center"/>
          </w:tcPr>
          <w:p>
            <w:pPr>
              <w:autoSpaceDE w:val="0"/>
              <w:autoSpaceDN w:val="0"/>
              <w:adjustRightInd w:val="0"/>
              <w:jc w:val="center"/>
              <w:rPr>
                <w:sz w:val="16"/>
                <w:szCs w:val="16"/>
              </w:rPr>
            </w:pPr>
            <w:r>
              <w:rPr>
                <w:sz w:val="16"/>
                <w:szCs w:val="16"/>
              </w:rPr>
              <w:t>196</w:t>
            </w:r>
          </w:p>
        </w:tc>
        <w:tc>
          <w:tcPr>
            <w:tcW w:w="296" w:type="pct"/>
            <w:vAlign w:val="center"/>
          </w:tcPr>
          <w:p>
            <w:pPr>
              <w:autoSpaceDE w:val="0"/>
              <w:autoSpaceDN w:val="0"/>
              <w:adjustRightInd w:val="0"/>
              <w:jc w:val="center"/>
              <w:rPr>
                <w:b/>
                <w:sz w:val="16"/>
                <w:szCs w:val="16"/>
              </w:rPr>
            </w:pPr>
            <w:r>
              <w:rPr>
                <w:b/>
                <w:sz w:val="16"/>
                <w:szCs w:val="16"/>
              </w:rPr>
              <w:t>253</w:t>
            </w:r>
          </w:p>
        </w:tc>
        <w:tc>
          <w:tcPr>
            <w:tcW w:w="391" w:type="pct"/>
            <w:vAlign w:val="center"/>
          </w:tcPr>
          <w:p>
            <w:pPr>
              <w:autoSpaceDE w:val="0"/>
              <w:autoSpaceDN w:val="0"/>
              <w:adjustRightInd w:val="0"/>
              <w:jc w:val="center"/>
              <w:rPr>
                <w:sz w:val="16"/>
                <w:szCs w:val="16"/>
              </w:rPr>
            </w:pPr>
            <w:r>
              <w:rPr>
                <w:sz w:val="16"/>
                <w:szCs w:val="16"/>
              </w:rPr>
              <w:t>258</w:t>
            </w:r>
          </w:p>
        </w:tc>
        <w:tc>
          <w:tcPr>
            <w:tcW w:w="296" w:type="pct"/>
            <w:vAlign w:val="center"/>
          </w:tcPr>
          <w:p>
            <w:pPr>
              <w:autoSpaceDE w:val="0"/>
              <w:autoSpaceDN w:val="0"/>
              <w:adjustRightInd w:val="0"/>
              <w:jc w:val="center"/>
              <w:rPr>
                <w:b/>
                <w:sz w:val="16"/>
                <w:szCs w:val="16"/>
              </w:rPr>
            </w:pPr>
            <w:r>
              <w:rPr>
                <w:b/>
                <w:sz w:val="16"/>
                <w:szCs w:val="16"/>
              </w:rPr>
              <w:t>328</w:t>
            </w:r>
          </w:p>
        </w:tc>
        <w:tc>
          <w:tcPr>
            <w:tcW w:w="391" w:type="pct"/>
            <w:vAlign w:val="center"/>
          </w:tcPr>
          <w:p>
            <w:pPr>
              <w:autoSpaceDE w:val="0"/>
              <w:autoSpaceDN w:val="0"/>
              <w:adjustRightInd w:val="0"/>
              <w:jc w:val="center"/>
              <w:rPr>
                <w:sz w:val="16"/>
                <w:szCs w:val="16"/>
              </w:rPr>
            </w:pPr>
            <w:r>
              <w:rPr>
                <w:sz w:val="16"/>
                <w:szCs w:val="16"/>
              </w:rPr>
              <w:t>320</w:t>
            </w:r>
          </w:p>
        </w:tc>
        <w:tc>
          <w:tcPr>
            <w:tcW w:w="296" w:type="pct"/>
            <w:vAlign w:val="center"/>
          </w:tcPr>
          <w:p>
            <w:pPr>
              <w:autoSpaceDE w:val="0"/>
              <w:autoSpaceDN w:val="0"/>
              <w:adjustRightInd w:val="0"/>
              <w:jc w:val="center"/>
              <w:rPr>
                <w:b/>
                <w:sz w:val="16"/>
                <w:szCs w:val="16"/>
              </w:rPr>
            </w:pPr>
            <w:r>
              <w:rPr>
                <w:b/>
                <w:sz w:val="16"/>
                <w:szCs w:val="16"/>
              </w:rPr>
              <w:t>402</w:t>
            </w:r>
          </w:p>
        </w:tc>
        <w:tc>
          <w:tcPr>
            <w:tcW w:w="391" w:type="pct"/>
            <w:vAlign w:val="center"/>
          </w:tcPr>
          <w:p>
            <w:pPr>
              <w:autoSpaceDE w:val="0"/>
              <w:autoSpaceDN w:val="0"/>
              <w:adjustRightInd w:val="0"/>
              <w:jc w:val="center"/>
              <w:rPr>
                <w:sz w:val="16"/>
                <w:szCs w:val="16"/>
              </w:rPr>
            </w:pPr>
            <w:r>
              <w:rPr>
                <w:sz w:val="16"/>
                <w:szCs w:val="16"/>
              </w:rPr>
              <w:t>382</w:t>
            </w:r>
          </w:p>
        </w:tc>
        <w:tc>
          <w:tcPr>
            <w:tcW w:w="296" w:type="pct"/>
            <w:vAlign w:val="center"/>
          </w:tcPr>
          <w:p>
            <w:pPr>
              <w:autoSpaceDE w:val="0"/>
              <w:autoSpaceDN w:val="0"/>
              <w:adjustRightInd w:val="0"/>
              <w:jc w:val="center"/>
              <w:rPr>
                <w:b/>
                <w:sz w:val="16"/>
                <w:szCs w:val="16"/>
              </w:rPr>
            </w:pPr>
            <w:r>
              <w:rPr>
                <w:b/>
                <w:sz w:val="16"/>
                <w:szCs w:val="16"/>
              </w:rPr>
              <w:t>476</w:t>
            </w:r>
          </w:p>
        </w:tc>
        <w:tc>
          <w:tcPr>
            <w:tcW w:w="391" w:type="pct"/>
            <w:vAlign w:val="center"/>
          </w:tcPr>
          <w:p>
            <w:pPr>
              <w:autoSpaceDE w:val="0"/>
              <w:autoSpaceDN w:val="0"/>
              <w:adjustRightInd w:val="0"/>
              <w:jc w:val="center"/>
              <w:rPr>
                <w:sz w:val="16"/>
                <w:szCs w:val="16"/>
              </w:rPr>
            </w:pPr>
            <w:r>
              <w:rPr>
                <w:sz w:val="16"/>
                <w:szCs w:val="16"/>
              </w:rPr>
              <w:t>444</w:t>
            </w:r>
          </w:p>
        </w:tc>
        <w:tc>
          <w:tcPr>
            <w:tcW w:w="296" w:type="pct"/>
            <w:vAlign w:val="center"/>
          </w:tcPr>
          <w:p>
            <w:pPr>
              <w:autoSpaceDE w:val="0"/>
              <w:autoSpaceDN w:val="0"/>
              <w:adjustRightInd w:val="0"/>
              <w:jc w:val="center"/>
              <w:rPr>
                <w:b/>
                <w:sz w:val="16"/>
                <w:szCs w:val="16"/>
              </w:rPr>
            </w:pPr>
            <w:r>
              <w:rPr>
                <w:b/>
                <w:sz w:val="16"/>
                <w:szCs w:val="16"/>
              </w:rPr>
              <w:t>551</w:t>
            </w:r>
          </w:p>
        </w:tc>
        <w:tc>
          <w:tcPr>
            <w:tcW w:w="391" w:type="pct"/>
            <w:vAlign w:val="bottom"/>
          </w:tcPr>
          <w:p>
            <w:pPr>
              <w:jc w:val="center"/>
              <w:rPr>
                <w:rFonts w:eastAsia="Arial Unicode MS"/>
                <w:sz w:val="16"/>
                <w:szCs w:val="16"/>
              </w:rPr>
            </w:pPr>
            <w:r>
              <w:rPr>
                <w:sz w:val="16"/>
                <w:szCs w:val="16"/>
              </w:rPr>
              <w:t>506</w:t>
            </w:r>
          </w:p>
        </w:tc>
        <w:tc>
          <w:tcPr>
            <w:tcW w:w="429" w:type="pct"/>
          </w:tcPr>
          <w:p>
            <w:pPr>
              <w:autoSpaceDE w:val="0"/>
              <w:autoSpaceDN w:val="0"/>
              <w:adjustRightInd w:val="0"/>
              <w:jc w:val="center"/>
              <w:rPr>
                <w:b/>
                <w:sz w:val="16"/>
                <w:szCs w:val="16"/>
              </w:rPr>
            </w:pPr>
            <w:r>
              <w:rPr>
                <w:b/>
                <w:sz w:val="16"/>
                <w:szCs w:val="16"/>
              </w:rPr>
              <w:t>625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135</w:t>
            </w:r>
          </w:p>
        </w:tc>
        <w:tc>
          <w:tcPr>
            <w:tcW w:w="272" w:type="pct"/>
            <w:vAlign w:val="center"/>
          </w:tcPr>
          <w:p>
            <w:pPr>
              <w:autoSpaceDE w:val="0"/>
              <w:autoSpaceDN w:val="0"/>
              <w:adjustRightInd w:val="0"/>
              <w:jc w:val="center"/>
              <w:rPr>
                <w:b/>
                <w:sz w:val="16"/>
                <w:szCs w:val="16"/>
              </w:rPr>
            </w:pPr>
            <w:r>
              <w:rPr>
                <w:b/>
                <w:sz w:val="16"/>
                <w:szCs w:val="16"/>
              </w:rPr>
              <w:t>180</w:t>
            </w:r>
          </w:p>
        </w:tc>
        <w:tc>
          <w:tcPr>
            <w:tcW w:w="391" w:type="pct"/>
            <w:vAlign w:val="center"/>
          </w:tcPr>
          <w:p>
            <w:pPr>
              <w:autoSpaceDE w:val="0"/>
              <w:autoSpaceDN w:val="0"/>
              <w:adjustRightInd w:val="0"/>
              <w:jc w:val="center"/>
              <w:rPr>
                <w:sz w:val="16"/>
                <w:szCs w:val="16"/>
              </w:rPr>
            </w:pPr>
            <w:r>
              <w:rPr>
                <w:sz w:val="16"/>
                <w:szCs w:val="16"/>
              </w:rPr>
              <w:t>197</w:t>
            </w:r>
          </w:p>
        </w:tc>
        <w:tc>
          <w:tcPr>
            <w:tcW w:w="296" w:type="pct"/>
            <w:vAlign w:val="center"/>
          </w:tcPr>
          <w:p>
            <w:pPr>
              <w:autoSpaceDE w:val="0"/>
              <w:autoSpaceDN w:val="0"/>
              <w:adjustRightInd w:val="0"/>
              <w:jc w:val="center"/>
              <w:rPr>
                <w:b/>
                <w:sz w:val="16"/>
                <w:szCs w:val="16"/>
              </w:rPr>
            </w:pPr>
            <w:r>
              <w:rPr>
                <w:b/>
                <w:sz w:val="16"/>
                <w:szCs w:val="16"/>
              </w:rPr>
              <w:t>254</w:t>
            </w:r>
          </w:p>
        </w:tc>
        <w:tc>
          <w:tcPr>
            <w:tcW w:w="391" w:type="pct"/>
            <w:vAlign w:val="center"/>
          </w:tcPr>
          <w:p>
            <w:pPr>
              <w:autoSpaceDE w:val="0"/>
              <w:autoSpaceDN w:val="0"/>
              <w:adjustRightInd w:val="0"/>
              <w:jc w:val="center"/>
              <w:rPr>
                <w:sz w:val="16"/>
                <w:szCs w:val="16"/>
              </w:rPr>
            </w:pPr>
            <w:r>
              <w:rPr>
                <w:sz w:val="16"/>
                <w:szCs w:val="16"/>
              </w:rPr>
              <w:t>259</w:t>
            </w:r>
          </w:p>
        </w:tc>
        <w:tc>
          <w:tcPr>
            <w:tcW w:w="296" w:type="pct"/>
            <w:vAlign w:val="center"/>
          </w:tcPr>
          <w:p>
            <w:pPr>
              <w:autoSpaceDE w:val="0"/>
              <w:autoSpaceDN w:val="0"/>
              <w:adjustRightInd w:val="0"/>
              <w:jc w:val="center"/>
              <w:rPr>
                <w:b/>
                <w:sz w:val="16"/>
                <w:szCs w:val="16"/>
              </w:rPr>
            </w:pPr>
            <w:r>
              <w:rPr>
                <w:b/>
                <w:sz w:val="16"/>
                <w:szCs w:val="16"/>
              </w:rPr>
              <w:t>329</w:t>
            </w:r>
          </w:p>
        </w:tc>
        <w:tc>
          <w:tcPr>
            <w:tcW w:w="391" w:type="pct"/>
            <w:vAlign w:val="center"/>
          </w:tcPr>
          <w:p>
            <w:pPr>
              <w:autoSpaceDE w:val="0"/>
              <w:autoSpaceDN w:val="0"/>
              <w:adjustRightInd w:val="0"/>
              <w:jc w:val="center"/>
              <w:rPr>
                <w:sz w:val="16"/>
                <w:szCs w:val="16"/>
              </w:rPr>
            </w:pPr>
            <w:r>
              <w:rPr>
                <w:sz w:val="16"/>
                <w:szCs w:val="16"/>
              </w:rPr>
              <w:t>321</w:t>
            </w:r>
          </w:p>
        </w:tc>
        <w:tc>
          <w:tcPr>
            <w:tcW w:w="296" w:type="pct"/>
            <w:vAlign w:val="center"/>
          </w:tcPr>
          <w:p>
            <w:pPr>
              <w:autoSpaceDE w:val="0"/>
              <w:autoSpaceDN w:val="0"/>
              <w:adjustRightInd w:val="0"/>
              <w:jc w:val="center"/>
              <w:rPr>
                <w:b/>
                <w:sz w:val="16"/>
                <w:szCs w:val="16"/>
              </w:rPr>
            </w:pPr>
            <w:r>
              <w:rPr>
                <w:b/>
                <w:sz w:val="16"/>
                <w:szCs w:val="16"/>
              </w:rPr>
              <w:t>403</w:t>
            </w:r>
          </w:p>
        </w:tc>
        <w:tc>
          <w:tcPr>
            <w:tcW w:w="391" w:type="pct"/>
            <w:vAlign w:val="center"/>
          </w:tcPr>
          <w:p>
            <w:pPr>
              <w:autoSpaceDE w:val="0"/>
              <w:autoSpaceDN w:val="0"/>
              <w:adjustRightInd w:val="0"/>
              <w:jc w:val="center"/>
              <w:rPr>
                <w:sz w:val="16"/>
                <w:szCs w:val="16"/>
              </w:rPr>
            </w:pPr>
            <w:r>
              <w:rPr>
                <w:sz w:val="16"/>
                <w:szCs w:val="16"/>
              </w:rPr>
              <w:t>383</w:t>
            </w:r>
          </w:p>
        </w:tc>
        <w:tc>
          <w:tcPr>
            <w:tcW w:w="296" w:type="pct"/>
            <w:vAlign w:val="center"/>
          </w:tcPr>
          <w:p>
            <w:pPr>
              <w:autoSpaceDE w:val="0"/>
              <w:autoSpaceDN w:val="0"/>
              <w:adjustRightInd w:val="0"/>
              <w:jc w:val="center"/>
              <w:rPr>
                <w:b/>
                <w:sz w:val="16"/>
                <w:szCs w:val="16"/>
              </w:rPr>
            </w:pPr>
            <w:r>
              <w:rPr>
                <w:b/>
                <w:sz w:val="16"/>
                <w:szCs w:val="16"/>
              </w:rPr>
              <w:t>478</w:t>
            </w:r>
          </w:p>
        </w:tc>
        <w:tc>
          <w:tcPr>
            <w:tcW w:w="391" w:type="pct"/>
            <w:vAlign w:val="center"/>
          </w:tcPr>
          <w:p>
            <w:pPr>
              <w:autoSpaceDE w:val="0"/>
              <w:autoSpaceDN w:val="0"/>
              <w:adjustRightInd w:val="0"/>
              <w:jc w:val="center"/>
              <w:rPr>
                <w:sz w:val="16"/>
                <w:szCs w:val="16"/>
              </w:rPr>
            </w:pPr>
            <w:r>
              <w:rPr>
                <w:sz w:val="16"/>
                <w:szCs w:val="16"/>
              </w:rPr>
              <w:t>445</w:t>
            </w:r>
          </w:p>
        </w:tc>
        <w:tc>
          <w:tcPr>
            <w:tcW w:w="296" w:type="pct"/>
            <w:vAlign w:val="center"/>
          </w:tcPr>
          <w:p>
            <w:pPr>
              <w:autoSpaceDE w:val="0"/>
              <w:autoSpaceDN w:val="0"/>
              <w:adjustRightInd w:val="0"/>
              <w:jc w:val="center"/>
              <w:rPr>
                <w:b/>
                <w:sz w:val="16"/>
                <w:szCs w:val="16"/>
              </w:rPr>
            </w:pPr>
            <w:r>
              <w:rPr>
                <w:b/>
                <w:sz w:val="16"/>
                <w:szCs w:val="16"/>
              </w:rPr>
              <w:t>552</w:t>
            </w:r>
          </w:p>
        </w:tc>
        <w:tc>
          <w:tcPr>
            <w:tcW w:w="391" w:type="pct"/>
            <w:vAlign w:val="bottom"/>
          </w:tcPr>
          <w:p>
            <w:pPr>
              <w:jc w:val="center"/>
              <w:rPr>
                <w:rFonts w:eastAsia="Arial Unicode MS"/>
                <w:sz w:val="16"/>
                <w:szCs w:val="16"/>
              </w:rPr>
            </w:pPr>
            <w:r>
              <w:rPr>
                <w:sz w:val="16"/>
                <w:szCs w:val="16"/>
              </w:rPr>
              <w:t>507</w:t>
            </w:r>
          </w:p>
        </w:tc>
        <w:tc>
          <w:tcPr>
            <w:tcW w:w="429" w:type="pct"/>
          </w:tcPr>
          <w:p>
            <w:pPr>
              <w:autoSpaceDE w:val="0"/>
              <w:autoSpaceDN w:val="0"/>
              <w:adjustRightInd w:val="0"/>
              <w:jc w:val="center"/>
              <w:rPr>
                <w:b/>
                <w:sz w:val="16"/>
                <w:szCs w:val="16"/>
              </w:rPr>
            </w:pPr>
            <w:r>
              <w:rPr>
                <w:b/>
                <w:sz w:val="16"/>
                <w:szCs w:val="16"/>
              </w:rPr>
              <w:t>626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136</w:t>
            </w:r>
          </w:p>
        </w:tc>
        <w:tc>
          <w:tcPr>
            <w:tcW w:w="272" w:type="pct"/>
            <w:vAlign w:val="center"/>
          </w:tcPr>
          <w:p>
            <w:pPr>
              <w:autoSpaceDE w:val="0"/>
              <w:autoSpaceDN w:val="0"/>
              <w:adjustRightInd w:val="0"/>
              <w:jc w:val="center"/>
              <w:rPr>
                <w:b/>
                <w:sz w:val="16"/>
                <w:szCs w:val="16"/>
              </w:rPr>
            </w:pPr>
            <w:r>
              <w:rPr>
                <w:b/>
                <w:sz w:val="16"/>
                <w:szCs w:val="16"/>
              </w:rPr>
              <w:t>181</w:t>
            </w:r>
          </w:p>
        </w:tc>
        <w:tc>
          <w:tcPr>
            <w:tcW w:w="391" w:type="pct"/>
            <w:vAlign w:val="center"/>
          </w:tcPr>
          <w:p>
            <w:pPr>
              <w:autoSpaceDE w:val="0"/>
              <w:autoSpaceDN w:val="0"/>
              <w:adjustRightInd w:val="0"/>
              <w:jc w:val="center"/>
              <w:rPr>
                <w:sz w:val="16"/>
                <w:szCs w:val="16"/>
              </w:rPr>
            </w:pPr>
            <w:r>
              <w:rPr>
                <w:sz w:val="16"/>
                <w:szCs w:val="16"/>
              </w:rPr>
              <w:t>198</w:t>
            </w:r>
          </w:p>
        </w:tc>
        <w:tc>
          <w:tcPr>
            <w:tcW w:w="296" w:type="pct"/>
            <w:vAlign w:val="center"/>
          </w:tcPr>
          <w:p>
            <w:pPr>
              <w:autoSpaceDE w:val="0"/>
              <w:autoSpaceDN w:val="0"/>
              <w:adjustRightInd w:val="0"/>
              <w:jc w:val="center"/>
              <w:rPr>
                <w:b/>
                <w:sz w:val="16"/>
                <w:szCs w:val="16"/>
              </w:rPr>
            </w:pPr>
            <w:r>
              <w:rPr>
                <w:b/>
                <w:sz w:val="16"/>
                <w:szCs w:val="16"/>
              </w:rPr>
              <w:t>256</w:t>
            </w:r>
          </w:p>
        </w:tc>
        <w:tc>
          <w:tcPr>
            <w:tcW w:w="391" w:type="pct"/>
            <w:vAlign w:val="center"/>
          </w:tcPr>
          <w:p>
            <w:pPr>
              <w:autoSpaceDE w:val="0"/>
              <w:autoSpaceDN w:val="0"/>
              <w:adjustRightInd w:val="0"/>
              <w:jc w:val="center"/>
              <w:rPr>
                <w:sz w:val="16"/>
                <w:szCs w:val="16"/>
              </w:rPr>
            </w:pPr>
            <w:r>
              <w:rPr>
                <w:sz w:val="16"/>
                <w:szCs w:val="16"/>
              </w:rPr>
              <w:t>260</w:t>
            </w:r>
          </w:p>
        </w:tc>
        <w:tc>
          <w:tcPr>
            <w:tcW w:w="296" w:type="pct"/>
            <w:vAlign w:val="center"/>
          </w:tcPr>
          <w:p>
            <w:pPr>
              <w:autoSpaceDE w:val="0"/>
              <w:autoSpaceDN w:val="0"/>
              <w:adjustRightInd w:val="0"/>
              <w:jc w:val="center"/>
              <w:rPr>
                <w:b/>
                <w:sz w:val="16"/>
                <w:szCs w:val="16"/>
              </w:rPr>
            </w:pPr>
            <w:r>
              <w:rPr>
                <w:b/>
                <w:sz w:val="16"/>
                <w:szCs w:val="16"/>
              </w:rPr>
              <w:t>330</w:t>
            </w:r>
          </w:p>
        </w:tc>
        <w:tc>
          <w:tcPr>
            <w:tcW w:w="391" w:type="pct"/>
            <w:vAlign w:val="center"/>
          </w:tcPr>
          <w:p>
            <w:pPr>
              <w:autoSpaceDE w:val="0"/>
              <w:autoSpaceDN w:val="0"/>
              <w:adjustRightInd w:val="0"/>
              <w:jc w:val="center"/>
              <w:rPr>
                <w:sz w:val="16"/>
                <w:szCs w:val="16"/>
              </w:rPr>
            </w:pPr>
            <w:r>
              <w:rPr>
                <w:sz w:val="16"/>
                <w:szCs w:val="16"/>
              </w:rPr>
              <w:t>322</w:t>
            </w:r>
          </w:p>
        </w:tc>
        <w:tc>
          <w:tcPr>
            <w:tcW w:w="296" w:type="pct"/>
            <w:vAlign w:val="center"/>
          </w:tcPr>
          <w:p>
            <w:pPr>
              <w:autoSpaceDE w:val="0"/>
              <w:autoSpaceDN w:val="0"/>
              <w:adjustRightInd w:val="0"/>
              <w:jc w:val="center"/>
              <w:rPr>
                <w:b/>
                <w:sz w:val="16"/>
                <w:szCs w:val="16"/>
              </w:rPr>
            </w:pPr>
            <w:r>
              <w:rPr>
                <w:b/>
                <w:sz w:val="16"/>
                <w:szCs w:val="16"/>
              </w:rPr>
              <w:t>404</w:t>
            </w:r>
          </w:p>
        </w:tc>
        <w:tc>
          <w:tcPr>
            <w:tcW w:w="391" w:type="pct"/>
            <w:vAlign w:val="center"/>
          </w:tcPr>
          <w:p>
            <w:pPr>
              <w:autoSpaceDE w:val="0"/>
              <w:autoSpaceDN w:val="0"/>
              <w:adjustRightInd w:val="0"/>
              <w:jc w:val="center"/>
              <w:rPr>
                <w:sz w:val="16"/>
                <w:szCs w:val="16"/>
              </w:rPr>
            </w:pPr>
            <w:r>
              <w:rPr>
                <w:sz w:val="16"/>
                <w:szCs w:val="16"/>
              </w:rPr>
              <w:t>384</w:t>
            </w:r>
          </w:p>
        </w:tc>
        <w:tc>
          <w:tcPr>
            <w:tcW w:w="296" w:type="pct"/>
            <w:vAlign w:val="center"/>
          </w:tcPr>
          <w:p>
            <w:pPr>
              <w:autoSpaceDE w:val="0"/>
              <w:autoSpaceDN w:val="0"/>
              <w:adjustRightInd w:val="0"/>
              <w:jc w:val="center"/>
              <w:rPr>
                <w:b/>
                <w:sz w:val="16"/>
                <w:szCs w:val="16"/>
              </w:rPr>
            </w:pPr>
            <w:r>
              <w:rPr>
                <w:b/>
                <w:sz w:val="16"/>
                <w:szCs w:val="16"/>
              </w:rPr>
              <w:t>479</w:t>
            </w:r>
          </w:p>
        </w:tc>
        <w:tc>
          <w:tcPr>
            <w:tcW w:w="391" w:type="pct"/>
            <w:vAlign w:val="center"/>
          </w:tcPr>
          <w:p>
            <w:pPr>
              <w:autoSpaceDE w:val="0"/>
              <w:autoSpaceDN w:val="0"/>
              <w:adjustRightInd w:val="0"/>
              <w:jc w:val="center"/>
              <w:rPr>
                <w:sz w:val="16"/>
                <w:szCs w:val="16"/>
              </w:rPr>
            </w:pPr>
            <w:r>
              <w:rPr>
                <w:sz w:val="16"/>
                <w:szCs w:val="16"/>
              </w:rPr>
              <w:t>446</w:t>
            </w:r>
          </w:p>
        </w:tc>
        <w:tc>
          <w:tcPr>
            <w:tcW w:w="296" w:type="pct"/>
            <w:vAlign w:val="center"/>
          </w:tcPr>
          <w:p>
            <w:pPr>
              <w:autoSpaceDE w:val="0"/>
              <w:autoSpaceDN w:val="0"/>
              <w:adjustRightInd w:val="0"/>
              <w:jc w:val="center"/>
              <w:rPr>
                <w:b/>
                <w:sz w:val="16"/>
                <w:szCs w:val="16"/>
              </w:rPr>
            </w:pPr>
            <w:r>
              <w:rPr>
                <w:b/>
                <w:sz w:val="16"/>
                <w:szCs w:val="16"/>
              </w:rPr>
              <w:t>553</w:t>
            </w:r>
          </w:p>
        </w:tc>
        <w:tc>
          <w:tcPr>
            <w:tcW w:w="391" w:type="pct"/>
            <w:vAlign w:val="bottom"/>
          </w:tcPr>
          <w:p>
            <w:pPr>
              <w:jc w:val="center"/>
              <w:rPr>
                <w:rFonts w:eastAsia="Arial Unicode MS"/>
                <w:sz w:val="16"/>
                <w:szCs w:val="16"/>
              </w:rPr>
            </w:pPr>
            <w:r>
              <w:rPr>
                <w:sz w:val="16"/>
                <w:szCs w:val="16"/>
              </w:rPr>
              <w:t>508</w:t>
            </w:r>
          </w:p>
        </w:tc>
        <w:tc>
          <w:tcPr>
            <w:tcW w:w="429" w:type="pct"/>
          </w:tcPr>
          <w:p>
            <w:pPr>
              <w:autoSpaceDE w:val="0"/>
              <w:autoSpaceDN w:val="0"/>
              <w:adjustRightInd w:val="0"/>
              <w:jc w:val="center"/>
              <w:rPr>
                <w:b/>
                <w:sz w:val="16"/>
                <w:szCs w:val="16"/>
              </w:rPr>
            </w:pPr>
            <w:r>
              <w:rPr>
                <w:b/>
                <w:sz w:val="16"/>
                <w:szCs w:val="16"/>
              </w:rPr>
              <w:t>628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137</w:t>
            </w:r>
          </w:p>
        </w:tc>
        <w:tc>
          <w:tcPr>
            <w:tcW w:w="272" w:type="pct"/>
            <w:vAlign w:val="center"/>
          </w:tcPr>
          <w:p>
            <w:pPr>
              <w:autoSpaceDE w:val="0"/>
              <w:autoSpaceDN w:val="0"/>
              <w:adjustRightInd w:val="0"/>
              <w:jc w:val="center"/>
              <w:rPr>
                <w:b/>
                <w:sz w:val="16"/>
                <w:szCs w:val="16"/>
              </w:rPr>
            </w:pPr>
            <w:r>
              <w:rPr>
                <w:b/>
                <w:sz w:val="16"/>
                <w:szCs w:val="16"/>
              </w:rPr>
              <w:t>182</w:t>
            </w:r>
          </w:p>
        </w:tc>
        <w:tc>
          <w:tcPr>
            <w:tcW w:w="391" w:type="pct"/>
            <w:vAlign w:val="center"/>
          </w:tcPr>
          <w:p>
            <w:pPr>
              <w:autoSpaceDE w:val="0"/>
              <w:autoSpaceDN w:val="0"/>
              <w:adjustRightInd w:val="0"/>
              <w:jc w:val="center"/>
              <w:rPr>
                <w:sz w:val="16"/>
                <w:szCs w:val="16"/>
              </w:rPr>
            </w:pPr>
            <w:r>
              <w:rPr>
                <w:sz w:val="16"/>
                <w:szCs w:val="16"/>
              </w:rPr>
              <w:t>199</w:t>
            </w:r>
          </w:p>
        </w:tc>
        <w:tc>
          <w:tcPr>
            <w:tcW w:w="296" w:type="pct"/>
            <w:vAlign w:val="center"/>
          </w:tcPr>
          <w:p>
            <w:pPr>
              <w:autoSpaceDE w:val="0"/>
              <w:autoSpaceDN w:val="0"/>
              <w:adjustRightInd w:val="0"/>
              <w:jc w:val="center"/>
              <w:rPr>
                <w:b/>
                <w:sz w:val="16"/>
                <w:szCs w:val="16"/>
              </w:rPr>
            </w:pPr>
            <w:r>
              <w:rPr>
                <w:b/>
                <w:sz w:val="16"/>
                <w:szCs w:val="16"/>
              </w:rPr>
              <w:t>257</w:t>
            </w:r>
          </w:p>
        </w:tc>
        <w:tc>
          <w:tcPr>
            <w:tcW w:w="391" w:type="pct"/>
            <w:vAlign w:val="center"/>
          </w:tcPr>
          <w:p>
            <w:pPr>
              <w:autoSpaceDE w:val="0"/>
              <w:autoSpaceDN w:val="0"/>
              <w:adjustRightInd w:val="0"/>
              <w:jc w:val="center"/>
              <w:rPr>
                <w:sz w:val="16"/>
                <w:szCs w:val="16"/>
              </w:rPr>
            </w:pPr>
            <w:r>
              <w:rPr>
                <w:sz w:val="16"/>
                <w:szCs w:val="16"/>
              </w:rPr>
              <w:t>261</w:t>
            </w:r>
          </w:p>
        </w:tc>
        <w:tc>
          <w:tcPr>
            <w:tcW w:w="296" w:type="pct"/>
            <w:vAlign w:val="center"/>
          </w:tcPr>
          <w:p>
            <w:pPr>
              <w:autoSpaceDE w:val="0"/>
              <w:autoSpaceDN w:val="0"/>
              <w:adjustRightInd w:val="0"/>
              <w:jc w:val="center"/>
              <w:rPr>
                <w:b/>
                <w:sz w:val="16"/>
                <w:szCs w:val="16"/>
              </w:rPr>
            </w:pPr>
            <w:r>
              <w:rPr>
                <w:b/>
                <w:sz w:val="16"/>
                <w:szCs w:val="16"/>
              </w:rPr>
              <w:t>331</w:t>
            </w:r>
          </w:p>
        </w:tc>
        <w:tc>
          <w:tcPr>
            <w:tcW w:w="391" w:type="pct"/>
            <w:vAlign w:val="center"/>
          </w:tcPr>
          <w:p>
            <w:pPr>
              <w:autoSpaceDE w:val="0"/>
              <w:autoSpaceDN w:val="0"/>
              <w:adjustRightInd w:val="0"/>
              <w:jc w:val="center"/>
              <w:rPr>
                <w:sz w:val="16"/>
                <w:szCs w:val="16"/>
              </w:rPr>
            </w:pPr>
            <w:r>
              <w:rPr>
                <w:sz w:val="16"/>
                <w:szCs w:val="16"/>
              </w:rPr>
              <w:t>323</w:t>
            </w:r>
          </w:p>
        </w:tc>
        <w:tc>
          <w:tcPr>
            <w:tcW w:w="296" w:type="pct"/>
            <w:vAlign w:val="center"/>
          </w:tcPr>
          <w:p>
            <w:pPr>
              <w:autoSpaceDE w:val="0"/>
              <w:autoSpaceDN w:val="0"/>
              <w:adjustRightInd w:val="0"/>
              <w:jc w:val="center"/>
              <w:rPr>
                <w:b/>
                <w:sz w:val="16"/>
                <w:szCs w:val="16"/>
              </w:rPr>
            </w:pPr>
            <w:r>
              <w:rPr>
                <w:b/>
                <w:sz w:val="16"/>
                <w:szCs w:val="16"/>
              </w:rPr>
              <w:t>406</w:t>
            </w:r>
          </w:p>
        </w:tc>
        <w:tc>
          <w:tcPr>
            <w:tcW w:w="391" w:type="pct"/>
            <w:vAlign w:val="center"/>
          </w:tcPr>
          <w:p>
            <w:pPr>
              <w:autoSpaceDE w:val="0"/>
              <w:autoSpaceDN w:val="0"/>
              <w:adjustRightInd w:val="0"/>
              <w:jc w:val="center"/>
              <w:rPr>
                <w:sz w:val="16"/>
                <w:szCs w:val="16"/>
              </w:rPr>
            </w:pPr>
            <w:r>
              <w:rPr>
                <w:sz w:val="16"/>
                <w:szCs w:val="16"/>
              </w:rPr>
              <w:t>385</w:t>
            </w:r>
          </w:p>
        </w:tc>
        <w:tc>
          <w:tcPr>
            <w:tcW w:w="296" w:type="pct"/>
            <w:vAlign w:val="center"/>
          </w:tcPr>
          <w:p>
            <w:pPr>
              <w:autoSpaceDE w:val="0"/>
              <w:autoSpaceDN w:val="0"/>
              <w:adjustRightInd w:val="0"/>
              <w:jc w:val="center"/>
              <w:rPr>
                <w:b/>
                <w:sz w:val="16"/>
                <w:szCs w:val="16"/>
              </w:rPr>
            </w:pPr>
            <w:r>
              <w:rPr>
                <w:b/>
                <w:sz w:val="16"/>
                <w:szCs w:val="16"/>
              </w:rPr>
              <w:t>480</w:t>
            </w:r>
          </w:p>
        </w:tc>
        <w:tc>
          <w:tcPr>
            <w:tcW w:w="391" w:type="pct"/>
            <w:vAlign w:val="center"/>
          </w:tcPr>
          <w:p>
            <w:pPr>
              <w:autoSpaceDE w:val="0"/>
              <w:autoSpaceDN w:val="0"/>
              <w:adjustRightInd w:val="0"/>
              <w:jc w:val="center"/>
              <w:rPr>
                <w:sz w:val="16"/>
                <w:szCs w:val="16"/>
              </w:rPr>
            </w:pPr>
            <w:r>
              <w:rPr>
                <w:sz w:val="16"/>
                <w:szCs w:val="16"/>
              </w:rPr>
              <w:t>447</w:t>
            </w:r>
          </w:p>
        </w:tc>
        <w:tc>
          <w:tcPr>
            <w:tcW w:w="296" w:type="pct"/>
            <w:vAlign w:val="center"/>
          </w:tcPr>
          <w:p>
            <w:pPr>
              <w:autoSpaceDE w:val="0"/>
              <w:autoSpaceDN w:val="0"/>
              <w:adjustRightInd w:val="0"/>
              <w:jc w:val="center"/>
              <w:rPr>
                <w:b/>
                <w:sz w:val="16"/>
                <w:szCs w:val="16"/>
              </w:rPr>
            </w:pPr>
            <w:r>
              <w:rPr>
                <w:b/>
                <w:sz w:val="16"/>
                <w:szCs w:val="16"/>
              </w:rPr>
              <w:t>554</w:t>
            </w:r>
          </w:p>
        </w:tc>
        <w:tc>
          <w:tcPr>
            <w:tcW w:w="391" w:type="pct"/>
            <w:vAlign w:val="bottom"/>
          </w:tcPr>
          <w:p>
            <w:pPr>
              <w:jc w:val="center"/>
              <w:rPr>
                <w:rFonts w:eastAsia="Arial Unicode MS"/>
                <w:sz w:val="16"/>
                <w:szCs w:val="16"/>
              </w:rPr>
            </w:pPr>
            <w:r>
              <w:rPr>
                <w:sz w:val="16"/>
                <w:szCs w:val="16"/>
              </w:rPr>
              <w:t>509</w:t>
            </w:r>
          </w:p>
        </w:tc>
        <w:tc>
          <w:tcPr>
            <w:tcW w:w="429" w:type="pct"/>
          </w:tcPr>
          <w:p>
            <w:pPr>
              <w:autoSpaceDE w:val="0"/>
              <w:autoSpaceDN w:val="0"/>
              <w:adjustRightInd w:val="0"/>
              <w:jc w:val="center"/>
              <w:rPr>
                <w:b/>
                <w:sz w:val="16"/>
                <w:szCs w:val="16"/>
              </w:rPr>
            </w:pPr>
            <w:r>
              <w:rPr>
                <w:b/>
                <w:sz w:val="16"/>
                <w:szCs w:val="16"/>
              </w:rPr>
              <w:t>629</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138</w:t>
            </w:r>
          </w:p>
        </w:tc>
        <w:tc>
          <w:tcPr>
            <w:tcW w:w="272" w:type="pct"/>
            <w:vAlign w:val="center"/>
          </w:tcPr>
          <w:p>
            <w:pPr>
              <w:autoSpaceDE w:val="0"/>
              <w:autoSpaceDN w:val="0"/>
              <w:adjustRightInd w:val="0"/>
              <w:jc w:val="center"/>
              <w:rPr>
                <w:b/>
                <w:sz w:val="16"/>
                <w:szCs w:val="16"/>
              </w:rPr>
            </w:pPr>
            <w:r>
              <w:rPr>
                <w:b/>
                <w:sz w:val="16"/>
                <w:szCs w:val="16"/>
              </w:rPr>
              <w:t>184</w:t>
            </w:r>
          </w:p>
        </w:tc>
        <w:tc>
          <w:tcPr>
            <w:tcW w:w="391" w:type="pct"/>
            <w:vAlign w:val="center"/>
          </w:tcPr>
          <w:p>
            <w:pPr>
              <w:autoSpaceDE w:val="0"/>
              <w:autoSpaceDN w:val="0"/>
              <w:adjustRightInd w:val="0"/>
              <w:jc w:val="center"/>
              <w:rPr>
                <w:sz w:val="16"/>
                <w:szCs w:val="16"/>
              </w:rPr>
            </w:pPr>
            <w:r>
              <w:rPr>
                <w:sz w:val="16"/>
                <w:szCs w:val="16"/>
              </w:rPr>
              <w:t>200</w:t>
            </w:r>
          </w:p>
        </w:tc>
        <w:tc>
          <w:tcPr>
            <w:tcW w:w="296" w:type="pct"/>
            <w:vAlign w:val="center"/>
          </w:tcPr>
          <w:p>
            <w:pPr>
              <w:autoSpaceDE w:val="0"/>
              <w:autoSpaceDN w:val="0"/>
              <w:adjustRightInd w:val="0"/>
              <w:jc w:val="center"/>
              <w:rPr>
                <w:b/>
                <w:sz w:val="16"/>
                <w:szCs w:val="16"/>
              </w:rPr>
            </w:pPr>
            <w:r>
              <w:rPr>
                <w:b/>
                <w:sz w:val="16"/>
                <w:szCs w:val="16"/>
              </w:rPr>
              <w:t>258</w:t>
            </w:r>
          </w:p>
        </w:tc>
        <w:tc>
          <w:tcPr>
            <w:tcW w:w="391" w:type="pct"/>
            <w:vAlign w:val="center"/>
          </w:tcPr>
          <w:p>
            <w:pPr>
              <w:autoSpaceDE w:val="0"/>
              <w:autoSpaceDN w:val="0"/>
              <w:adjustRightInd w:val="0"/>
              <w:jc w:val="center"/>
              <w:rPr>
                <w:sz w:val="16"/>
                <w:szCs w:val="16"/>
              </w:rPr>
            </w:pPr>
            <w:r>
              <w:rPr>
                <w:sz w:val="16"/>
                <w:szCs w:val="16"/>
              </w:rPr>
              <w:t>262</w:t>
            </w:r>
          </w:p>
        </w:tc>
        <w:tc>
          <w:tcPr>
            <w:tcW w:w="296" w:type="pct"/>
            <w:vAlign w:val="center"/>
          </w:tcPr>
          <w:p>
            <w:pPr>
              <w:autoSpaceDE w:val="0"/>
              <w:autoSpaceDN w:val="0"/>
              <w:adjustRightInd w:val="0"/>
              <w:jc w:val="center"/>
              <w:rPr>
                <w:b/>
                <w:sz w:val="16"/>
                <w:szCs w:val="16"/>
              </w:rPr>
            </w:pPr>
            <w:r>
              <w:rPr>
                <w:b/>
                <w:sz w:val="16"/>
                <w:szCs w:val="16"/>
              </w:rPr>
              <w:t>332</w:t>
            </w:r>
          </w:p>
        </w:tc>
        <w:tc>
          <w:tcPr>
            <w:tcW w:w="391" w:type="pct"/>
            <w:vAlign w:val="center"/>
          </w:tcPr>
          <w:p>
            <w:pPr>
              <w:autoSpaceDE w:val="0"/>
              <w:autoSpaceDN w:val="0"/>
              <w:adjustRightInd w:val="0"/>
              <w:jc w:val="center"/>
              <w:rPr>
                <w:sz w:val="16"/>
                <w:szCs w:val="16"/>
              </w:rPr>
            </w:pPr>
            <w:r>
              <w:rPr>
                <w:sz w:val="16"/>
                <w:szCs w:val="16"/>
              </w:rPr>
              <w:t>324</w:t>
            </w:r>
          </w:p>
        </w:tc>
        <w:tc>
          <w:tcPr>
            <w:tcW w:w="296" w:type="pct"/>
            <w:vAlign w:val="center"/>
          </w:tcPr>
          <w:p>
            <w:pPr>
              <w:autoSpaceDE w:val="0"/>
              <w:autoSpaceDN w:val="0"/>
              <w:adjustRightInd w:val="0"/>
              <w:jc w:val="center"/>
              <w:rPr>
                <w:b/>
                <w:sz w:val="16"/>
                <w:szCs w:val="16"/>
              </w:rPr>
            </w:pPr>
            <w:r>
              <w:rPr>
                <w:b/>
                <w:sz w:val="16"/>
                <w:szCs w:val="16"/>
              </w:rPr>
              <w:t>407</w:t>
            </w:r>
          </w:p>
        </w:tc>
        <w:tc>
          <w:tcPr>
            <w:tcW w:w="391" w:type="pct"/>
            <w:vAlign w:val="center"/>
          </w:tcPr>
          <w:p>
            <w:pPr>
              <w:autoSpaceDE w:val="0"/>
              <w:autoSpaceDN w:val="0"/>
              <w:adjustRightInd w:val="0"/>
              <w:jc w:val="center"/>
              <w:rPr>
                <w:sz w:val="16"/>
                <w:szCs w:val="16"/>
              </w:rPr>
            </w:pPr>
            <w:r>
              <w:rPr>
                <w:sz w:val="16"/>
                <w:szCs w:val="16"/>
              </w:rPr>
              <w:t>386</w:t>
            </w:r>
          </w:p>
        </w:tc>
        <w:tc>
          <w:tcPr>
            <w:tcW w:w="296" w:type="pct"/>
            <w:vAlign w:val="center"/>
          </w:tcPr>
          <w:p>
            <w:pPr>
              <w:autoSpaceDE w:val="0"/>
              <w:autoSpaceDN w:val="0"/>
              <w:adjustRightInd w:val="0"/>
              <w:jc w:val="center"/>
              <w:rPr>
                <w:b/>
                <w:sz w:val="16"/>
                <w:szCs w:val="16"/>
              </w:rPr>
            </w:pPr>
            <w:r>
              <w:rPr>
                <w:b/>
                <w:sz w:val="16"/>
                <w:szCs w:val="16"/>
              </w:rPr>
              <w:t>481</w:t>
            </w:r>
          </w:p>
        </w:tc>
        <w:tc>
          <w:tcPr>
            <w:tcW w:w="391" w:type="pct"/>
            <w:vAlign w:val="center"/>
          </w:tcPr>
          <w:p>
            <w:pPr>
              <w:autoSpaceDE w:val="0"/>
              <w:autoSpaceDN w:val="0"/>
              <w:adjustRightInd w:val="0"/>
              <w:jc w:val="center"/>
              <w:rPr>
                <w:sz w:val="16"/>
                <w:szCs w:val="16"/>
              </w:rPr>
            </w:pPr>
            <w:r>
              <w:rPr>
                <w:sz w:val="16"/>
                <w:szCs w:val="16"/>
              </w:rPr>
              <w:t>448</w:t>
            </w:r>
          </w:p>
        </w:tc>
        <w:tc>
          <w:tcPr>
            <w:tcW w:w="296" w:type="pct"/>
            <w:vAlign w:val="center"/>
          </w:tcPr>
          <w:p>
            <w:pPr>
              <w:autoSpaceDE w:val="0"/>
              <w:autoSpaceDN w:val="0"/>
              <w:adjustRightInd w:val="0"/>
              <w:jc w:val="center"/>
              <w:rPr>
                <w:b/>
                <w:sz w:val="16"/>
                <w:szCs w:val="16"/>
              </w:rPr>
            </w:pPr>
            <w:r>
              <w:rPr>
                <w:b/>
                <w:sz w:val="16"/>
                <w:szCs w:val="16"/>
              </w:rPr>
              <w:t>556</w:t>
            </w:r>
          </w:p>
        </w:tc>
        <w:tc>
          <w:tcPr>
            <w:tcW w:w="391" w:type="pct"/>
            <w:vAlign w:val="bottom"/>
          </w:tcPr>
          <w:p>
            <w:pPr>
              <w:jc w:val="center"/>
              <w:rPr>
                <w:rFonts w:eastAsia="Arial Unicode MS"/>
                <w:sz w:val="16"/>
                <w:szCs w:val="16"/>
              </w:rPr>
            </w:pPr>
            <w:r>
              <w:rPr>
                <w:sz w:val="16"/>
                <w:szCs w:val="16"/>
              </w:rPr>
              <w:t>510</w:t>
            </w:r>
          </w:p>
        </w:tc>
        <w:tc>
          <w:tcPr>
            <w:tcW w:w="429" w:type="pct"/>
          </w:tcPr>
          <w:p>
            <w:pPr>
              <w:autoSpaceDE w:val="0"/>
              <w:autoSpaceDN w:val="0"/>
              <w:adjustRightInd w:val="0"/>
              <w:jc w:val="center"/>
              <w:rPr>
                <w:b/>
                <w:sz w:val="16"/>
                <w:szCs w:val="16"/>
              </w:rPr>
            </w:pPr>
            <w:r>
              <w:rPr>
                <w:b/>
                <w:sz w:val="16"/>
                <w:szCs w:val="16"/>
              </w:rPr>
              <w:t>630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139</w:t>
            </w:r>
          </w:p>
        </w:tc>
        <w:tc>
          <w:tcPr>
            <w:tcW w:w="272" w:type="pct"/>
            <w:vAlign w:val="center"/>
          </w:tcPr>
          <w:p>
            <w:pPr>
              <w:autoSpaceDE w:val="0"/>
              <w:autoSpaceDN w:val="0"/>
              <w:adjustRightInd w:val="0"/>
              <w:jc w:val="center"/>
              <w:rPr>
                <w:b/>
                <w:sz w:val="16"/>
                <w:szCs w:val="16"/>
              </w:rPr>
            </w:pPr>
            <w:r>
              <w:rPr>
                <w:b/>
                <w:sz w:val="16"/>
                <w:szCs w:val="16"/>
              </w:rPr>
              <w:t>185</w:t>
            </w:r>
          </w:p>
        </w:tc>
        <w:tc>
          <w:tcPr>
            <w:tcW w:w="391" w:type="pct"/>
            <w:vAlign w:val="center"/>
          </w:tcPr>
          <w:p>
            <w:pPr>
              <w:autoSpaceDE w:val="0"/>
              <w:autoSpaceDN w:val="0"/>
              <w:adjustRightInd w:val="0"/>
              <w:jc w:val="center"/>
              <w:rPr>
                <w:sz w:val="16"/>
                <w:szCs w:val="16"/>
              </w:rPr>
            </w:pPr>
            <w:r>
              <w:rPr>
                <w:sz w:val="16"/>
                <w:szCs w:val="16"/>
              </w:rPr>
              <w:t>201</w:t>
            </w:r>
          </w:p>
        </w:tc>
        <w:tc>
          <w:tcPr>
            <w:tcW w:w="296" w:type="pct"/>
            <w:vAlign w:val="center"/>
          </w:tcPr>
          <w:p>
            <w:pPr>
              <w:autoSpaceDE w:val="0"/>
              <w:autoSpaceDN w:val="0"/>
              <w:adjustRightInd w:val="0"/>
              <w:jc w:val="center"/>
              <w:rPr>
                <w:b/>
                <w:sz w:val="16"/>
                <w:szCs w:val="16"/>
              </w:rPr>
            </w:pPr>
            <w:r>
              <w:rPr>
                <w:b/>
                <w:sz w:val="16"/>
                <w:szCs w:val="16"/>
              </w:rPr>
              <w:t>259</w:t>
            </w:r>
          </w:p>
        </w:tc>
        <w:tc>
          <w:tcPr>
            <w:tcW w:w="391" w:type="pct"/>
            <w:vAlign w:val="center"/>
          </w:tcPr>
          <w:p>
            <w:pPr>
              <w:autoSpaceDE w:val="0"/>
              <w:autoSpaceDN w:val="0"/>
              <w:adjustRightInd w:val="0"/>
              <w:jc w:val="center"/>
              <w:rPr>
                <w:sz w:val="16"/>
                <w:szCs w:val="16"/>
              </w:rPr>
            </w:pPr>
            <w:r>
              <w:rPr>
                <w:sz w:val="16"/>
                <w:szCs w:val="16"/>
              </w:rPr>
              <w:t>263</w:t>
            </w:r>
          </w:p>
        </w:tc>
        <w:tc>
          <w:tcPr>
            <w:tcW w:w="296" w:type="pct"/>
            <w:vAlign w:val="center"/>
          </w:tcPr>
          <w:p>
            <w:pPr>
              <w:autoSpaceDE w:val="0"/>
              <w:autoSpaceDN w:val="0"/>
              <w:adjustRightInd w:val="0"/>
              <w:jc w:val="center"/>
              <w:rPr>
                <w:b/>
                <w:sz w:val="16"/>
                <w:szCs w:val="16"/>
              </w:rPr>
            </w:pPr>
            <w:r>
              <w:rPr>
                <w:b/>
                <w:sz w:val="16"/>
                <w:szCs w:val="16"/>
              </w:rPr>
              <w:t>334</w:t>
            </w:r>
          </w:p>
        </w:tc>
        <w:tc>
          <w:tcPr>
            <w:tcW w:w="391" w:type="pct"/>
            <w:vAlign w:val="center"/>
          </w:tcPr>
          <w:p>
            <w:pPr>
              <w:autoSpaceDE w:val="0"/>
              <w:autoSpaceDN w:val="0"/>
              <w:adjustRightInd w:val="0"/>
              <w:jc w:val="center"/>
              <w:rPr>
                <w:sz w:val="16"/>
                <w:szCs w:val="16"/>
              </w:rPr>
            </w:pPr>
            <w:r>
              <w:rPr>
                <w:sz w:val="16"/>
                <w:szCs w:val="16"/>
              </w:rPr>
              <w:t>325</w:t>
            </w:r>
          </w:p>
        </w:tc>
        <w:tc>
          <w:tcPr>
            <w:tcW w:w="296" w:type="pct"/>
            <w:vAlign w:val="center"/>
          </w:tcPr>
          <w:p>
            <w:pPr>
              <w:autoSpaceDE w:val="0"/>
              <w:autoSpaceDN w:val="0"/>
              <w:adjustRightInd w:val="0"/>
              <w:jc w:val="center"/>
              <w:rPr>
                <w:b/>
                <w:sz w:val="16"/>
                <w:szCs w:val="16"/>
              </w:rPr>
            </w:pPr>
            <w:r>
              <w:rPr>
                <w:b/>
                <w:sz w:val="16"/>
                <w:szCs w:val="16"/>
              </w:rPr>
              <w:t>408</w:t>
            </w:r>
          </w:p>
        </w:tc>
        <w:tc>
          <w:tcPr>
            <w:tcW w:w="391" w:type="pct"/>
            <w:vAlign w:val="center"/>
          </w:tcPr>
          <w:p>
            <w:pPr>
              <w:autoSpaceDE w:val="0"/>
              <w:autoSpaceDN w:val="0"/>
              <w:adjustRightInd w:val="0"/>
              <w:jc w:val="center"/>
              <w:rPr>
                <w:sz w:val="16"/>
                <w:szCs w:val="16"/>
              </w:rPr>
            </w:pPr>
            <w:r>
              <w:rPr>
                <w:sz w:val="16"/>
                <w:szCs w:val="16"/>
              </w:rPr>
              <w:t>387</w:t>
            </w:r>
          </w:p>
        </w:tc>
        <w:tc>
          <w:tcPr>
            <w:tcW w:w="296" w:type="pct"/>
            <w:vAlign w:val="center"/>
          </w:tcPr>
          <w:p>
            <w:pPr>
              <w:autoSpaceDE w:val="0"/>
              <w:autoSpaceDN w:val="0"/>
              <w:adjustRightInd w:val="0"/>
              <w:jc w:val="center"/>
              <w:rPr>
                <w:b/>
                <w:sz w:val="16"/>
                <w:szCs w:val="16"/>
              </w:rPr>
            </w:pPr>
            <w:r>
              <w:rPr>
                <w:b/>
                <w:sz w:val="16"/>
                <w:szCs w:val="16"/>
              </w:rPr>
              <w:t>482</w:t>
            </w:r>
          </w:p>
        </w:tc>
        <w:tc>
          <w:tcPr>
            <w:tcW w:w="391" w:type="pct"/>
            <w:vAlign w:val="center"/>
          </w:tcPr>
          <w:p>
            <w:pPr>
              <w:autoSpaceDE w:val="0"/>
              <w:autoSpaceDN w:val="0"/>
              <w:adjustRightInd w:val="0"/>
              <w:jc w:val="center"/>
              <w:rPr>
                <w:sz w:val="16"/>
                <w:szCs w:val="16"/>
              </w:rPr>
            </w:pPr>
            <w:r>
              <w:rPr>
                <w:sz w:val="16"/>
                <w:szCs w:val="16"/>
              </w:rPr>
              <w:t>449</w:t>
            </w:r>
          </w:p>
        </w:tc>
        <w:tc>
          <w:tcPr>
            <w:tcW w:w="296" w:type="pct"/>
            <w:vAlign w:val="center"/>
          </w:tcPr>
          <w:p>
            <w:pPr>
              <w:autoSpaceDE w:val="0"/>
              <w:autoSpaceDN w:val="0"/>
              <w:adjustRightInd w:val="0"/>
              <w:jc w:val="center"/>
              <w:rPr>
                <w:b/>
                <w:sz w:val="16"/>
                <w:szCs w:val="16"/>
              </w:rPr>
            </w:pPr>
            <w:r>
              <w:rPr>
                <w:b/>
                <w:sz w:val="16"/>
                <w:szCs w:val="16"/>
              </w:rPr>
              <w:t>557</w:t>
            </w:r>
          </w:p>
        </w:tc>
        <w:tc>
          <w:tcPr>
            <w:tcW w:w="391" w:type="pct"/>
            <w:vAlign w:val="bottom"/>
          </w:tcPr>
          <w:p>
            <w:pPr>
              <w:jc w:val="center"/>
              <w:rPr>
                <w:rFonts w:eastAsia="Arial Unicode MS"/>
                <w:sz w:val="16"/>
                <w:szCs w:val="16"/>
              </w:rPr>
            </w:pPr>
            <w:r>
              <w:rPr>
                <w:sz w:val="16"/>
                <w:szCs w:val="16"/>
              </w:rPr>
              <w:t>511</w:t>
            </w:r>
          </w:p>
        </w:tc>
        <w:tc>
          <w:tcPr>
            <w:tcW w:w="429" w:type="pct"/>
          </w:tcPr>
          <w:p>
            <w:pPr>
              <w:autoSpaceDE w:val="0"/>
              <w:autoSpaceDN w:val="0"/>
              <w:adjustRightInd w:val="0"/>
              <w:jc w:val="center"/>
              <w:rPr>
                <w:b/>
                <w:sz w:val="16"/>
                <w:szCs w:val="16"/>
              </w:rPr>
            </w:pPr>
            <w:r>
              <w:rPr>
                <w:b/>
                <w:sz w:val="16"/>
                <w:szCs w:val="16"/>
              </w:rPr>
              <w:t>631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140</w:t>
            </w:r>
          </w:p>
        </w:tc>
        <w:tc>
          <w:tcPr>
            <w:tcW w:w="272" w:type="pct"/>
            <w:vAlign w:val="center"/>
          </w:tcPr>
          <w:p>
            <w:pPr>
              <w:autoSpaceDE w:val="0"/>
              <w:autoSpaceDN w:val="0"/>
              <w:adjustRightInd w:val="0"/>
              <w:jc w:val="center"/>
              <w:rPr>
                <w:b/>
                <w:sz w:val="16"/>
                <w:szCs w:val="16"/>
              </w:rPr>
            </w:pPr>
            <w:r>
              <w:rPr>
                <w:b/>
                <w:sz w:val="16"/>
                <w:szCs w:val="16"/>
              </w:rPr>
              <w:t>186</w:t>
            </w:r>
          </w:p>
        </w:tc>
        <w:tc>
          <w:tcPr>
            <w:tcW w:w="391" w:type="pct"/>
            <w:vAlign w:val="center"/>
          </w:tcPr>
          <w:p>
            <w:pPr>
              <w:autoSpaceDE w:val="0"/>
              <w:autoSpaceDN w:val="0"/>
              <w:adjustRightInd w:val="0"/>
              <w:jc w:val="center"/>
              <w:rPr>
                <w:sz w:val="16"/>
                <w:szCs w:val="16"/>
              </w:rPr>
            </w:pPr>
            <w:r>
              <w:rPr>
                <w:sz w:val="16"/>
                <w:szCs w:val="16"/>
              </w:rPr>
              <w:t>202</w:t>
            </w:r>
          </w:p>
        </w:tc>
        <w:tc>
          <w:tcPr>
            <w:tcW w:w="296" w:type="pct"/>
            <w:vAlign w:val="center"/>
          </w:tcPr>
          <w:p>
            <w:pPr>
              <w:autoSpaceDE w:val="0"/>
              <w:autoSpaceDN w:val="0"/>
              <w:adjustRightInd w:val="0"/>
              <w:jc w:val="center"/>
              <w:rPr>
                <w:b/>
                <w:sz w:val="16"/>
                <w:szCs w:val="16"/>
              </w:rPr>
            </w:pPr>
            <w:r>
              <w:rPr>
                <w:b/>
                <w:sz w:val="16"/>
                <w:szCs w:val="16"/>
              </w:rPr>
              <w:t>260</w:t>
            </w:r>
          </w:p>
        </w:tc>
        <w:tc>
          <w:tcPr>
            <w:tcW w:w="391" w:type="pct"/>
            <w:vAlign w:val="center"/>
          </w:tcPr>
          <w:p>
            <w:pPr>
              <w:autoSpaceDE w:val="0"/>
              <w:autoSpaceDN w:val="0"/>
              <w:adjustRightInd w:val="0"/>
              <w:jc w:val="center"/>
              <w:rPr>
                <w:sz w:val="16"/>
                <w:szCs w:val="16"/>
              </w:rPr>
            </w:pPr>
            <w:r>
              <w:rPr>
                <w:sz w:val="16"/>
                <w:szCs w:val="16"/>
              </w:rPr>
              <w:t>264</w:t>
            </w:r>
          </w:p>
        </w:tc>
        <w:tc>
          <w:tcPr>
            <w:tcW w:w="296" w:type="pct"/>
            <w:vAlign w:val="center"/>
          </w:tcPr>
          <w:p>
            <w:pPr>
              <w:autoSpaceDE w:val="0"/>
              <w:autoSpaceDN w:val="0"/>
              <w:adjustRightInd w:val="0"/>
              <w:jc w:val="center"/>
              <w:rPr>
                <w:b/>
                <w:sz w:val="16"/>
                <w:szCs w:val="16"/>
              </w:rPr>
            </w:pPr>
            <w:r>
              <w:rPr>
                <w:b/>
                <w:sz w:val="16"/>
                <w:szCs w:val="16"/>
              </w:rPr>
              <w:t>335</w:t>
            </w:r>
          </w:p>
        </w:tc>
        <w:tc>
          <w:tcPr>
            <w:tcW w:w="391" w:type="pct"/>
            <w:vAlign w:val="center"/>
          </w:tcPr>
          <w:p>
            <w:pPr>
              <w:autoSpaceDE w:val="0"/>
              <w:autoSpaceDN w:val="0"/>
              <w:adjustRightInd w:val="0"/>
              <w:jc w:val="center"/>
              <w:rPr>
                <w:sz w:val="16"/>
                <w:szCs w:val="16"/>
              </w:rPr>
            </w:pPr>
            <w:r>
              <w:rPr>
                <w:sz w:val="16"/>
                <w:szCs w:val="16"/>
              </w:rPr>
              <w:t>326</w:t>
            </w:r>
          </w:p>
        </w:tc>
        <w:tc>
          <w:tcPr>
            <w:tcW w:w="296" w:type="pct"/>
            <w:vAlign w:val="center"/>
          </w:tcPr>
          <w:p>
            <w:pPr>
              <w:autoSpaceDE w:val="0"/>
              <w:autoSpaceDN w:val="0"/>
              <w:adjustRightInd w:val="0"/>
              <w:jc w:val="center"/>
              <w:rPr>
                <w:b/>
                <w:sz w:val="16"/>
                <w:szCs w:val="16"/>
              </w:rPr>
            </w:pPr>
            <w:r>
              <w:rPr>
                <w:b/>
                <w:sz w:val="16"/>
                <w:szCs w:val="16"/>
              </w:rPr>
              <w:t>409</w:t>
            </w:r>
          </w:p>
        </w:tc>
        <w:tc>
          <w:tcPr>
            <w:tcW w:w="391" w:type="pct"/>
            <w:vAlign w:val="center"/>
          </w:tcPr>
          <w:p>
            <w:pPr>
              <w:autoSpaceDE w:val="0"/>
              <w:autoSpaceDN w:val="0"/>
              <w:adjustRightInd w:val="0"/>
              <w:jc w:val="center"/>
              <w:rPr>
                <w:sz w:val="16"/>
                <w:szCs w:val="16"/>
              </w:rPr>
            </w:pPr>
            <w:r>
              <w:rPr>
                <w:sz w:val="16"/>
                <w:szCs w:val="16"/>
              </w:rPr>
              <w:t>388</w:t>
            </w:r>
          </w:p>
        </w:tc>
        <w:tc>
          <w:tcPr>
            <w:tcW w:w="296" w:type="pct"/>
            <w:vAlign w:val="center"/>
          </w:tcPr>
          <w:p>
            <w:pPr>
              <w:autoSpaceDE w:val="0"/>
              <w:autoSpaceDN w:val="0"/>
              <w:adjustRightInd w:val="0"/>
              <w:jc w:val="center"/>
              <w:rPr>
                <w:b/>
                <w:sz w:val="16"/>
                <w:szCs w:val="16"/>
              </w:rPr>
            </w:pPr>
            <w:r>
              <w:rPr>
                <w:b/>
                <w:sz w:val="16"/>
                <w:szCs w:val="16"/>
              </w:rPr>
              <w:t>484</w:t>
            </w:r>
          </w:p>
        </w:tc>
        <w:tc>
          <w:tcPr>
            <w:tcW w:w="391" w:type="pct"/>
            <w:vAlign w:val="center"/>
          </w:tcPr>
          <w:p>
            <w:pPr>
              <w:autoSpaceDE w:val="0"/>
              <w:autoSpaceDN w:val="0"/>
              <w:adjustRightInd w:val="0"/>
              <w:jc w:val="center"/>
              <w:rPr>
                <w:sz w:val="16"/>
                <w:szCs w:val="16"/>
              </w:rPr>
            </w:pPr>
            <w:r>
              <w:rPr>
                <w:sz w:val="16"/>
                <w:szCs w:val="16"/>
              </w:rPr>
              <w:t>450</w:t>
            </w:r>
          </w:p>
        </w:tc>
        <w:tc>
          <w:tcPr>
            <w:tcW w:w="296" w:type="pct"/>
            <w:vAlign w:val="center"/>
          </w:tcPr>
          <w:p>
            <w:pPr>
              <w:autoSpaceDE w:val="0"/>
              <w:autoSpaceDN w:val="0"/>
              <w:adjustRightInd w:val="0"/>
              <w:jc w:val="center"/>
              <w:rPr>
                <w:b/>
                <w:sz w:val="16"/>
                <w:szCs w:val="16"/>
              </w:rPr>
            </w:pPr>
            <w:r>
              <w:rPr>
                <w:b/>
                <w:sz w:val="16"/>
                <w:szCs w:val="16"/>
              </w:rPr>
              <w:t>558</w:t>
            </w:r>
          </w:p>
        </w:tc>
        <w:tc>
          <w:tcPr>
            <w:tcW w:w="391" w:type="pct"/>
            <w:vAlign w:val="bottom"/>
          </w:tcPr>
          <w:p>
            <w:pPr>
              <w:jc w:val="center"/>
              <w:rPr>
                <w:rFonts w:eastAsia="Arial Unicode MS"/>
                <w:sz w:val="16"/>
                <w:szCs w:val="16"/>
              </w:rPr>
            </w:pPr>
            <w:r>
              <w:rPr>
                <w:sz w:val="16"/>
                <w:szCs w:val="16"/>
              </w:rPr>
              <w:t>512</w:t>
            </w:r>
          </w:p>
        </w:tc>
        <w:tc>
          <w:tcPr>
            <w:tcW w:w="429" w:type="pct"/>
          </w:tcPr>
          <w:p>
            <w:pPr>
              <w:autoSpaceDE w:val="0"/>
              <w:autoSpaceDN w:val="0"/>
              <w:adjustRightInd w:val="0"/>
              <w:jc w:val="center"/>
              <w:rPr>
                <w:b/>
                <w:sz w:val="16"/>
                <w:szCs w:val="16"/>
              </w:rPr>
            </w:pPr>
            <w:r>
              <w:rPr>
                <w:b/>
                <w:sz w:val="16"/>
                <w:szCs w:val="16"/>
              </w:rPr>
              <w:t>632</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141</w:t>
            </w:r>
          </w:p>
        </w:tc>
        <w:tc>
          <w:tcPr>
            <w:tcW w:w="272" w:type="pct"/>
            <w:vAlign w:val="center"/>
          </w:tcPr>
          <w:p>
            <w:pPr>
              <w:autoSpaceDE w:val="0"/>
              <w:autoSpaceDN w:val="0"/>
              <w:adjustRightInd w:val="0"/>
              <w:jc w:val="center"/>
              <w:rPr>
                <w:b/>
                <w:sz w:val="16"/>
                <w:szCs w:val="16"/>
              </w:rPr>
            </w:pPr>
            <w:r>
              <w:rPr>
                <w:b/>
                <w:sz w:val="16"/>
                <w:szCs w:val="16"/>
              </w:rPr>
              <w:t>187</w:t>
            </w:r>
          </w:p>
        </w:tc>
        <w:tc>
          <w:tcPr>
            <w:tcW w:w="391" w:type="pct"/>
            <w:vAlign w:val="center"/>
          </w:tcPr>
          <w:p>
            <w:pPr>
              <w:autoSpaceDE w:val="0"/>
              <w:autoSpaceDN w:val="0"/>
              <w:adjustRightInd w:val="0"/>
              <w:jc w:val="center"/>
              <w:rPr>
                <w:sz w:val="16"/>
                <w:szCs w:val="16"/>
              </w:rPr>
            </w:pPr>
            <w:r>
              <w:rPr>
                <w:sz w:val="16"/>
                <w:szCs w:val="16"/>
              </w:rPr>
              <w:t>203</w:t>
            </w:r>
          </w:p>
        </w:tc>
        <w:tc>
          <w:tcPr>
            <w:tcW w:w="296" w:type="pct"/>
            <w:vAlign w:val="center"/>
          </w:tcPr>
          <w:p>
            <w:pPr>
              <w:autoSpaceDE w:val="0"/>
              <w:autoSpaceDN w:val="0"/>
              <w:adjustRightInd w:val="0"/>
              <w:jc w:val="center"/>
              <w:rPr>
                <w:b/>
                <w:sz w:val="16"/>
                <w:szCs w:val="16"/>
              </w:rPr>
            </w:pPr>
            <w:r>
              <w:rPr>
                <w:b/>
                <w:sz w:val="16"/>
                <w:szCs w:val="16"/>
              </w:rPr>
              <w:t>262</w:t>
            </w:r>
          </w:p>
        </w:tc>
        <w:tc>
          <w:tcPr>
            <w:tcW w:w="391" w:type="pct"/>
            <w:vAlign w:val="center"/>
          </w:tcPr>
          <w:p>
            <w:pPr>
              <w:autoSpaceDE w:val="0"/>
              <w:autoSpaceDN w:val="0"/>
              <w:adjustRightInd w:val="0"/>
              <w:jc w:val="center"/>
              <w:rPr>
                <w:sz w:val="16"/>
                <w:szCs w:val="16"/>
              </w:rPr>
            </w:pPr>
            <w:r>
              <w:rPr>
                <w:sz w:val="16"/>
                <w:szCs w:val="16"/>
              </w:rPr>
              <w:t>265</w:t>
            </w:r>
          </w:p>
        </w:tc>
        <w:tc>
          <w:tcPr>
            <w:tcW w:w="296" w:type="pct"/>
            <w:vAlign w:val="center"/>
          </w:tcPr>
          <w:p>
            <w:pPr>
              <w:autoSpaceDE w:val="0"/>
              <w:autoSpaceDN w:val="0"/>
              <w:adjustRightInd w:val="0"/>
              <w:jc w:val="center"/>
              <w:rPr>
                <w:b/>
                <w:sz w:val="16"/>
                <w:szCs w:val="16"/>
              </w:rPr>
            </w:pPr>
            <w:r>
              <w:rPr>
                <w:b/>
                <w:sz w:val="16"/>
                <w:szCs w:val="16"/>
              </w:rPr>
              <w:t>336</w:t>
            </w:r>
          </w:p>
        </w:tc>
        <w:tc>
          <w:tcPr>
            <w:tcW w:w="391" w:type="pct"/>
            <w:vAlign w:val="center"/>
          </w:tcPr>
          <w:p>
            <w:pPr>
              <w:autoSpaceDE w:val="0"/>
              <w:autoSpaceDN w:val="0"/>
              <w:adjustRightInd w:val="0"/>
              <w:jc w:val="center"/>
              <w:rPr>
                <w:sz w:val="16"/>
                <w:szCs w:val="16"/>
              </w:rPr>
            </w:pPr>
            <w:r>
              <w:rPr>
                <w:sz w:val="16"/>
                <w:szCs w:val="16"/>
              </w:rPr>
              <w:t>327</w:t>
            </w:r>
          </w:p>
        </w:tc>
        <w:tc>
          <w:tcPr>
            <w:tcW w:w="296" w:type="pct"/>
            <w:vAlign w:val="center"/>
          </w:tcPr>
          <w:p>
            <w:pPr>
              <w:autoSpaceDE w:val="0"/>
              <w:autoSpaceDN w:val="0"/>
              <w:adjustRightInd w:val="0"/>
              <w:jc w:val="center"/>
              <w:rPr>
                <w:b/>
                <w:sz w:val="16"/>
                <w:szCs w:val="16"/>
              </w:rPr>
            </w:pPr>
            <w:r>
              <w:rPr>
                <w:b/>
                <w:sz w:val="16"/>
                <w:szCs w:val="16"/>
              </w:rPr>
              <w:t>410</w:t>
            </w:r>
          </w:p>
        </w:tc>
        <w:tc>
          <w:tcPr>
            <w:tcW w:w="391" w:type="pct"/>
            <w:vAlign w:val="center"/>
          </w:tcPr>
          <w:p>
            <w:pPr>
              <w:autoSpaceDE w:val="0"/>
              <w:autoSpaceDN w:val="0"/>
              <w:adjustRightInd w:val="0"/>
              <w:jc w:val="center"/>
              <w:rPr>
                <w:sz w:val="16"/>
                <w:szCs w:val="16"/>
              </w:rPr>
            </w:pPr>
            <w:r>
              <w:rPr>
                <w:sz w:val="16"/>
                <w:szCs w:val="16"/>
              </w:rPr>
              <w:t>389</w:t>
            </w:r>
          </w:p>
        </w:tc>
        <w:tc>
          <w:tcPr>
            <w:tcW w:w="296" w:type="pct"/>
            <w:vAlign w:val="center"/>
          </w:tcPr>
          <w:p>
            <w:pPr>
              <w:autoSpaceDE w:val="0"/>
              <w:autoSpaceDN w:val="0"/>
              <w:adjustRightInd w:val="0"/>
              <w:jc w:val="center"/>
              <w:rPr>
                <w:b/>
                <w:sz w:val="16"/>
                <w:szCs w:val="16"/>
              </w:rPr>
            </w:pPr>
            <w:r>
              <w:rPr>
                <w:b/>
                <w:sz w:val="16"/>
                <w:szCs w:val="16"/>
              </w:rPr>
              <w:t>485</w:t>
            </w:r>
          </w:p>
        </w:tc>
        <w:tc>
          <w:tcPr>
            <w:tcW w:w="391" w:type="pct"/>
            <w:vAlign w:val="center"/>
          </w:tcPr>
          <w:p>
            <w:pPr>
              <w:autoSpaceDE w:val="0"/>
              <w:autoSpaceDN w:val="0"/>
              <w:adjustRightInd w:val="0"/>
              <w:jc w:val="center"/>
              <w:rPr>
                <w:sz w:val="16"/>
                <w:szCs w:val="16"/>
              </w:rPr>
            </w:pPr>
            <w:r>
              <w:rPr>
                <w:sz w:val="16"/>
                <w:szCs w:val="16"/>
              </w:rPr>
              <w:t>451</w:t>
            </w:r>
          </w:p>
        </w:tc>
        <w:tc>
          <w:tcPr>
            <w:tcW w:w="296" w:type="pct"/>
            <w:vAlign w:val="center"/>
          </w:tcPr>
          <w:p>
            <w:pPr>
              <w:autoSpaceDE w:val="0"/>
              <w:autoSpaceDN w:val="0"/>
              <w:adjustRightInd w:val="0"/>
              <w:jc w:val="center"/>
              <w:rPr>
                <w:b/>
                <w:sz w:val="16"/>
                <w:szCs w:val="16"/>
              </w:rPr>
            </w:pPr>
            <w:r>
              <w:rPr>
                <w:b/>
                <w:sz w:val="16"/>
                <w:szCs w:val="16"/>
              </w:rPr>
              <w:t>559</w:t>
            </w:r>
          </w:p>
        </w:tc>
        <w:tc>
          <w:tcPr>
            <w:tcW w:w="391" w:type="pct"/>
            <w:vAlign w:val="bottom"/>
          </w:tcPr>
          <w:p>
            <w:pPr>
              <w:jc w:val="center"/>
              <w:rPr>
                <w:rFonts w:eastAsia="Arial Unicode MS"/>
                <w:sz w:val="16"/>
                <w:szCs w:val="16"/>
              </w:rPr>
            </w:pPr>
            <w:r>
              <w:rPr>
                <w:sz w:val="16"/>
                <w:szCs w:val="16"/>
              </w:rPr>
              <w:t>513</w:t>
            </w:r>
          </w:p>
        </w:tc>
        <w:tc>
          <w:tcPr>
            <w:tcW w:w="429" w:type="pct"/>
          </w:tcPr>
          <w:p>
            <w:pPr>
              <w:autoSpaceDE w:val="0"/>
              <w:autoSpaceDN w:val="0"/>
              <w:adjustRightInd w:val="0"/>
              <w:jc w:val="center"/>
              <w:rPr>
                <w:b/>
                <w:sz w:val="16"/>
                <w:szCs w:val="16"/>
              </w:rPr>
            </w:pPr>
            <w:r>
              <w:rPr>
                <w:b/>
                <w:sz w:val="16"/>
                <w:szCs w:val="16"/>
              </w:rPr>
              <w:t>634</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142</w:t>
            </w:r>
          </w:p>
        </w:tc>
        <w:tc>
          <w:tcPr>
            <w:tcW w:w="272" w:type="pct"/>
            <w:vAlign w:val="center"/>
          </w:tcPr>
          <w:p>
            <w:pPr>
              <w:autoSpaceDE w:val="0"/>
              <w:autoSpaceDN w:val="0"/>
              <w:adjustRightInd w:val="0"/>
              <w:jc w:val="center"/>
              <w:rPr>
                <w:b/>
                <w:sz w:val="16"/>
                <w:szCs w:val="16"/>
              </w:rPr>
            </w:pPr>
            <w:r>
              <w:rPr>
                <w:b/>
                <w:sz w:val="16"/>
                <w:szCs w:val="16"/>
              </w:rPr>
              <w:t>188</w:t>
            </w:r>
          </w:p>
        </w:tc>
        <w:tc>
          <w:tcPr>
            <w:tcW w:w="391" w:type="pct"/>
            <w:vAlign w:val="center"/>
          </w:tcPr>
          <w:p>
            <w:pPr>
              <w:autoSpaceDE w:val="0"/>
              <w:autoSpaceDN w:val="0"/>
              <w:adjustRightInd w:val="0"/>
              <w:jc w:val="center"/>
              <w:rPr>
                <w:sz w:val="16"/>
                <w:szCs w:val="16"/>
              </w:rPr>
            </w:pPr>
            <w:r>
              <w:rPr>
                <w:sz w:val="16"/>
                <w:szCs w:val="16"/>
              </w:rPr>
              <w:t>204</w:t>
            </w:r>
          </w:p>
        </w:tc>
        <w:tc>
          <w:tcPr>
            <w:tcW w:w="296" w:type="pct"/>
            <w:vAlign w:val="center"/>
          </w:tcPr>
          <w:p>
            <w:pPr>
              <w:autoSpaceDE w:val="0"/>
              <w:autoSpaceDN w:val="0"/>
              <w:adjustRightInd w:val="0"/>
              <w:jc w:val="center"/>
              <w:rPr>
                <w:b/>
                <w:sz w:val="16"/>
                <w:szCs w:val="16"/>
              </w:rPr>
            </w:pPr>
            <w:r>
              <w:rPr>
                <w:b/>
                <w:sz w:val="16"/>
                <w:szCs w:val="16"/>
              </w:rPr>
              <w:t>263</w:t>
            </w:r>
          </w:p>
        </w:tc>
        <w:tc>
          <w:tcPr>
            <w:tcW w:w="391" w:type="pct"/>
            <w:vAlign w:val="center"/>
          </w:tcPr>
          <w:p>
            <w:pPr>
              <w:autoSpaceDE w:val="0"/>
              <w:autoSpaceDN w:val="0"/>
              <w:adjustRightInd w:val="0"/>
              <w:jc w:val="center"/>
              <w:rPr>
                <w:sz w:val="16"/>
                <w:szCs w:val="16"/>
              </w:rPr>
            </w:pPr>
            <w:r>
              <w:rPr>
                <w:sz w:val="16"/>
                <w:szCs w:val="16"/>
              </w:rPr>
              <w:t>266</w:t>
            </w:r>
          </w:p>
        </w:tc>
        <w:tc>
          <w:tcPr>
            <w:tcW w:w="296" w:type="pct"/>
            <w:vAlign w:val="center"/>
          </w:tcPr>
          <w:p>
            <w:pPr>
              <w:autoSpaceDE w:val="0"/>
              <w:autoSpaceDN w:val="0"/>
              <w:adjustRightInd w:val="0"/>
              <w:jc w:val="center"/>
              <w:rPr>
                <w:b/>
                <w:sz w:val="16"/>
                <w:szCs w:val="16"/>
              </w:rPr>
            </w:pPr>
            <w:r>
              <w:rPr>
                <w:b/>
                <w:sz w:val="16"/>
                <w:szCs w:val="16"/>
              </w:rPr>
              <w:t>337</w:t>
            </w:r>
          </w:p>
        </w:tc>
        <w:tc>
          <w:tcPr>
            <w:tcW w:w="391" w:type="pct"/>
            <w:vAlign w:val="center"/>
          </w:tcPr>
          <w:p>
            <w:pPr>
              <w:autoSpaceDE w:val="0"/>
              <w:autoSpaceDN w:val="0"/>
              <w:adjustRightInd w:val="0"/>
              <w:jc w:val="center"/>
              <w:rPr>
                <w:sz w:val="16"/>
                <w:szCs w:val="16"/>
              </w:rPr>
            </w:pPr>
            <w:r>
              <w:rPr>
                <w:sz w:val="16"/>
                <w:szCs w:val="16"/>
              </w:rPr>
              <w:t>328</w:t>
            </w:r>
          </w:p>
        </w:tc>
        <w:tc>
          <w:tcPr>
            <w:tcW w:w="296" w:type="pct"/>
            <w:vAlign w:val="center"/>
          </w:tcPr>
          <w:p>
            <w:pPr>
              <w:autoSpaceDE w:val="0"/>
              <w:autoSpaceDN w:val="0"/>
              <w:adjustRightInd w:val="0"/>
              <w:jc w:val="center"/>
              <w:rPr>
                <w:b/>
                <w:sz w:val="16"/>
                <w:szCs w:val="16"/>
              </w:rPr>
            </w:pPr>
            <w:r>
              <w:rPr>
                <w:b/>
                <w:sz w:val="16"/>
                <w:szCs w:val="16"/>
              </w:rPr>
              <w:t>412</w:t>
            </w:r>
          </w:p>
        </w:tc>
        <w:tc>
          <w:tcPr>
            <w:tcW w:w="391" w:type="pct"/>
            <w:vAlign w:val="center"/>
          </w:tcPr>
          <w:p>
            <w:pPr>
              <w:autoSpaceDE w:val="0"/>
              <w:autoSpaceDN w:val="0"/>
              <w:adjustRightInd w:val="0"/>
              <w:jc w:val="center"/>
              <w:rPr>
                <w:sz w:val="16"/>
                <w:szCs w:val="16"/>
              </w:rPr>
            </w:pPr>
            <w:r>
              <w:rPr>
                <w:sz w:val="16"/>
                <w:szCs w:val="16"/>
              </w:rPr>
              <w:t>390</w:t>
            </w:r>
          </w:p>
        </w:tc>
        <w:tc>
          <w:tcPr>
            <w:tcW w:w="296" w:type="pct"/>
            <w:vAlign w:val="center"/>
          </w:tcPr>
          <w:p>
            <w:pPr>
              <w:autoSpaceDE w:val="0"/>
              <w:autoSpaceDN w:val="0"/>
              <w:adjustRightInd w:val="0"/>
              <w:jc w:val="center"/>
              <w:rPr>
                <w:b/>
                <w:sz w:val="16"/>
                <w:szCs w:val="16"/>
              </w:rPr>
            </w:pPr>
            <w:r>
              <w:rPr>
                <w:b/>
                <w:sz w:val="16"/>
                <w:szCs w:val="16"/>
              </w:rPr>
              <w:t>486</w:t>
            </w:r>
          </w:p>
        </w:tc>
        <w:tc>
          <w:tcPr>
            <w:tcW w:w="391" w:type="pct"/>
            <w:vAlign w:val="center"/>
          </w:tcPr>
          <w:p>
            <w:pPr>
              <w:autoSpaceDE w:val="0"/>
              <w:autoSpaceDN w:val="0"/>
              <w:adjustRightInd w:val="0"/>
              <w:jc w:val="center"/>
              <w:rPr>
                <w:sz w:val="16"/>
                <w:szCs w:val="16"/>
              </w:rPr>
            </w:pPr>
            <w:r>
              <w:rPr>
                <w:sz w:val="16"/>
                <w:szCs w:val="16"/>
              </w:rPr>
              <w:t>452</w:t>
            </w:r>
          </w:p>
        </w:tc>
        <w:tc>
          <w:tcPr>
            <w:tcW w:w="296" w:type="pct"/>
            <w:vAlign w:val="center"/>
          </w:tcPr>
          <w:p>
            <w:pPr>
              <w:autoSpaceDE w:val="0"/>
              <w:autoSpaceDN w:val="0"/>
              <w:adjustRightInd w:val="0"/>
              <w:jc w:val="center"/>
              <w:rPr>
                <w:b/>
                <w:sz w:val="16"/>
                <w:szCs w:val="16"/>
              </w:rPr>
            </w:pPr>
            <w:r>
              <w:rPr>
                <w:b/>
                <w:sz w:val="16"/>
                <w:szCs w:val="16"/>
              </w:rPr>
              <w:t>560</w:t>
            </w:r>
          </w:p>
        </w:tc>
        <w:tc>
          <w:tcPr>
            <w:tcW w:w="391" w:type="pct"/>
            <w:vAlign w:val="bottom"/>
          </w:tcPr>
          <w:p>
            <w:pPr>
              <w:jc w:val="center"/>
              <w:rPr>
                <w:rFonts w:eastAsia="Arial Unicode MS"/>
                <w:sz w:val="16"/>
                <w:szCs w:val="16"/>
              </w:rPr>
            </w:pPr>
            <w:r>
              <w:rPr>
                <w:sz w:val="16"/>
                <w:szCs w:val="16"/>
              </w:rPr>
              <w:t>514</w:t>
            </w:r>
          </w:p>
        </w:tc>
        <w:tc>
          <w:tcPr>
            <w:tcW w:w="429" w:type="pct"/>
          </w:tcPr>
          <w:p>
            <w:pPr>
              <w:autoSpaceDE w:val="0"/>
              <w:autoSpaceDN w:val="0"/>
              <w:adjustRightInd w:val="0"/>
              <w:jc w:val="center"/>
              <w:rPr>
                <w:b/>
                <w:sz w:val="16"/>
                <w:szCs w:val="16"/>
              </w:rPr>
            </w:pPr>
            <w:r>
              <w:rPr>
                <w:b/>
                <w:sz w:val="16"/>
                <w:szCs w:val="16"/>
              </w:rPr>
              <w:t>635</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143</w:t>
            </w:r>
          </w:p>
        </w:tc>
        <w:tc>
          <w:tcPr>
            <w:tcW w:w="272" w:type="pct"/>
            <w:vAlign w:val="center"/>
          </w:tcPr>
          <w:p>
            <w:pPr>
              <w:autoSpaceDE w:val="0"/>
              <w:autoSpaceDN w:val="0"/>
              <w:adjustRightInd w:val="0"/>
              <w:jc w:val="center"/>
              <w:rPr>
                <w:b/>
                <w:sz w:val="16"/>
                <w:szCs w:val="16"/>
              </w:rPr>
            </w:pPr>
            <w:r>
              <w:rPr>
                <w:b/>
                <w:sz w:val="16"/>
                <w:szCs w:val="16"/>
              </w:rPr>
              <w:t>190</w:t>
            </w:r>
          </w:p>
        </w:tc>
        <w:tc>
          <w:tcPr>
            <w:tcW w:w="391" w:type="pct"/>
            <w:vAlign w:val="center"/>
          </w:tcPr>
          <w:p>
            <w:pPr>
              <w:autoSpaceDE w:val="0"/>
              <w:autoSpaceDN w:val="0"/>
              <w:adjustRightInd w:val="0"/>
              <w:jc w:val="center"/>
              <w:rPr>
                <w:sz w:val="16"/>
                <w:szCs w:val="16"/>
              </w:rPr>
            </w:pPr>
            <w:r>
              <w:rPr>
                <w:sz w:val="16"/>
                <w:szCs w:val="16"/>
              </w:rPr>
              <w:t>205</w:t>
            </w:r>
          </w:p>
        </w:tc>
        <w:tc>
          <w:tcPr>
            <w:tcW w:w="296" w:type="pct"/>
            <w:vAlign w:val="center"/>
          </w:tcPr>
          <w:p>
            <w:pPr>
              <w:autoSpaceDE w:val="0"/>
              <w:autoSpaceDN w:val="0"/>
              <w:adjustRightInd w:val="0"/>
              <w:jc w:val="center"/>
              <w:rPr>
                <w:b/>
                <w:sz w:val="16"/>
                <w:szCs w:val="16"/>
              </w:rPr>
            </w:pPr>
            <w:r>
              <w:rPr>
                <w:b/>
                <w:sz w:val="16"/>
                <w:szCs w:val="16"/>
              </w:rPr>
              <w:t>264</w:t>
            </w:r>
          </w:p>
        </w:tc>
        <w:tc>
          <w:tcPr>
            <w:tcW w:w="391" w:type="pct"/>
            <w:vAlign w:val="center"/>
          </w:tcPr>
          <w:p>
            <w:pPr>
              <w:autoSpaceDE w:val="0"/>
              <w:autoSpaceDN w:val="0"/>
              <w:adjustRightInd w:val="0"/>
              <w:jc w:val="center"/>
              <w:rPr>
                <w:sz w:val="16"/>
                <w:szCs w:val="16"/>
              </w:rPr>
            </w:pPr>
            <w:r>
              <w:rPr>
                <w:sz w:val="16"/>
                <w:szCs w:val="16"/>
              </w:rPr>
              <w:t>267</w:t>
            </w:r>
          </w:p>
        </w:tc>
        <w:tc>
          <w:tcPr>
            <w:tcW w:w="296" w:type="pct"/>
            <w:vAlign w:val="center"/>
          </w:tcPr>
          <w:p>
            <w:pPr>
              <w:autoSpaceDE w:val="0"/>
              <w:autoSpaceDN w:val="0"/>
              <w:adjustRightInd w:val="0"/>
              <w:jc w:val="center"/>
              <w:rPr>
                <w:b/>
                <w:sz w:val="16"/>
                <w:szCs w:val="16"/>
              </w:rPr>
            </w:pPr>
            <w:r>
              <w:rPr>
                <w:b/>
                <w:sz w:val="16"/>
                <w:szCs w:val="16"/>
              </w:rPr>
              <w:t>338</w:t>
            </w:r>
          </w:p>
        </w:tc>
        <w:tc>
          <w:tcPr>
            <w:tcW w:w="391" w:type="pct"/>
            <w:vAlign w:val="center"/>
          </w:tcPr>
          <w:p>
            <w:pPr>
              <w:autoSpaceDE w:val="0"/>
              <w:autoSpaceDN w:val="0"/>
              <w:adjustRightInd w:val="0"/>
              <w:jc w:val="center"/>
              <w:rPr>
                <w:sz w:val="16"/>
                <w:szCs w:val="16"/>
              </w:rPr>
            </w:pPr>
            <w:r>
              <w:rPr>
                <w:sz w:val="16"/>
                <w:szCs w:val="16"/>
              </w:rPr>
              <w:t>329</w:t>
            </w:r>
          </w:p>
        </w:tc>
        <w:tc>
          <w:tcPr>
            <w:tcW w:w="296" w:type="pct"/>
            <w:vAlign w:val="center"/>
          </w:tcPr>
          <w:p>
            <w:pPr>
              <w:autoSpaceDE w:val="0"/>
              <w:autoSpaceDN w:val="0"/>
              <w:adjustRightInd w:val="0"/>
              <w:jc w:val="center"/>
              <w:rPr>
                <w:b/>
                <w:sz w:val="16"/>
                <w:szCs w:val="16"/>
              </w:rPr>
            </w:pPr>
            <w:r>
              <w:rPr>
                <w:b/>
                <w:sz w:val="16"/>
                <w:szCs w:val="16"/>
              </w:rPr>
              <w:t>413</w:t>
            </w:r>
          </w:p>
        </w:tc>
        <w:tc>
          <w:tcPr>
            <w:tcW w:w="391" w:type="pct"/>
            <w:vAlign w:val="center"/>
          </w:tcPr>
          <w:p>
            <w:pPr>
              <w:autoSpaceDE w:val="0"/>
              <w:autoSpaceDN w:val="0"/>
              <w:adjustRightInd w:val="0"/>
              <w:jc w:val="center"/>
              <w:rPr>
                <w:sz w:val="16"/>
                <w:szCs w:val="16"/>
              </w:rPr>
            </w:pPr>
            <w:r>
              <w:rPr>
                <w:sz w:val="16"/>
                <w:szCs w:val="16"/>
              </w:rPr>
              <w:t>391</w:t>
            </w:r>
          </w:p>
        </w:tc>
        <w:tc>
          <w:tcPr>
            <w:tcW w:w="296" w:type="pct"/>
            <w:vAlign w:val="center"/>
          </w:tcPr>
          <w:p>
            <w:pPr>
              <w:autoSpaceDE w:val="0"/>
              <w:autoSpaceDN w:val="0"/>
              <w:adjustRightInd w:val="0"/>
              <w:jc w:val="center"/>
              <w:rPr>
                <w:b/>
                <w:sz w:val="16"/>
                <w:szCs w:val="16"/>
              </w:rPr>
            </w:pPr>
            <w:r>
              <w:rPr>
                <w:b/>
                <w:sz w:val="16"/>
                <w:szCs w:val="16"/>
              </w:rPr>
              <w:t>487</w:t>
            </w:r>
          </w:p>
        </w:tc>
        <w:tc>
          <w:tcPr>
            <w:tcW w:w="391" w:type="pct"/>
            <w:vAlign w:val="center"/>
          </w:tcPr>
          <w:p>
            <w:pPr>
              <w:autoSpaceDE w:val="0"/>
              <w:autoSpaceDN w:val="0"/>
              <w:adjustRightInd w:val="0"/>
              <w:jc w:val="center"/>
              <w:rPr>
                <w:sz w:val="16"/>
                <w:szCs w:val="16"/>
              </w:rPr>
            </w:pPr>
            <w:r>
              <w:rPr>
                <w:sz w:val="16"/>
                <w:szCs w:val="16"/>
              </w:rPr>
              <w:t>453</w:t>
            </w:r>
          </w:p>
        </w:tc>
        <w:tc>
          <w:tcPr>
            <w:tcW w:w="296" w:type="pct"/>
            <w:vAlign w:val="center"/>
          </w:tcPr>
          <w:p>
            <w:pPr>
              <w:autoSpaceDE w:val="0"/>
              <w:autoSpaceDN w:val="0"/>
              <w:adjustRightInd w:val="0"/>
              <w:jc w:val="center"/>
              <w:rPr>
                <w:b/>
                <w:sz w:val="16"/>
                <w:szCs w:val="16"/>
              </w:rPr>
            </w:pPr>
            <w:r>
              <w:rPr>
                <w:b/>
                <w:sz w:val="16"/>
                <w:szCs w:val="16"/>
              </w:rPr>
              <w:t>562</w:t>
            </w:r>
          </w:p>
        </w:tc>
        <w:tc>
          <w:tcPr>
            <w:tcW w:w="391" w:type="pct"/>
            <w:vAlign w:val="bottom"/>
          </w:tcPr>
          <w:p>
            <w:pPr>
              <w:jc w:val="center"/>
              <w:rPr>
                <w:rFonts w:eastAsia="Arial Unicode MS"/>
                <w:sz w:val="16"/>
                <w:szCs w:val="16"/>
              </w:rPr>
            </w:pPr>
            <w:r>
              <w:rPr>
                <w:sz w:val="16"/>
                <w:szCs w:val="16"/>
              </w:rPr>
              <w:t>515</w:t>
            </w:r>
          </w:p>
        </w:tc>
        <w:tc>
          <w:tcPr>
            <w:tcW w:w="429" w:type="pct"/>
          </w:tcPr>
          <w:p>
            <w:pPr>
              <w:autoSpaceDE w:val="0"/>
              <w:autoSpaceDN w:val="0"/>
              <w:adjustRightInd w:val="0"/>
              <w:jc w:val="center"/>
              <w:rPr>
                <w:b/>
                <w:sz w:val="16"/>
                <w:szCs w:val="16"/>
              </w:rPr>
            </w:pPr>
            <w:r>
              <w:rPr>
                <w:b/>
                <w:sz w:val="16"/>
                <w:szCs w:val="16"/>
              </w:rPr>
              <w:t>636</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144</w:t>
            </w:r>
          </w:p>
        </w:tc>
        <w:tc>
          <w:tcPr>
            <w:tcW w:w="272" w:type="pct"/>
            <w:vAlign w:val="center"/>
          </w:tcPr>
          <w:p>
            <w:pPr>
              <w:autoSpaceDE w:val="0"/>
              <w:autoSpaceDN w:val="0"/>
              <w:adjustRightInd w:val="0"/>
              <w:jc w:val="center"/>
              <w:rPr>
                <w:b/>
                <w:sz w:val="16"/>
                <w:szCs w:val="16"/>
              </w:rPr>
            </w:pPr>
            <w:r>
              <w:rPr>
                <w:b/>
                <w:sz w:val="16"/>
                <w:szCs w:val="16"/>
              </w:rPr>
              <w:t>191</w:t>
            </w:r>
          </w:p>
        </w:tc>
        <w:tc>
          <w:tcPr>
            <w:tcW w:w="391" w:type="pct"/>
            <w:vAlign w:val="center"/>
          </w:tcPr>
          <w:p>
            <w:pPr>
              <w:autoSpaceDE w:val="0"/>
              <w:autoSpaceDN w:val="0"/>
              <w:adjustRightInd w:val="0"/>
              <w:jc w:val="center"/>
              <w:rPr>
                <w:sz w:val="16"/>
                <w:szCs w:val="16"/>
              </w:rPr>
            </w:pPr>
            <w:r>
              <w:rPr>
                <w:sz w:val="16"/>
                <w:szCs w:val="16"/>
              </w:rPr>
              <w:t>206</w:t>
            </w:r>
          </w:p>
        </w:tc>
        <w:tc>
          <w:tcPr>
            <w:tcW w:w="296" w:type="pct"/>
            <w:vAlign w:val="center"/>
          </w:tcPr>
          <w:p>
            <w:pPr>
              <w:autoSpaceDE w:val="0"/>
              <w:autoSpaceDN w:val="0"/>
              <w:adjustRightInd w:val="0"/>
              <w:jc w:val="center"/>
              <w:rPr>
                <w:b/>
                <w:sz w:val="16"/>
                <w:szCs w:val="16"/>
              </w:rPr>
            </w:pPr>
            <w:r>
              <w:rPr>
                <w:b/>
                <w:sz w:val="16"/>
                <w:szCs w:val="16"/>
              </w:rPr>
              <w:t>265</w:t>
            </w:r>
          </w:p>
        </w:tc>
        <w:tc>
          <w:tcPr>
            <w:tcW w:w="391" w:type="pct"/>
            <w:vAlign w:val="center"/>
          </w:tcPr>
          <w:p>
            <w:pPr>
              <w:autoSpaceDE w:val="0"/>
              <w:autoSpaceDN w:val="0"/>
              <w:adjustRightInd w:val="0"/>
              <w:jc w:val="center"/>
              <w:rPr>
                <w:sz w:val="16"/>
                <w:szCs w:val="16"/>
              </w:rPr>
            </w:pPr>
            <w:r>
              <w:rPr>
                <w:sz w:val="16"/>
                <w:szCs w:val="16"/>
              </w:rPr>
              <w:t>268</w:t>
            </w:r>
          </w:p>
        </w:tc>
        <w:tc>
          <w:tcPr>
            <w:tcW w:w="296" w:type="pct"/>
            <w:vAlign w:val="center"/>
          </w:tcPr>
          <w:p>
            <w:pPr>
              <w:autoSpaceDE w:val="0"/>
              <w:autoSpaceDN w:val="0"/>
              <w:adjustRightInd w:val="0"/>
              <w:jc w:val="center"/>
              <w:rPr>
                <w:b/>
                <w:sz w:val="16"/>
                <w:szCs w:val="16"/>
              </w:rPr>
            </w:pPr>
            <w:r>
              <w:rPr>
                <w:b/>
                <w:sz w:val="16"/>
                <w:szCs w:val="16"/>
              </w:rPr>
              <w:t>340</w:t>
            </w:r>
          </w:p>
        </w:tc>
        <w:tc>
          <w:tcPr>
            <w:tcW w:w="391" w:type="pct"/>
            <w:vAlign w:val="center"/>
          </w:tcPr>
          <w:p>
            <w:pPr>
              <w:autoSpaceDE w:val="0"/>
              <w:autoSpaceDN w:val="0"/>
              <w:adjustRightInd w:val="0"/>
              <w:jc w:val="center"/>
              <w:rPr>
                <w:sz w:val="16"/>
                <w:szCs w:val="16"/>
              </w:rPr>
            </w:pPr>
            <w:r>
              <w:rPr>
                <w:sz w:val="16"/>
                <w:szCs w:val="16"/>
              </w:rPr>
              <w:t>330</w:t>
            </w:r>
          </w:p>
        </w:tc>
        <w:tc>
          <w:tcPr>
            <w:tcW w:w="296" w:type="pct"/>
            <w:vAlign w:val="center"/>
          </w:tcPr>
          <w:p>
            <w:pPr>
              <w:autoSpaceDE w:val="0"/>
              <w:autoSpaceDN w:val="0"/>
              <w:adjustRightInd w:val="0"/>
              <w:jc w:val="center"/>
              <w:rPr>
                <w:b/>
                <w:sz w:val="16"/>
                <w:szCs w:val="16"/>
              </w:rPr>
            </w:pPr>
            <w:r>
              <w:rPr>
                <w:b/>
                <w:sz w:val="16"/>
                <w:szCs w:val="16"/>
              </w:rPr>
              <w:t>414</w:t>
            </w:r>
          </w:p>
        </w:tc>
        <w:tc>
          <w:tcPr>
            <w:tcW w:w="391" w:type="pct"/>
            <w:vAlign w:val="center"/>
          </w:tcPr>
          <w:p>
            <w:pPr>
              <w:autoSpaceDE w:val="0"/>
              <w:autoSpaceDN w:val="0"/>
              <w:adjustRightInd w:val="0"/>
              <w:jc w:val="center"/>
              <w:rPr>
                <w:sz w:val="16"/>
                <w:szCs w:val="16"/>
              </w:rPr>
            </w:pPr>
            <w:r>
              <w:rPr>
                <w:sz w:val="16"/>
                <w:szCs w:val="16"/>
              </w:rPr>
              <w:t>392</w:t>
            </w:r>
          </w:p>
        </w:tc>
        <w:tc>
          <w:tcPr>
            <w:tcW w:w="296" w:type="pct"/>
            <w:vAlign w:val="center"/>
          </w:tcPr>
          <w:p>
            <w:pPr>
              <w:autoSpaceDE w:val="0"/>
              <w:autoSpaceDN w:val="0"/>
              <w:adjustRightInd w:val="0"/>
              <w:jc w:val="center"/>
              <w:rPr>
                <w:b/>
                <w:sz w:val="16"/>
                <w:szCs w:val="16"/>
              </w:rPr>
            </w:pPr>
            <w:r>
              <w:rPr>
                <w:b/>
                <w:sz w:val="16"/>
                <w:szCs w:val="16"/>
              </w:rPr>
              <w:t>488</w:t>
            </w:r>
          </w:p>
        </w:tc>
        <w:tc>
          <w:tcPr>
            <w:tcW w:w="391" w:type="pct"/>
            <w:vAlign w:val="center"/>
          </w:tcPr>
          <w:p>
            <w:pPr>
              <w:autoSpaceDE w:val="0"/>
              <w:autoSpaceDN w:val="0"/>
              <w:adjustRightInd w:val="0"/>
              <w:jc w:val="center"/>
              <w:rPr>
                <w:sz w:val="16"/>
                <w:szCs w:val="16"/>
              </w:rPr>
            </w:pPr>
            <w:r>
              <w:rPr>
                <w:sz w:val="16"/>
                <w:szCs w:val="16"/>
              </w:rPr>
              <w:t>454</w:t>
            </w:r>
          </w:p>
        </w:tc>
        <w:tc>
          <w:tcPr>
            <w:tcW w:w="296" w:type="pct"/>
            <w:vAlign w:val="center"/>
          </w:tcPr>
          <w:p>
            <w:pPr>
              <w:autoSpaceDE w:val="0"/>
              <w:autoSpaceDN w:val="0"/>
              <w:adjustRightInd w:val="0"/>
              <w:jc w:val="center"/>
              <w:rPr>
                <w:b/>
                <w:sz w:val="16"/>
                <w:szCs w:val="16"/>
              </w:rPr>
            </w:pPr>
            <w:r>
              <w:rPr>
                <w:b/>
                <w:sz w:val="16"/>
                <w:szCs w:val="16"/>
              </w:rPr>
              <w:t>563</w:t>
            </w:r>
          </w:p>
        </w:tc>
        <w:tc>
          <w:tcPr>
            <w:tcW w:w="391" w:type="pct"/>
            <w:vAlign w:val="bottom"/>
          </w:tcPr>
          <w:p>
            <w:pPr>
              <w:jc w:val="center"/>
              <w:rPr>
                <w:rFonts w:eastAsia="Arial Unicode MS"/>
                <w:sz w:val="16"/>
                <w:szCs w:val="16"/>
              </w:rPr>
            </w:pPr>
            <w:r>
              <w:rPr>
                <w:sz w:val="16"/>
                <w:szCs w:val="16"/>
              </w:rPr>
              <w:t>516</w:t>
            </w:r>
          </w:p>
        </w:tc>
        <w:tc>
          <w:tcPr>
            <w:tcW w:w="429" w:type="pct"/>
          </w:tcPr>
          <w:p>
            <w:pPr>
              <w:autoSpaceDE w:val="0"/>
              <w:autoSpaceDN w:val="0"/>
              <w:adjustRightInd w:val="0"/>
              <w:jc w:val="center"/>
              <w:rPr>
                <w:b/>
                <w:sz w:val="16"/>
                <w:szCs w:val="16"/>
              </w:rPr>
            </w:pPr>
            <w:r>
              <w:rPr>
                <w:b/>
                <w:sz w:val="16"/>
                <w:szCs w:val="16"/>
              </w:rPr>
              <w:t>637</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145</w:t>
            </w:r>
          </w:p>
        </w:tc>
        <w:tc>
          <w:tcPr>
            <w:tcW w:w="272" w:type="pct"/>
            <w:vAlign w:val="center"/>
          </w:tcPr>
          <w:p>
            <w:pPr>
              <w:autoSpaceDE w:val="0"/>
              <w:autoSpaceDN w:val="0"/>
              <w:adjustRightInd w:val="0"/>
              <w:jc w:val="center"/>
              <w:rPr>
                <w:b/>
                <w:sz w:val="16"/>
                <w:szCs w:val="16"/>
              </w:rPr>
            </w:pPr>
            <w:r>
              <w:rPr>
                <w:b/>
                <w:sz w:val="16"/>
                <w:szCs w:val="16"/>
              </w:rPr>
              <w:t>192</w:t>
            </w:r>
          </w:p>
        </w:tc>
        <w:tc>
          <w:tcPr>
            <w:tcW w:w="391" w:type="pct"/>
            <w:vAlign w:val="center"/>
          </w:tcPr>
          <w:p>
            <w:pPr>
              <w:autoSpaceDE w:val="0"/>
              <w:autoSpaceDN w:val="0"/>
              <w:adjustRightInd w:val="0"/>
              <w:jc w:val="center"/>
              <w:rPr>
                <w:sz w:val="16"/>
                <w:szCs w:val="16"/>
              </w:rPr>
            </w:pPr>
            <w:r>
              <w:rPr>
                <w:sz w:val="16"/>
                <w:szCs w:val="16"/>
              </w:rPr>
              <w:t>207</w:t>
            </w:r>
          </w:p>
        </w:tc>
        <w:tc>
          <w:tcPr>
            <w:tcW w:w="296" w:type="pct"/>
            <w:vAlign w:val="center"/>
          </w:tcPr>
          <w:p>
            <w:pPr>
              <w:autoSpaceDE w:val="0"/>
              <w:autoSpaceDN w:val="0"/>
              <w:adjustRightInd w:val="0"/>
              <w:jc w:val="center"/>
              <w:rPr>
                <w:b/>
                <w:sz w:val="16"/>
                <w:szCs w:val="16"/>
              </w:rPr>
            </w:pPr>
            <w:r>
              <w:rPr>
                <w:b/>
                <w:sz w:val="16"/>
                <w:szCs w:val="16"/>
              </w:rPr>
              <w:t>266</w:t>
            </w:r>
          </w:p>
        </w:tc>
        <w:tc>
          <w:tcPr>
            <w:tcW w:w="391" w:type="pct"/>
            <w:vAlign w:val="center"/>
          </w:tcPr>
          <w:p>
            <w:pPr>
              <w:autoSpaceDE w:val="0"/>
              <w:autoSpaceDN w:val="0"/>
              <w:adjustRightInd w:val="0"/>
              <w:jc w:val="center"/>
              <w:rPr>
                <w:sz w:val="16"/>
                <w:szCs w:val="16"/>
              </w:rPr>
            </w:pPr>
            <w:r>
              <w:rPr>
                <w:sz w:val="16"/>
                <w:szCs w:val="16"/>
              </w:rPr>
              <w:t>269</w:t>
            </w:r>
          </w:p>
        </w:tc>
        <w:tc>
          <w:tcPr>
            <w:tcW w:w="296" w:type="pct"/>
            <w:vAlign w:val="center"/>
          </w:tcPr>
          <w:p>
            <w:pPr>
              <w:autoSpaceDE w:val="0"/>
              <w:autoSpaceDN w:val="0"/>
              <w:adjustRightInd w:val="0"/>
              <w:jc w:val="center"/>
              <w:rPr>
                <w:b/>
                <w:sz w:val="16"/>
                <w:szCs w:val="16"/>
              </w:rPr>
            </w:pPr>
            <w:r>
              <w:rPr>
                <w:b/>
                <w:sz w:val="16"/>
                <w:szCs w:val="16"/>
              </w:rPr>
              <w:t>341</w:t>
            </w:r>
          </w:p>
        </w:tc>
        <w:tc>
          <w:tcPr>
            <w:tcW w:w="391" w:type="pct"/>
            <w:vAlign w:val="center"/>
          </w:tcPr>
          <w:p>
            <w:pPr>
              <w:autoSpaceDE w:val="0"/>
              <w:autoSpaceDN w:val="0"/>
              <w:adjustRightInd w:val="0"/>
              <w:jc w:val="center"/>
              <w:rPr>
                <w:sz w:val="16"/>
                <w:szCs w:val="16"/>
              </w:rPr>
            </w:pPr>
            <w:r>
              <w:rPr>
                <w:sz w:val="16"/>
                <w:szCs w:val="16"/>
              </w:rPr>
              <w:t>331</w:t>
            </w:r>
          </w:p>
        </w:tc>
        <w:tc>
          <w:tcPr>
            <w:tcW w:w="296" w:type="pct"/>
            <w:vAlign w:val="center"/>
          </w:tcPr>
          <w:p>
            <w:pPr>
              <w:autoSpaceDE w:val="0"/>
              <w:autoSpaceDN w:val="0"/>
              <w:adjustRightInd w:val="0"/>
              <w:jc w:val="center"/>
              <w:rPr>
                <w:b/>
                <w:sz w:val="16"/>
                <w:szCs w:val="16"/>
              </w:rPr>
            </w:pPr>
            <w:r>
              <w:rPr>
                <w:b/>
                <w:sz w:val="16"/>
                <w:szCs w:val="16"/>
              </w:rPr>
              <w:t>415</w:t>
            </w:r>
          </w:p>
        </w:tc>
        <w:tc>
          <w:tcPr>
            <w:tcW w:w="391" w:type="pct"/>
            <w:vAlign w:val="center"/>
          </w:tcPr>
          <w:p>
            <w:pPr>
              <w:autoSpaceDE w:val="0"/>
              <w:autoSpaceDN w:val="0"/>
              <w:adjustRightInd w:val="0"/>
              <w:jc w:val="center"/>
              <w:rPr>
                <w:sz w:val="16"/>
                <w:szCs w:val="16"/>
              </w:rPr>
            </w:pPr>
            <w:r>
              <w:rPr>
                <w:sz w:val="16"/>
                <w:szCs w:val="16"/>
              </w:rPr>
              <w:t>393</w:t>
            </w:r>
          </w:p>
        </w:tc>
        <w:tc>
          <w:tcPr>
            <w:tcW w:w="296" w:type="pct"/>
            <w:vAlign w:val="center"/>
          </w:tcPr>
          <w:p>
            <w:pPr>
              <w:autoSpaceDE w:val="0"/>
              <w:autoSpaceDN w:val="0"/>
              <w:adjustRightInd w:val="0"/>
              <w:jc w:val="center"/>
              <w:rPr>
                <w:b/>
                <w:sz w:val="16"/>
                <w:szCs w:val="16"/>
              </w:rPr>
            </w:pPr>
            <w:r>
              <w:rPr>
                <w:b/>
                <w:sz w:val="16"/>
                <w:szCs w:val="16"/>
              </w:rPr>
              <w:t>490</w:t>
            </w:r>
          </w:p>
        </w:tc>
        <w:tc>
          <w:tcPr>
            <w:tcW w:w="391" w:type="pct"/>
            <w:vAlign w:val="center"/>
          </w:tcPr>
          <w:p>
            <w:pPr>
              <w:autoSpaceDE w:val="0"/>
              <w:autoSpaceDN w:val="0"/>
              <w:adjustRightInd w:val="0"/>
              <w:jc w:val="center"/>
              <w:rPr>
                <w:sz w:val="16"/>
                <w:szCs w:val="16"/>
              </w:rPr>
            </w:pPr>
            <w:r>
              <w:rPr>
                <w:sz w:val="16"/>
                <w:szCs w:val="16"/>
              </w:rPr>
              <w:t>455</w:t>
            </w:r>
          </w:p>
        </w:tc>
        <w:tc>
          <w:tcPr>
            <w:tcW w:w="296" w:type="pct"/>
            <w:vAlign w:val="center"/>
          </w:tcPr>
          <w:p>
            <w:pPr>
              <w:autoSpaceDE w:val="0"/>
              <w:autoSpaceDN w:val="0"/>
              <w:adjustRightInd w:val="0"/>
              <w:jc w:val="center"/>
              <w:rPr>
                <w:b/>
                <w:sz w:val="16"/>
                <w:szCs w:val="16"/>
              </w:rPr>
            </w:pPr>
            <w:r>
              <w:rPr>
                <w:b/>
                <w:sz w:val="16"/>
                <w:szCs w:val="16"/>
              </w:rPr>
              <w:t>564</w:t>
            </w:r>
          </w:p>
        </w:tc>
        <w:tc>
          <w:tcPr>
            <w:tcW w:w="391" w:type="pct"/>
            <w:vAlign w:val="bottom"/>
          </w:tcPr>
          <w:p>
            <w:pPr>
              <w:jc w:val="center"/>
              <w:rPr>
                <w:rFonts w:eastAsia="Arial Unicode MS"/>
                <w:sz w:val="16"/>
                <w:szCs w:val="16"/>
              </w:rPr>
            </w:pPr>
            <w:r>
              <w:rPr>
                <w:sz w:val="16"/>
                <w:szCs w:val="16"/>
              </w:rPr>
              <w:t>517</w:t>
            </w:r>
          </w:p>
        </w:tc>
        <w:tc>
          <w:tcPr>
            <w:tcW w:w="429" w:type="pct"/>
          </w:tcPr>
          <w:p>
            <w:pPr>
              <w:autoSpaceDE w:val="0"/>
              <w:autoSpaceDN w:val="0"/>
              <w:adjustRightInd w:val="0"/>
              <w:jc w:val="center"/>
              <w:rPr>
                <w:b/>
                <w:sz w:val="16"/>
                <w:szCs w:val="16"/>
              </w:rPr>
            </w:pPr>
            <w:r>
              <w:rPr>
                <w:b/>
                <w:sz w:val="16"/>
                <w:szCs w:val="16"/>
              </w:rPr>
              <w:t>638</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146</w:t>
            </w:r>
          </w:p>
        </w:tc>
        <w:tc>
          <w:tcPr>
            <w:tcW w:w="272" w:type="pct"/>
            <w:vAlign w:val="center"/>
          </w:tcPr>
          <w:p>
            <w:pPr>
              <w:autoSpaceDE w:val="0"/>
              <w:autoSpaceDN w:val="0"/>
              <w:adjustRightInd w:val="0"/>
              <w:jc w:val="center"/>
              <w:rPr>
                <w:b/>
                <w:sz w:val="16"/>
                <w:szCs w:val="16"/>
              </w:rPr>
            </w:pPr>
            <w:r>
              <w:rPr>
                <w:b/>
                <w:sz w:val="16"/>
                <w:szCs w:val="16"/>
              </w:rPr>
              <w:t>193</w:t>
            </w:r>
          </w:p>
        </w:tc>
        <w:tc>
          <w:tcPr>
            <w:tcW w:w="391" w:type="pct"/>
            <w:vAlign w:val="center"/>
          </w:tcPr>
          <w:p>
            <w:pPr>
              <w:autoSpaceDE w:val="0"/>
              <w:autoSpaceDN w:val="0"/>
              <w:adjustRightInd w:val="0"/>
              <w:jc w:val="center"/>
              <w:rPr>
                <w:sz w:val="16"/>
                <w:szCs w:val="16"/>
              </w:rPr>
            </w:pPr>
            <w:r>
              <w:rPr>
                <w:sz w:val="16"/>
                <w:szCs w:val="16"/>
              </w:rPr>
              <w:t>208</w:t>
            </w:r>
          </w:p>
        </w:tc>
        <w:tc>
          <w:tcPr>
            <w:tcW w:w="296" w:type="pct"/>
            <w:vAlign w:val="center"/>
          </w:tcPr>
          <w:p>
            <w:pPr>
              <w:autoSpaceDE w:val="0"/>
              <w:autoSpaceDN w:val="0"/>
              <w:adjustRightInd w:val="0"/>
              <w:jc w:val="center"/>
              <w:rPr>
                <w:b/>
                <w:sz w:val="16"/>
                <w:szCs w:val="16"/>
              </w:rPr>
            </w:pPr>
            <w:r>
              <w:rPr>
                <w:b/>
                <w:sz w:val="16"/>
                <w:szCs w:val="16"/>
              </w:rPr>
              <w:t>268</w:t>
            </w:r>
          </w:p>
        </w:tc>
        <w:tc>
          <w:tcPr>
            <w:tcW w:w="391" w:type="pct"/>
            <w:vAlign w:val="center"/>
          </w:tcPr>
          <w:p>
            <w:pPr>
              <w:autoSpaceDE w:val="0"/>
              <w:autoSpaceDN w:val="0"/>
              <w:adjustRightInd w:val="0"/>
              <w:jc w:val="center"/>
              <w:rPr>
                <w:sz w:val="16"/>
                <w:szCs w:val="16"/>
              </w:rPr>
            </w:pPr>
            <w:r>
              <w:rPr>
                <w:sz w:val="16"/>
                <w:szCs w:val="16"/>
              </w:rPr>
              <w:t>270</w:t>
            </w:r>
          </w:p>
        </w:tc>
        <w:tc>
          <w:tcPr>
            <w:tcW w:w="296" w:type="pct"/>
            <w:vAlign w:val="center"/>
          </w:tcPr>
          <w:p>
            <w:pPr>
              <w:autoSpaceDE w:val="0"/>
              <w:autoSpaceDN w:val="0"/>
              <w:adjustRightInd w:val="0"/>
              <w:jc w:val="center"/>
              <w:rPr>
                <w:b/>
                <w:sz w:val="16"/>
                <w:szCs w:val="16"/>
              </w:rPr>
            </w:pPr>
            <w:r>
              <w:rPr>
                <w:b/>
                <w:sz w:val="16"/>
                <w:szCs w:val="16"/>
              </w:rPr>
              <w:t>342</w:t>
            </w:r>
          </w:p>
        </w:tc>
        <w:tc>
          <w:tcPr>
            <w:tcW w:w="391" w:type="pct"/>
            <w:vAlign w:val="center"/>
          </w:tcPr>
          <w:p>
            <w:pPr>
              <w:autoSpaceDE w:val="0"/>
              <w:autoSpaceDN w:val="0"/>
              <w:adjustRightInd w:val="0"/>
              <w:jc w:val="center"/>
              <w:rPr>
                <w:sz w:val="16"/>
                <w:szCs w:val="16"/>
              </w:rPr>
            </w:pPr>
            <w:r>
              <w:rPr>
                <w:sz w:val="16"/>
                <w:szCs w:val="16"/>
              </w:rPr>
              <w:t>332</w:t>
            </w:r>
          </w:p>
        </w:tc>
        <w:tc>
          <w:tcPr>
            <w:tcW w:w="296" w:type="pct"/>
            <w:vAlign w:val="center"/>
          </w:tcPr>
          <w:p>
            <w:pPr>
              <w:autoSpaceDE w:val="0"/>
              <w:autoSpaceDN w:val="0"/>
              <w:adjustRightInd w:val="0"/>
              <w:jc w:val="center"/>
              <w:rPr>
                <w:b/>
                <w:sz w:val="16"/>
                <w:szCs w:val="16"/>
              </w:rPr>
            </w:pPr>
            <w:r>
              <w:rPr>
                <w:b/>
                <w:sz w:val="16"/>
                <w:szCs w:val="16"/>
              </w:rPr>
              <w:t>416</w:t>
            </w:r>
          </w:p>
        </w:tc>
        <w:tc>
          <w:tcPr>
            <w:tcW w:w="391" w:type="pct"/>
            <w:vAlign w:val="center"/>
          </w:tcPr>
          <w:p>
            <w:pPr>
              <w:autoSpaceDE w:val="0"/>
              <w:autoSpaceDN w:val="0"/>
              <w:adjustRightInd w:val="0"/>
              <w:jc w:val="center"/>
              <w:rPr>
                <w:sz w:val="16"/>
                <w:szCs w:val="16"/>
              </w:rPr>
            </w:pPr>
            <w:r>
              <w:rPr>
                <w:sz w:val="16"/>
                <w:szCs w:val="16"/>
              </w:rPr>
              <w:t>394</w:t>
            </w:r>
          </w:p>
        </w:tc>
        <w:tc>
          <w:tcPr>
            <w:tcW w:w="296" w:type="pct"/>
            <w:vAlign w:val="center"/>
          </w:tcPr>
          <w:p>
            <w:pPr>
              <w:autoSpaceDE w:val="0"/>
              <w:autoSpaceDN w:val="0"/>
              <w:adjustRightInd w:val="0"/>
              <w:jc w:val="center"/>
              <w:rPr>
                <w:b/>
                <w:sz w:val="16"/>
                <w:szCs w:val="16"/>
              </w:rPr>
            </w:pPr>
            <w:r>
              <w:rPr>
                <w:b/>
                <w:sz w:val="16"/>
                <w:szCs w:val="16"/>
              </w:rPr>
              <w:t>491</w:t>
            </w:r>
          </w:p>
        </w:tc>
        <w:tc>
          <w:tcPr>
            <w:tcW w:w="391" w:type="pct"/>
            <w:vAlign w:val="center"/>
          </w:tcPr>
          <w:p>
            <w:pPr>
              <w:autoSpaceDE w:val="0"/>
              <w:autoSpaceDN w:val="0"/>
              <w:adjustRightInd w:val="0"/>
              <w:jc w:val="center"/>
              <w:rPr>
                <w:sz w:val="16"/>
                <w:szCs w:val="16"/>
              </w:rPr>
            </w:pPr>
            <w:r>
              <w:rPr>
                <w:sz w:val="16"/>
                <w:szCs w:val="16"/>
              </w:rPr>
              <w:t>456</w:t>
            </w:r>
          </w:p>
        </w:tc>
        <w:tc>
          <w:tcPr>
            <w:tcW w:w="296" w:type="pct"/>
            <w:vAlign w:val="center"/>
          </w:tcPr>
          <w:p>
            <w:pPr>
              <w:autoSpaceDE w:val="0"/>
              <w:autoSpaceDN w:val="0"/>
              <w:adjustRightInd w:val="0"/>
              <w:jc w:val="center"/>
              <w:rPr>
                <w:b/>
                <w:sz w:val="16"/>
                <w:szCs w:val="16"/>
              </w:rPr>
            </w:pPr>
            <w:r>
              <w:rPr>
                <w:b/>
                <w:sz w:val="16"/>
                <w:szCs w:val="16"/>
              </w:rPr>
              <w:t>565</w:t>
            </w:r>
          </w:p>
        </w:tc>
        <w:tc>
          <w:tcPr>
            <w:tcW w:w="391" w:type="pct"/>
            <w:vAlign w:val="bottom"/>
          </w:tcPr>
          <w:p>
            <w:pPr>
              <w:jc w:val="center"/>
              <w:rPr>
                <w:rFonts w:eastAsia="Arial Unicode MS"/>
                <w:sz w:val="16"/>
                <w:szCs w:val="16"/>
              </w:rPr>
            </w:pPr>
            <w:r>
              <w:rPr>
                <w:sz w:val="16"/>
                <w:szCs w:val="16"/>
              </w:rPr>
              <w:t>518</w:t>
            </w:r>
          </w:p>
        </w:tc>
        <w:tc>
          <w:tcPr>
            <w:tcW w:w="429" w:type="pct"/>
          </w:tcPr>
          <w:p>
            <w:pPr>
              <w:autoSpaceDE w:val="0"/>
              <w:autoSpaceDN w:val="0"/>
              <w:adjustRightInd w:val="0"/>
              <w:jc w:val="center"/>
              <w:rPr>
                <w:b/>
                <w:sz w:val="16"/>
                <w:szCs w:val="16"/>
              </w:rPr>
            </w:pPr>
            <w:r>
              <w:rPr>
                <w:b/>
                <w:sz w:val="16"/>
                <w:szCs w:val="16"/>
              </w:rPr>
              <w:t>640</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147</w:t>
            </w:r>
          </w:p>
        </w:tc>
        <w:tc>
          <w:tcPr>
            <w:tcW w:w="272" w:type="pct"/>
            <w:vAlign w:val="center"/>
          </w:tcPr>
          <w:p>
            <w:pPr>
              <w:autoSpaceDE w:val="0"/>
              <w:autoSpaceDN w:val="0"/>
              <w:adjustRightInd w:val="0"/>
              <w:jc w:val="center"/>
              <w:rPr>
                <w:b/>
                <w:sz w:val="16"/>
                <w:szCs w:val="16"/>
              </w:rPr>
            </w:pPr>
            <w:r>
              <w:rPr>
                <w:b/>
                <w:sz w:val="16"/>
                <w:szCs w:val="16"/>
              </w:rPr>
              <w:t>194</w:t>
            </w:r>
          </w:p>
        </w:tc>
        <w:tc>
          <w:tcPr>
            <w:tcW w:w="391" w:type="pct"/>
            <w:vAlign w:val="center"/>
          </w:tcPr>
          <w:p>
            <w:pPr>
              <w:autoSpaceDE w:val="0"/>
              <w:autoSpaceDN w:val="0"/>
              <w:adjustRightInd w:val="0"/>
              <w:jc w:val="center"/>
              <w:rPr>
                <w:sz w:val="16"/>
                <w:szCs w:val="16"/>
              </w:rPr>
            </w:pPr>
            <w:r>
              <w:rPr>
                <w:sz w:val="16"/>
                <w:szCs w:val="16"/>
              </w:rPr>
              <w:t>209</w:t>
            </w:r>
          </w:p>
        </w:tc>
        <w:tc>
          <w:tcPr>
            <w:tcW w:w="296" w:type="pct"/>
            <w:vAlign w:val="center"/>
          </w:tcPr>
          <w:p>
            <w:pPr>
              <w:autoSpaceDE w:val="0"/>
              <w:autoSpaceDN w:val="0"/>
              <w:adjustRightInd w:val="0"/>
              <w:jc w:val="center"/>
              <w:rPr>
                <w:b/>
                <w:sz w:val="16"/>
                <w:szCs w:val="16"/>
              </w:rPr>
            </w:pPr>
            <w:r>
              <w:rPr>
                <w:b/>
                <w:sz w:val="16"/>
                <w:szCs w:val="16"/>
              </w:rPr>
              <w:t>269</w:t>
            </w:r>
          </w:p>
        </w:tc>
        <w:tc>
          <w:tcPr>
            <w:tcW w:w="391" w:type="pct"/>
            <w:vAlign w:val="center"/>
          </w:tcPr>
          <w:p>
            <w:pPr>
              <w:autoSpaceDE w:val="0"/>
              <w:autoSpaceDN w:val="0"/>
              <w:adjustRightInd w:val="0"/>
              <w:jc w:val="center"/>
              <w:rPr>
                <w:sz w:val="16"/>
                <w:szCs w:val="16"/>
              </w:rPr>
            </w:pPr>
            <w:r>
              <w:rPr>
                <w:sz w:val="16"/>
                <w:szCs w:val="16"/>
              </w:rPr>
              <w:t>271</w:t>
            </w:r>
          </w:p>
        </w:tc>
        <w:tc>
          <w:tcPr>
            <w:tcW w:w="296" w:type="pct"/>
            <w:vAlign w:val="center"/>
          </w:tcPr>
          <w:p>
            <w:pPr>
              <w:autoSpaceDE w:val="0"/>
              <w:autoSpaceDN w:val="0"/>
              <w:adjustRightInd w:val="0"/>
              <w:jc w:val="center"/>
              <w:rPr>
                <w:b/>
                <w:sz w:val="16"/>
                <w:szCs w:val="16"/>
              </w:rPr>
            </w:pPr>
            <w:r>
              <w:rPr>
                <w:b/>
                <w:sz w:val="16"/>
                <w:szCs w:val="16"/>
              </w:rPr>
              <w:t>343</w:t>
            </w:r>
          </w:p>
        </w:tc>
        <w:tc>
          <w:tcPr>
            <w:tcW w:w="391" w:type="pct"/>
            <w:vAlign w:val="center"/>
          </w:tcPr>
          <w:p>
            <w:pPr>
              <w:autoSpaceDE w:val="0"/>
              <w:autoSpaceDN w:val="0"/>
              <w:adjustRightInd w:val="0"/>
              <w:jc w:val="center"/>
              <w:rPr>
                <w:sz w:val="16"/>
                <w:szCs w:val="16"/>
              </w:rPr>
            </w:pPr>
            <w:r>
              <w:rPr>
                <w:sz w:val="16"/>
                <w:szCs w:val="16"/>
              </w:rPr>
              <w:t>333</w:t>
            </w:r>
          </w:p>
        </w:tc>
        <w:tc>
          <w:tcPr>
            <w:tcW w:w="296" w:type="pct"/>
            <w:vAlign w:val="center"/>
          </w:tcPr>
          <w:p>
            <w:pPr>
              <w:autoSpaceDE w:val="0"/>
              <w:autoSpaceDN w:val="0"/>
              <w:adjustRightInd w:val="0"/>
              <w:jc w:val="center"/>
              <w:rPr>
                <w:b/>
                <w:sz w:val="16"/>
                <w:szCs w:val="16"/>
              </w:rPr>
            </w:pPr>
            <w:r>
              <w:rPr>
                <w:b/>
                <w:sz w:val="16"/>
                <w:szCs w:val="16"/>
              </w:rPr>
              <w:t>418</w:t>
            </w:r>
          </w:p>
        </w:tc>
        <w:tc>
          <w:tcPr>
            <w:tcW w:w="391" w:type="pct"/>
            <w:vAlign w:val="center"/>
          </w:tcPr>
          <w:p>
            <w:pPr>
              <w:autoSpaceDE w:val="0"/>
              <w:autoSpaceDN w:val="0"/>
              <w:adjustRightInd w:val="0"/>
              <w:jc w:val="center"/>
              <w:rPr>
                <w:sz w:val="16"/>
                <w:szCs w:val="16"/>
              </w:rPr>
            </w:pPr>
            <w:r>
              <w:rPr>
                <w:sz w:val="16"/>
                <w:szCs w:val="16"/>
              </w:rPr>
              <w:t>395</w:t>
            </w:r>
          </w:p>
        </w:tc>
        <w:tc>
          <w:tcPr>
            <w:tcW w:w="296" w:type="pct"/>
            <w:vAlign w:val="center"/>
          </w:tcPr>
          <w:p>
            <w:pPr>
              <w:autoSpaceDE w:val="0"/>
              <w:autoSpaceDN w:val="0"/>
              <w:adjustRightInd w:val="0"/>
              <w:jc w:val="center"/>
              <w:rPr>
                <w:b/>
                <w:sz w:val="16"/>
                <w:szCs w:val="16"/>
              </w:rPr>
            </w:pPr>
            <w:r>
              <w:rPr>
                <w:b/>
                <w:sz w:val="16"/>
                <w:szCs w:val="16"/>
              </w:rPr>
              <w:t>492</w:t>
            </w:r>
          </w:p>
        </w:tc>
        <w:tc>
          <w:tcPr>
            <w:tcW w:w="391" w:type="pct"/>
            <w:vAlign w:val="center"/>
          </w:tcPr>
          <w:p>
            <w:pPr>
              <w:autoSpaceDE w:val="0"/>
              <w:autoSpaceDN w:val="0"/>
              <w:adjustRightInd w:val="0"/>
              <w:jc w:val="center"/>
              <w:rPr>
                <w:sz w:val="16"/>
                <w:szCs w:val="16"/>
              </w:rPr>
            </w:pPr>
            <w:r>
              <w:rPr>
                <w:sz w:val="16"/>
                <w:szCs w:val="16"/>
              </w:rPr>
              <w:t>457</w:t>
            </w:r>
          </w:p>
        </w:tc>
        <w:tc>
          <w:tcPr>
            <w:tcW w:w="296" w:type="pct"/>
            <w:vAlign w:val="center"/>
          </w:tcPr>
          <w:p>
            <w:pPr>
              <w:autoSpaceDE w:val="0"/>
              <w:autoSpaceDN w:val="0"/>
              <w:adjustRightInd w:val="0"/>
              <w:jc w:val="center"/>
              <w:rPr>
                <w:b/>
                <w:sz w:val="16"/>
                <w:szCs w:val="16"/>
              </w:rPr>
            </w:pPr>
            <w:r>
              <w:rPr>
                <w:b/>
                <w:sz w:val="16"/>
                <w:szCs w:val="16"/>
              </w:rPr>
              <w:t>566</w:t>
            </w:r>
          </w:p>
        </w:tc>
        <w:tc>
          <w:tcPr>
            <w:tcW w:w="391" w:type="pct"/>
            <w:vAlign w:val="bottom"/>
          </w:tcPr>
          <w:p>
            <w:pPr>
              <w:jc w:val="center"/>
              <w:rPr>
                <w:rFonts w:eastAsia="Arial Unicode MS"/>
                <w:sz w:val="16"/>
                <w:szCs w:val="16"/>
              </w:rPr>
            </w:pPr>
            <w:r>
              <w:rPr>
                <w:sz w:val="16"/>
                <w:szCs w:val="16"/>
              </w:rPr>
              <w:t>519</w:t>
            </w:r>
          </w:p>
        </w:tc>
        <w:tc>
          <w:tcPr>
            <w:tcW w:w="429" w:type="pct"/>
          </w:tcPr>
          <w:p>
            <w:pPr>
              <w:autoSpaceDE w:val="0"/>
              <w:autoSpaceDN w:val="0"/>
              <w:adjustRightInd w:val="0"/>
              <w:jc w:val="center"/>
              <w:rPr>
                <w:b/>
                <w:sz w:val="16"/>
                <w:szCs w:val="16"/>
              </w:rPr>
            </w:pPr>
            <w:r>
              <w:rPr>
                <w:b/>
                <w:sz w:val="16"/>
                <w:szCs w:val="16"/>
              </w:rPr>
              <w:t>641</w:t>
            </w:r>
          </w:p>
        </w:tc>
      </w:tr>
      <w:tr>
        <w:trPr>
          <w:trHeight w:hRule="exact" w:val="204"/>
          <w:jc w:val="center"/>
        </w:trPr>
        <w:tc>
          <w:tcPr>
            <w:tcW w:w="473" w:type="pct"/>
            <w:vAlign w:val="center"/>
          </w:tcPr>
          <w:p>
            <w:pPr>
              <w:autoSpaceDE w:val="0"/>
              <w:autoSpaceDN w:val="0"/>
              <w:adjustRightInd w:val="0"/>
              <w:ind w:right="-70"/>
              <w:jc w:val="center"/>
              <w:rPr>
                <w:sz w:val="16"/>
                <w:szCs w:val="16"/>
              </w:rPr>
            </w:pPr>
            <w:r>
              <w:rPr>
                <w:sz w:val="16"/>
                <w:szCs w:val="16"/>
              </w:rPr>
              <w:t>148</w:t>
            </w:r>
          </w:p>
        </w:tc>
        <w:tc>
          <w:tcPr>
            <w:tcW w:w="272" w:type="pct"/>
            <w:vAlign w:val="center"/>
          </w:tcPr>
          <w:p>
            <w:pPr>
              <w:autoSpaceDE w:val="0"/>
              <w:autoSpaceDN w:val="0"/>
              <w:adjustRightInd w:val="0"/>
              <w:jc w:val="center"/>
              <w:rPr>
                <w:b/>
                <w:sz w:val="16"/>
                <w:szCs w:val="16"/>
              </w:rPr>
            </w:pPr>
            <w:r>
              <w:rPr>
                <w:b/>
                <w:sz w:val="16"/>
                <w:szCs w:val="16"/>
              </w:rPr>
              <w:t>196</w:t>
            </w:r>
          </w:p>
        </w:tc>
        <w:tc>
          <w:tcPr>
            <w:tcW w:w="391" w:type="pct"/>
            <w:vAlign w:val="center"/>
          </w:tcPr>
          <w:p>
            <w:pPr>
              <w:autoSpaceDE w:val="0"/>
              <w:autoSpaceDN w:val="0"/>
              <w:adjustRightInd w:val="0"/>
              <w:jc w:val="center"/>
              <w:rPr>
                <w:sz w:val="16"/>
                <w:szCs w:val="16"/>
              </w:rPr>
            </w:pPr>
            <w:r>
              <w:rPr>
                <w:sz w:val="16"/>
                <w:szCs w:val="16"/>
              </w:rPr>
              <w:t>210</w:t>
            </w:r>
          </w:p>
        </w:tc>
        <w:tc>
          <w:tcPr>
            <w:tcW w:w="296" w:type="pct"/>
            <w:vAlign w:val="center"/>
          </w:tcPr>
          <w:p>
            <w:pPr>
              <w:autoSpaceDE w:val="0"/>
              <w:autoSpaceDN w:val="0"/>
              <w:adjustRightInd w:val="0"/>
              <w:jc w:val="center"/>
              <w:rPr>
                <w:b/>
                <w:sz w:val="16"/>
                <w:szCs w:val="16"/>
              </w:rPr>
            </w:pPr>
            <w:r>
              <w:rPr>
                <w:b/>
                <w:sz w:val="16"/>
                <w:szCs w:val="16"/>
              </w:rPr>
              <w:t>270</w:t>
            </w:r>
          </w:p>
        </w:tc>
        <w:tc>
          <w:tcPr>
            <w:tcW w:w="391" w:type="pct"/>
            <w:vAlign w:val="center"/>
          </w:tcPr>
          <w:p>
            <w:pPr>
              <w:autoSpaceDE w:val="0"/>
              <w:autoSpaceDN w:val="0"/>
              <w:adjustRightInd w:val="0"/>
              <w:jc w:val="center"/>
              <w:rPr>
                <w:sz w:val="16"/>
                <w:szCs w:val="16"/>
              </w:rPr>
            </w:pPr>
            <w:r>
              <w:rPr>
                <w:sz w:val="16"/>
                <w:szCs w:val="16"/>
              </w:rPr>
              <w:t>272</w:t>
            </w:r>
          </w:p>
        </w:tc>
        <w:tc>
          <w:tcPr>
            <w:tcW w:w="296" w:type="pct"/>
            <w:vAlign w:val="center"/>
          </w:tcPr>
          <w:p>
            <w:pPr>
              <w:autoSpaceDE w:val="0"/>
              <w:autoSpaceDN w:val="0"/>
              <w:adjustRightInd w:val="0"/>
              <w:jc w:val="center"/>
              <w:rPr>
                <w:b/>
                <w:sz w:val="16"/>
                <w:szCs w:val="16"/>
              </w:rPr>
            </w:pPr>
            <w:r>
              <w:rPr>
                <w:b/>
                <w:sz w:val="16"/>
                <w:szCs w:val="16"/>
              </w:rPr>
              <w:t>344</w:t>
            </w:r>
          </w:p>
        </w:tc>
        <w:tc>
          <w:tcPr>
            <w:tcW w:w="391" w:type="pct"/>
            <w:vAlign w:val="center"/>
          </w:tcPr>
          <w:p>
            <w:pPr>
              <w:autoSpaceDE w:val="0"/>
              <w:autoSpaceDN w:val="0"/>
              <w:adjustRightInd w:val="0"/>
              <w:jc w:val="center"/>
              <w:rPr>
                <w:sz w:val="16"/>
                <w:szCs w:val="16"/>
              </w:rPr>
            </w:pPr>
            <w:r>
              <w:rPr>
                <w:sz w:val="16"/>
                <w:szCs w:val="16"/>
              </w:rPr>
              <w:t>334</w:t>
            </w:r>
          </w:p>
        </w:tc>
        <w:tc>
          <w:tcPr>
            <w:tcW w:w="296" w:type="pct"/>
            <w:vAlign w:val="center"/>
          </w:tcPr>
          <w:p>
            <w:pPr>
              <w:autoSpaceDE w:val="0"/>
              <w:autoSpaceDN w:val="0"/>
              <w:adjustRightInd w:val="0"/>
              <w:jc w:val="center"/>
              <w:rPr>
                <w:b/>
                <w:sz w:val="16"/>
                <w:szCs w:val="16"/>
              </w:rPr>
            </w:pPr>
            <w:r>
              <w:rPr>
                <w:b/>
                <w:sz w:val="16"/>
                <w:szCs w:val="16"/>
              </w:rPr>
              <w:t>419</w:t>
            </w:r>
          </w:p>
        </w:tc>
        <w:tc>
          <w:tcPr>
            <w:tcW w:w="391" w:type="pct"/>
            <w:vAlign w:val="center"/>
          </w:tcPr>
          <w:p>
            <w:pPr>
              <w:autoSpaceDE w:val="0"/>
              <w:autoSpaceDN w:val="0"/>
              <w:adjustRightInd w:val="0"/>
              <w:jc w:val="center"/>
              <w:rPr>
                <w:sz w:val="16"/>
                <w:szCs w:val="16"/>
              </w:rPr>
            </w:pPr>
            <w:r>
              <w:rPr>
                <w:sz w:val="16"/>
                <w:szCs w:val="16"/>
              </w:rPr>
              <w:t>396</w:t>
            </w:r>
          </w:p>
        </w:tc>
        <w:tc>
          <w:tcPr>
            <w:tcW w:w="296" w:type="pct"/>
            <w:vAlign w:val="center"/>
          </w:tcPr>
          <w:p>
            <w:pPr>
              <w:autoSpaceDE w:val="0"/>
              <w:autoSpaceDN w:val="0"/>
              <w:adjustRightInd w:val="0"/>
              <w:jc w:val="center"/>
              <w:rPr>
                <w:b/>
                <w:sz w:val="16"/>
                <w:szCs w:val="16"/>
              </w:rPr>
            </w:pPr>
            <w:r>
              <w:rPr>
                <w:b/>
                <w:sz w:val="16"/>
                <w:szCs w:val="16"/>
              </w:rPr>
              <w:t>493</w:t>
            </w:r>
          </w:p>
        </w:tc>
        <w:tc>
          <w:tcPr>
            <w:tcW w:w="391" w:type="pct"/>
            <w:vAlign w:val="center"/>
          </w:tcPr>
          <w:p>
            <w:pPr>
              <w:autoSpaceDE w:val="0"/>
              <w:autoSpaceDN w:val="0"/>
              <w:adjustRightInd w:val="0"/>
              <w:jc w:val="center"/>
              <w:rPr>
                <w:sz w:val="16"/>
                <w:szCs w:val="16"/>
              </w:rPr>
            </w:pPr>
            <w:r>
              <w:rPr>
                <w:sz w:val="16"/>
                <w:szCs w:val="16"/>
              </w:rPr>
              <w:t>458</w:t>
            </w:r>
          </w:p>
        </w:tc>
        <w:tc>
          <w:tcPr>
            <w:tcW w:w="296" w:type="pct"/>
            <w:vAlign w:val="center"/>
          </w:tcPr>
          <w:p>
            <w:pPr>
              <w:autoSpaceDE w:val="0"/>
              <w:autoSpaceDN w:val="0"/>
              <w:adjustRightInd w:val="0"/>
              <w:jc w:val="center"/>
              <w:rPr>
                <w:b/>
                <w:sz w:val="16"/>
                <w:szCs w:val="16"/>
              </w:rPr>
            </w:pPr>
            <w:r>
              <w:rPr>
                <w:b/>
                <w:sz w:val="16"/>
                <w:szCs w:val="16"/>
              </w:rPr>
              <w:t>568</w:t>
            </w:r>
          </w:p>
        </w:tc>
        <w:tc>
          <w:tcPr>
            <w:tcW w:w="391" w:type="pct"/>
            <w:vAlign w:val="bottom"/>
          </w:tcPr>
          <w:p>
            <w:pPr>
              <w:jc w:val="center"/>
              <w:rPr>
                <w:rFonts w:eastAsia="Arial Unicode MS"/>
                <w:sz w:val="16"/>
                <w:szCs w:val="16"/>
              </w:rPr>
            </w:pPr>
            <w:r>
              <w:rPr>
                <w:rFonts w:eastAsia="Arial Unicode MS"/>
                <w:sz w:val="16"/>
                <w:szCs w:val="16"/>
              </w:rPr>
              <w:t>520</w:t>
            </w:r>
          </w:p>
        </w:tc>
        <w:tc>
          <w:tcPr>
            <w:tcW w:w="429" w:type="pct"/>
          </w:tcPr>
          <w:p>
            <w:pPr>
              <w:autoSpaceDE w:val="0"/>
              <w:autoSpaceDN w:val="0"/>
              <w:adjustRightInd w:val="0"/>
              <w:jc w:val="center"/>
              <w:rPr>
                <w:b/>
                <w:sz w:val="16"/>
                <w:szCs w:val="16"/>
              </w:rPr>
            </w:pPr>
            <w:r>
              <w:rPr>
                <w:b/>
                <w:sz w:val="16"/>
                <w:szCs w:val="16"/>
              </w:rPr>
              <w:t>642</w:t>
            </w:r>
          </w:p>
        </w:tc>
      </w:tr>
      <w:tr>
        <w:trPr>
          <w:trHeight w:hRule="exact" w:val="170"/>
          <w:jc w:val="center"/>
        </w:trPr>
        <w:tc>
          <w:tcPr>
            <w:tcW w:w="473" w:type="pct"/>
            <w:vAlign w:val="center"/>
          </w:tcPr>
          <w:p>
            <w:pPr>
              <w:autoSpaceDE w:val="0"/>
              <w:autoSpaceDN w:val="0"/>
              <w:adjustRightInd w:val="0"/>
              <w:ind w:right="-70"/>
              <w:jc w:val="center"/>
              <w:rPr>
                <w:sz w:val="16"/>
                <w:szCs w:val="16"/>
              </w:rPr>
            </w:pPr>
            <w:r>
              <w:rPr>
                <w:sz w:val="16"/>
                <w:szCs w:val="16"/>
              </w:rPr>
              <w:t>149</w:t>
            </w:r>
          </w:p>
        </w:tc>
        <w:tc>
          <w:tcPr>
            <w:tcW w:w="272" w:type="pct"/>
            <w:vAlign w:val="center"/>
          </w:tcPr>
          <w:p>
            <w:pPr>
              <w:autoSpaceDE w:val="0"/>
              <w:autoSpaceDN w:val="0"/>
              <w:adjustRightInd w:val="0"/>
              <w:jc w:val="center"/>
              <w:rPr>
                <w:b/>
                <w:sz w:val="16"/>
                <w:szCs w:val="16"/>
              </w:rPr>
            </w:pPr>
            <w:r>
              <w:rPr>
                <w:b/>
                <w:sz w:val="16"/>
                <w:szCs w:val="16"/>
              </w:rPr>
              <w:t>197</w:t>
            </w:r>
          </w:p>
        </w:tc>
        <w:tc>
          <w:tcPr>
            <w:tcW w:w="391" w:type="pct"/>
            <w:vAlign w:val="center"/>
          </w:tcPr>
          <w:p>
            <w:pPr>
              <w:autoSpaceDE w:val="0"/>
              <w:autoSpaceDN w:val="0"/>
              <w:adjustRightInd w:val="0"/>
              <w:jc w:val="center"/>
              <w:rPr>
                <w:sz w:val="16"/>
                <w:szCs w:val="16"/>
              </w:rPr>
            </w:pPr>
            <w:r>
              <w:rPr>
                <w:sz w:val="16"/>
                <w:szCs w:val="16"/>
              </w:rPr>
              <w:t>211</w:t>
            </w:r>
          </w:p>
        </w:tc>
        <w:tc>
          <w:tcPr>
            <w:tcW w:w="296" w:type="pct"/>
            <w:vAlign w:val="center"/>
          </w:tcPr>
          <w:p>
            <w:pPr>
              <w:autoSpaceDE w:val="0"/>
              <w:autoSpaceDN w:val="0"/>
              <w:adjustRightInd w:val="0"/>
              <w:jc w:val="center"/>
              <w:rPr>
                <w:b/>
                <w:sz w:val="16"/>
                <w:szCs w:val="16"/>
              </w:rPr>
            </w:pPr>
            <w:r>
              <w:rPr>
                <w:b/>
                <w:sz w:val="16"/>
                <w:szCs w:val="16"/>
              </w:rPr>
              <w:t>271</w:t>
            </w:r>
          </w:p>
        </w:tc>
        <w:tc>
          <w:tcPr>
            <w:tcW w:w="391" w:type="pct"/>
            <w:vAlign w:val="center"/>
          </w:tcPr>
          <w:p>
            <w:pPr>
              <w:autoSpaceDE w:val="0"/>
              <w:autoSpaceDN w:val="0"/>
              <w:adjustRightInd w:val="0"/>
              <w:jc w:val="center"/>
              <w:rPr>
                <w:sz w:val="16"/>
                <w:szCs w:val="16"/>
              </w:rPr>
            </w:pPr>
            <w:r>
              <w:rPr>
                <w:sz w:val="16"/>
                <w:szCs w:val="16"/>
              </w:rPr>
              <w:t>273</w:t>
            </w:r>
          </w:p>
        </w:tc>
        <w:tc>
          <w:tcPr>
            <w:tcW w:w="296" w:type="pct"/>
            <w:vAlign w:val="center"/>
          </w:tcPr>
          <w:p>
            <w:pPr>
              <w:autoSpaceDE w:val="0"/>
              <w:autoSpaceDN w:val="0"/>
              <w:adjustRightInd w:val="0"/>
              <w:jc w:val="center"/>
              <w:rPr>
                <w:b/>
                <w:sz w:val="16"/>
                <w:szCs w:val="16"/>
              </w:rPr>
            </w:pPr>
            <w:r>
              <w:rPr>
                <w:b/>
                <w:sz w:val="16"/>
                <w:szCs w:val="16"/>
              </w:rPr>
              <w:t>346</w:t>
            </w:r>
          </w:p>
        </w:tc>
        <w:tc>
          <w:tcPr>
            <w:tcW w:w="391" w:type="pct"/>
            <w:vAlign w:val="center"/>
          </w:tcPr>
          <w:p>
            <w:pPr>
              <w:autoSpaceDE w:val="0"/>
              <w:autoSpaceDN w:val="0"/>
              <w:adjustRightInd w:val="0"/>
              <w:jc w:val="center"/>
              <w:rPr>
                <w:sz w:val="16"/>
                <w:szCs w:val="16"/>
              </w:rPr>
            </w:pPr>
            <w:r>
              <w:rPr>
                <w:sz w:val="16"/>
                <w:szCs w:val="16"/>
              </w:rPr>
              <w:t>335</w:t>
            </w:r>
          </w:p>
        </w:tc>
        <w:tc>
          <w:tcPr>
            <w:tcW w:w="296" w:type="pct"/>
            <w:vAlign w:val="center"/>
          </w:tcPr>
          <w:p>
            <w:pPr>
              <w:autoSpaceDE w:val="0"/>
              <w:autoSpaceDN w:val="0"/>
              <w:adjustRightInd w:val="0"/>
              <w:jc w:val="center"/>
              <w:rPr>
                <w:b/>
                <w:sz w:val="16"/>
                <w:szCs w:val="16"/>
              </w:rPr>
            </w:pPr>
            <w:r>
              <w:rPr>
                <w:b/>
                <w:sz w:val="16"/>
                <w:szCs w:val="16"/>
              </w:rPr>
              <w:t>420</w:t>
            </w:r>
          </w:p>
        </w:tc>
        <w:tc>
          <w:tcPr>
            <w:tcW w:w="391" w:type="pct"/>
            <w:vAlign w:val="center"/>
          </w:tcPr>
          <w:p>
            <w:pPr>
              <w:autoSpaceDE w:val="0"/>
              <w:autoSpaceDN w:val="0"/>
              <w:adjustRightInd w:val="0"/>
              <w:jc w:val="center"/>
              <w:rPr>
                <w:sz w:val="16"/>
                <w:szCs w:val="16"/>
              </w:rPr>
            </w:pPr>
            <w:r>
              <w:rPr>
                <w:sz w:val="16"/>
                <w:szCs w:val="16"/>
              </w:rPr>
              <w:t>397</w:t>
            </w:r>
          </w:p>
        </w:tc>
        <w:tc>
          <w:tcPr>
            <w:tcW w:w="296" w:type="pct"/>
            <w:vAlign w:val="center"/>
          </w:tcPr>
          <w:p>
            <w:pPr>
              <w:autoSpaceDE w:val="0"/>
              <w:autoSpaceDN w:val="0"/>
              <w:adjustRightInd w:val="0"/>
              <w:jc w:val="center"/>
              <w:rPr>
                <w:b/>
                <w:sz w:val="16"/>
                <w:szCs w:val="16"/>
              </w:rPr>
            </w:pPr>
            <w:r>
              <w:rPr>
                <w:b/>
                <w:sz w:val="16"/>
                <w:szCs w:val="16"/>
              </w:rPr>
              <w:t>494</w:t>
            </w:r>
          </w:p>
        </w:tc>
        <w:tc>
          <w:tcPr>
            <w:tcW w:w="391" w:type="pct"/>
            <w:vAlign w:val="center"/>
          </w:tcPr>
          <w:p>
            <w:pPr>
              <w:autoSpaceDE w:val="0"/>
              <w:autoSpaceDN w:val="0"/>
              <w:adjustRightInd w:val="0"/>
              <w:jc w:val="center"/>
              <w:rPr>
                <w:sz w:val="16"/>
                <w:szCs w:val="16"/>
              </w:rPr>
            </w:pPr>
            <w:r>
              <w:rPr>
                <w:sz w:val="16"/>
                <w:szCs w:val="16"/>
              </w:rPr>
              <w:t>459</w:t>
            </w:r>
          </w:p>
        </w:tc>
        <w:tc>
          <w:tcPr>
            <w:tcW w:w="296" w:type="pct"/>
            <w:vAlign w:val="center"/>
          </w:tcPr>
          <w:p>
            <w:pPr>
              <w:autoSpaceDE w:val="0"/>
              <w:autoSpaceDN w:val="0"/>
              <w:adjustRightInd w:val="0"/>
              <w:jc w:val="center"/>
              <w:rPr>
                <w:b/>
                <w:sz w:val="16"/>
                <w:szCs w:val="16"/>
              </w:rPr>
            </w:pPr>
            <w:r>
              <w:rPr>
                <w:b/>
                <w:sz w:val="16"/>
                <w:szCs w:val="16"/>
              </w:rPr>
              <w:t>569</w:t>
            </w:r>
          </w:p>
        </w:tc>
        <w:tc>
          <w:tcPr>
            <w:tcW w:w="391" w:type="pct"/>
            <w:vMerge w:val="restart"/>
            <w:vAlign w:val="center"/>
          </w:tcPr>
          <w:p>
            <w:pPr>
              <w:jc w:val="center"/>
              <w:rPr>
                <w:rFonts w:eastAsia="Arial Unicode MS"/>
                <w:sz w:val="16"/>
                <w:szCs w:val="16"/>
              </w:rPr>
            </w:pPr>
            <w:r>
              <w:rPr>
                <w:rFonts w:eastAsia="Arial Unicode MS"/>
                <w:sz w:val="16"/>
                <w:szCs w:val="16"/>
              </w:rPr>
              <w:t>par</w:t>
            </w:r>
          </w:p>
          <w:p>
            <w:pPr>
              <w:jc w:val="center"/>
              <w:rPr>
                <w:rFonts w:eastAsia="Arial Unicode MS"/>
                <w:sz w:val="16"/>
                <w:szCs w:val="16"/>
              </w:rPr>
            </w:pPr>
            <w:r>
              <w:rPr>
                <w:rFonts w:eastAsia="Arial Unicode MS"/>
                <w:sz w:val="16"/>
                <w:szCs w:val="16"/>
              </w:rPr>
              <w:t>élève</w:t>
            </w:r>
          </w:p>
          <w:p>
            <w:pPr>
              <w:ind w:right="-45"/>
              <w:jc w:val="center"/>
              <w:rPr>
                <w:rFonts w:eastAsia="Arial Unicode MS"/>
                <w:sz w:val="16"/>
                <w:szCs w:val="16"/>
              </w:rPr>
            </w:pPr>
            <w:r>
              <w:rPr>
                <w:rFonts w:eastAsia="Arial Unicode MS"/>
                <w:sz w:val="16"/>
                <w:szCs w:val="16"/>
              </w:rPr>
              <w:t xml:space="preserve"> suppl.</w:t>
            </w:r>
          </w:p>
        </w:tc>
        <w:tc>
          <w:tcPr>
            <w:tcW w:w="429" w:type="pct"/>
            <w:vMerge w:val="restart"/>
            <w:vAlign w:val="center"/>
          </w:tcPr>
          <w:p>
            <w:pPr>
              <w:autoSpaceDE w:val="0"/>
              <w:autoSpaceDN w:val="0"/>
              <w:adjustRightInd w:val="0"/>
              <w:ind w:right="-116"/>
              <w:jc w:val="center"/>
              <w:rPr>
                <w:b/>
                <w:sz w:val="16"/>
                <w:szCs w:val="16"/>
              </w:rPr>
            </w:pPr>
            <w:r>
              <w:rPr>
                <w:b/>
                <w:sz w:val="16"/>
                <w:szCs w:val="16"/>
              </w:rPr>
              <w:t>+ 1,2</w:t>
            </w:r>
          </w:p>
          <w:p>
            <w:pPr>
              <w:autoSpaceDE w:val="0"/>
              <w:autoSpaceDN w:val="0"/>
              <w:adjustRightInd w:val="0"/>
              <w:ind w:right="-116"/>
              <w:jc w:val="center"/>
              <w:rPr>
                <w:sz w:val="15"/>
                <w:szCs w:val="15"/>
              </w:rPr>
            </w:pPr>
            <w:r>
              <w:rPr>
                <w:sz w:val="15"/>
                <w:szCs w:val="15"/>
              </w:rPr>
              <w:t xml:space="preserve">arrondi à l'unité la </w:t>
            </w:r>
          </w:p>
          <w:p>
            <w:pPr>
              <w:autoSpaceDE w:val="0"/>
              <w:autoSpaceDN w:val="0"/>
              <w:adjustRightInd w:val="0"/>
              <w:ind w:right="-116"/>
              <w:jc w:val="center"/>
              <w:rPr>
                <w:sz w:val="16"/>
                <w:szCs w:val="16"/>
              </w:rPr>
            </w:pPr>
            <w:r>
              <w:rPr>
                <w:sz w:val="15"/>
                <w:szCs w:val="15"/>
              </w:rPr>
              <w:t>+ proche</w:t>
            </w:r>
          </w:p>
        </w:tc>
      </w:tr>
      <w:tr>
        <w:trPr>
          <w:trHeight w:hRule="exact" w:val="170"/>
          <w:jc w:val="center"/>
        </w:trPr>
        <w:tc>
          <w:tcPr>
            <w:tcW w:w="473" w:type="pct"/>
            <w:vAlign w:val="center"/>
          </w:tcPr>
          <w:p>
            <w:pPr>
              <w:autoSpaceDE w:val="0"/>
              <w:autoSpaceDN w:val="0"/>
              <w:adjustRightInd w:val="0"/>
              <w:ind w:right="-70"/>
              <w:jc w:val="center"/>
              <w:rPr>
                <w:sz w:val="16"/>
                <w:szCs w:val="16"/>
              </w:rPr>
            </w:pPr>
            <w:r>
              <w:rPr>
                <w:sz w:val="16"/>
                <w:szCs w:val="16"/>
              </w:rPr>
              <w:t>150</w:t>
            </w:r>
          </w:p>
        </w:tc>
        <w:tc>
          <w:tcPr>
            <w:tcW w:w="272" w:type="pct"/>
            <w:vAlign w:val="center"/>
          </w:tcPr>
          <w:p>
            <w:pPr>
              <w:autoSpaceDE w:val="0"/>
              <w:autoSpaceDN w:val="0"/>
              <w:adjustRightInd w:val="0"/>
              <w:jc w:val="center"/>
              <w:rPr>
                <w:b/>
                <w:sz w:val="16"/>
                <w:szCs w:val="16"/>
              </w:rPr>
            </w:pPr>
            <w:r>
              <w:rPr>
                <w:b/>
                <w:sz w:val="16"/>
                <w:szCs w:val="16"/>
              </w:rPr>
              <w:t>198</w:t>
            </w:r>
          </w:p>
        </w:tc>
        <w:tc>
          <w:tcPr>
            <w:tcW w:w="391" w:type="pct"/>
            <w:vAlign w:val="center"/>
          </w:tcPr>
          <w:p>
            <w:pPr>
              <w:autoSpaceDE w:val="0"/>
              <w:autoSpaceDN w:val="0"/>
              <w:adjustRightInd w:val="0"/>
              <w:jc w:val="center"/>
              <w:rPr>
                <w:sz w:val="16"/>
                <w:szCs w:val="16"/>
              </w:rPr>
            </w:pPr>
            <w:r>
              <w:rPr>
                <w:sz w:val="16"/>
                <w:szCs w:val="16"/>
              </w:rPr>
              <w:t>212</w:t>
            </w:r>
          </w:p>
        </w:tc>
        <w:tc>
          <w:tcPr>
            <w:tcW w:w="296" w:type="pct"/>
            <w:vAlign w:val="center"/>
          </w:tcPr>
          <w:p>
            <w:pPr>
              <w:autoSpaceDE w:val="0"/>
              <w:autoSpaceDN w:val="0"/>
              <w:adjustRightInd w:val="0"/>
              <w:jc w:val="center"/>
              <w:rPr>
                <w:b/>
                <w:sz w:val="16"/>
                <w:szCs w:val="16"/>
              </w:rPr>
            </w:pPr>
            <w:r>
              <w:rPr>
                <w:b/>
                <w:sz w:val="16"/>
                <w:szCs w:val="16"/>
              </w:rPr>
              <w:t>272</w:t>
            </w:r>
          </w:p>
        </w:tc>
        <w:tc>
          <w:tcPr>
            <w:tcW w:w="391" w:type="pct"/>
            <w:vAlign w:val="center"/>
          </w:tcPr>
          <w:p>
            <w:pPr>
              <w:autoSpaceDE w:val="0"/>
              <w:autoSpaceDN w:val="0"/>
              <w:adjustRightInd w:val="0"/>
              <w:jc w:val="center"/>
              <w:rPr>
                <w:sz w:val="16"/>
                <w:szCs w:val="16"/>
              </w:rPr>
            </w:pPr>
            <w:r>
              <w:rPr>
                <w:sz w:val="16"/>
                <w:szCs w:val="16"/>
              </w:rPr>
              <w:t>274</w:t>
            </w:r>
          </w:p>
        </w:tc>
        <w:tc>
          <w:tcPr>
            <w:tcW w:w="296" w:type="pct"/>
            <w:vAlign w:val="center"/>
          </w:tcPr>
          <w:p>
            <w:pPr>
              <w:autoSpaceDE w:val="0"/>
              <w:autoSpaceDN w:val="0"/>
              <w:adjustRightInd w:val="0"/>
              <w:jc w:val="center"/>
              <w:rPr>
                <w:b/>
                <w:sz w:val="16"/>
                <w:szCs w:val="16"/>
              </w:rPr>
            </w:pPr>
            <w:r>
              <w:rPr>
                <w:b/>
                <w:sz w:val="16"/>
                <w:szCs w:val="16"/>
              </w:rPr>
              <w:t>347</w:t>
            </w:r>
          </w:p>
        </w:tc>
        <w:tc>
          <w:tcPr>
            <w:tcW w:w="391" w:type="pct"/>
            <w:vAlign w:val="center"/>
          </w:tcPr>
          <w:p>
            <w:pPr>
              <w:autoSpaceDE w:val="0"/>
              <w:autoSpaceDN w:val="0"/>
              <w:adjustRightInd w:val="0"/>
              <w:jc w:val="center"/>
              <w:rPr>
                <w:sz w:val="16"/>
                <w:szCs w:val="16"/>
              </w:rPr>
            </w:pPr>
            <w:r>
              <w:rPr>
                <w:sz w:val="16"/>
                <w:szCs w:val="16"/>
              </w:rPr>
              <w:t>336</w:t>
            </w:r>
          </w:p>
        </w:tc>
        <w:tc>
          <w:tcPr>
            <w:tcW w:w="296" w:type="pct"/>
            <w:vAlign w:val="center"/>
          </w:tcPr>
          <w:p>
            <w:pPr>
              <w:autoSpaceDE w:val="0"/>
              <w:autoSpaceDN w:val="0"/>
              <w:adjustRightInd w:val="0"/>
              <w:jc w:val="center"/>
              <w:rPr>
                <w:b/>
                <w:sz w:val="16"/>
                <w:szCs w:val="16"/>
              </w:rPr>
            </w:pPr>
            <w:r>
              <w:rPr>
                <w:b/>
                <w:sz w:val="16"/>
                <w:szCs w:val="16"/>
              </w:rPr>
              <w:t>421</w:t>
            </w:r>
          </w:p>
        </w:tc>
        <w:tc>
          <w:tcPr>
            <w:tcW w:w="391" w:type="pct"/>
            <w:vAlign w:val="center"/>
          </w:tcPr>
          <w:p>
            <w:pPr>
              <w:autoSpaceDE w:val="0"/>
              <w:autoSpaceDN w:val="0"/>
              <w:adjustRightInd w:val="0"/>
              <w:jc w:val="center"/>
              <w:rPr>
                <w:sz w:val="16"/>
                <w:szCs w:val="16"/>
              </w:rPr>
            </w:pPr>
            <w:r>
              <w:rPr>
                <w:sz w:val="16"/>
                <w:szCs w:val="16"/>
              </w:rPr>
              <w:t>398</w:t>
            </w:r>
          </w:p>
        </w:tc>
        <w:tc>
          <w:tcPr>
            <w:tcW w:w="296" w:type="pct"/>
            <w:vAlign w:val="center"/>
          </w:tcPr>
          <w:p>
            <w:pPr>
              <w:autoSpaceDE w:val="0"/>
              <w:autoSpaceDN w:val="0"/>
              <w:adjustRightInd w:val="0"/>
              <w:jc w:val="center"/>
              <w:rPr>
                <w:b/>
                <w:sz w:val="16"/>
                <w:szCs w:val="16"/>
              </w:rPr>
            </w:pPr>
            <w:r>
              <w:rPr>
                <w:b/>
                <w:sz w:val="16"/>
                <w:szCs w:val="16"/>
              </w:rPr>
              <w:t>496</w:t>
            </w:r>
          </w:p>
        </w:tc>
        <w:tc>
          <w:tcPr>
            <w:tcW w:w="391" w:type="pct"/>
            <w:vAlign w:val="center"/>
          </w:tcPr>
          <w:p>
            <w:pPr>
              <w:autoSpaceDE w:val="0"/>
              <w:autoSpaceDN w:val="0"/>
              <w:adjustRightInd w:val="0"/>
              <w:jc w:val="center"/>
              <w:rPr>
                <w:sz w:val="16"/>
                <w:szCs w:val="16"/>
              </w:rPr>
            </w:pPr>
            <w:r>
              <w:rPr>
                <w:sz w:val="16"/>
                <w:szCs w:val="16"/>
              </w:rPr>
              <w:t>460</w:t>
            </w:r>
          </w:p>
        </w:tc>
        <w:tc>
          <w:tcPr>
            <w:tcW w:w="296" w:type="pct"/>
            <w:vAlign w:val="center"/>
          </w:tcPr>
          <w:p>
            <w:pPr>
              <w:autoSpaceDE w:val="0"/>
              <w:autoSpaceDN w:val="0"/>
              <w:adjustRightInd w:val="0"/>
              <w:jc w:val="center"/>
              <w:rPr>
                <w:b/>
                <w:sz w:val="16"/>
                <w:szCs w:val="16"/>
              </w:rPr>
            </w:pPr>
            <w:r>
              <w:rPr>
                <w:b/>
                <w:sz w:val="16"/>
                <w:szCs w:val="16"/>
              </w:rPr>
              <w:t>570</w:t>
            </w:r>
          </w:p>
        </w:tc>
        <w:tc>
          <w:tcPr>
            <w:tcW w:w="391" w:type="pct"/>
            <w:vMerge/>
            <w:vAlign w:val="bottom"/>
          </w:tcPr>
          <w:p>
            <w:pPr>
              <w:jc w:val="center"/>
              <w:rPr>
                <w:rFonts w:eastAsia="Arial Unicode MS"/>
                <w:sz w:val="16"/>
                <w:szCs w:val="16"/>
              </w:rPr>
            </w:pPr>
          </w:p>
        </w:tc>
        <w:tc>
          <w:tcPr>
            <w:tcW w:w="429" w:type="pct"/>
            <w:vMerge/>
          </w:tcPr>
          <w:p>
            <w:pPr>
              <w:autoSpaceDE w:val="0"/>
              <w:autoSpaceDN w:val="0"/>
              <w:adjustRightInd w:val="0"/>
              <w:jc w:val="center"/>
              <w:rPr>
                <w:b/>
                <w:sz w:val="16"/>
                <w:szCs w:val="16"/>
              </w:rPr>
            </w:pPr>
          </w:p>
        </w:tc>
      </w:tr>
      <w:tr>
        <w:trPr>
          <w:trHeight w:hRule="exact" w:val="170"/>
          <w:jc w:val="center"/>
        </w:trPr>
        <w:tc>
          <w:tcPr>
            <w:tcW w:w="473" w:type="pct"/>
            <w:vAlign w:val="center"/>
          </w:tcPr>
          <w:p>
            <w:pPr>
              <w:autoSpaceDE w:val="0"/>
              <w:autoSpaceDN w:val="0"/>
              <w:adjustRightInd w:val="0"/>
              <w:ind w:right="-70"/>
              <w:jc w:val="center"/>
              <w:rPr>
                <w:sz w:val="16"/>
                <w:szCs w:val="16"/>
              </w:rPr>
            </w:pPr>
            <w:r>
              <w:rPr>
                <w:sz w:val="16"/>
                <w:szCs w:val="16"/>
              </w:rPr>
              <w:t>151</w:t>
            </w:r>
          </w:p>
        </w:tc>
        <w:tc>
          <w:tcPr>
            <w:tcW w:w="272" w:type="pct"/>
            <w:vAlign w:val="center"/>
          </w:tcPr>
          <w:p>
            <w:pPr>
              <w:autoSpaceDE w:val="0"/>
              <w:autoSpaceDN w:val="0"/>
              <w:adjustRightInd w:val="0"/>
              <w:jc w:val="center"/>
              <w:rPr>
                <w:b/>
                <w:sz w:val="16"/>
                <w:szCs w:val="16"/>
              </w:rPr>
            </w:pPr>
            <w:r>
              <w:rPr>
                <w:b/>
                <w:sz w:val="16"/>
                <w:szCs w:val="16"/>
              </w:rPr>
              <w:t>199</w:t>
            </w:r>
          </w:p>
        </w:tc>
        <w:tc>
          <w:tcPr>
            <w:tcW w:w="391" w:type="pct"/>
            <w:vAlign w:val="center"/>
          </w:tcPr>
          <w:p>
            <w:pPr>
              <w:autoSpaceDE w:val="0"/>
              <w:autoSpaceDN w:val="0"/>
              <w:adjustRightInd w:val="0"/>
              <w:jc w:val="center"/>
              <w:rPr>
                <w:sz w:val="16"/>
                <w:szCs w:val="16"/>
              </w:rPr>
            </w:pPr>
            <w:r>
              <w:rPr>
                <w:sz w:val="16"/>
                <w:szCs w:val="16"/>
              </w:rPr>
              <w:t>213</w:t>
            </w:r>
          </w:p>
        </w:tc>
        <w:tc>
          <w:tcPr>
            <w:tcW w:w="296" w:type="pct"/>
            <w:vAlign w:val="center"/>
          </w:tcPr>
          <w:p>
            <w:pPr>
              <w:autoSpaceDE w:val="0"/>
              <w:autoSpaceDN w:val="0"/>
              <w:adjustRightInd w:val="0"/>
              <w:jc w:val="center"/>
              <w:rPr>
                <w:b/>
                <w:sz w:val="16"/>
                <w:szCs w:val="16"/>
              </w:rPr>
            </w:pPr>
            <w:r>
              <w:rPr>
                <w:b/>
                <w:sz w:val="16"/>
                <w:szCs w:val="16"/>
              </w:rPr>
              <w:t>274</w:t>
            </w:r>
          </w:p>
        </w:tc>
        <w:tc>
          <w:tcPr>
            <w:tcW w:w="391" w:type="pct"/>
            <w:vAlign w:val="center"/>
          </w:tcPr>
          <w:p>
            <w:pPr>
              <w:autoSpaceDE w:val="0"/>
              <w:autoSpaceDN w:val="0"/>
              <w:adjustRightInd w:val="0"/>
              <w:jc w:val="center"/>
              <w:rPr>
                <w:sz w:val="16"/>
                <w:szCs w:val="16"/>
              </w:rPr>
            </w:pPr>
            <w:r>
              <w:rPr>
                <w:sz w:val="16"/>
                <w:szCs w:val="16"/>
              </w:rPr>
              <w:t>275</w:t>
            </w:r>
          </w:p>
        </w:tc>
        <w:tc>
          <w:tcPr>
            <w:tcW w:w="296" w:type="pct"/>
            <w:vAlign w:val="center"/>
          </w:tcPr>
          <w:p>
            <w:pPr>
              <w:autoSpaceDE w:val="0"/>
              <w:autoSpaceDN w:val="0"/>
              <w:adjustRightInd w:val="0"/>
              <w:jc w:val="center"/>
              <w:rPr>
                <w:b/>
                <w:sz w:val="16"/>
                <w:szCs w:val="16"/>
              </w:rPr>
            </w:pPr>
            <w:r>
              <w:rPr>
                <w:b/>
                <w:sz w:val="16"/>
                <w:szCs w:val="16"/>
              </w:rPr>
              <w:t>348</w:t>
            </w:r>
          </w:p>
        </w:tc>
        <w:tc>
          <w:tcPr>
            <w:tcW w:w="391" w:type="pct"/>
            <w:vAlign w:val="center"/>
          </w:tcPr>
          <w:p>
            <w:pPr>
              <w:autoSpaceDE w:val="0"/>
              <w:autoSpaceDN w:val="0"/>
              <w:adjustRightInd w:val="0"/>
              <w:jc w:val="center"/>
              <w:rPr>
                <w:sz w:val="16"/>
                <w:szCs w:val="16"/>
              </w:rPr>
            </w:pPr>
            <w:r>
              <w:rPr>
                <w:sz w:val="16"/>
                <w:szCs w:val="16"/>
              </w:rPr>
              <w:t>337</w:t>
            </w:r>
          </w:p>
        </w:tc>
        <w:tc>
          <w:tcPr>
            <w:tcW w:w="296" w:type="pct"/>
            <w:vAlign w:val="center"/>
          </w:tcPr>
          <w:p>
            <w:pPr>
              <w:autoSpaceDE w:val="0"/>
              <w:autoSpaceDN w:val="0"/>
              <w:adjustRightInd w:val="0"/>
              <w:jc w:val="center"/>
              <w:rPr>
                <w:b/>
                <w:sz w:val="16"/>
                <w:szCs w:val="16"/>
              </w:rPr>
            </w:pPr>
            <w:r>
              <w:rPr>
                <w:b/>
                <w:sz w:val="16"/>
                <w:szCs w:val="16"/>
              </w:rPr>
              <w:t>422</w:t>
            </w:r>
          </w:p>
        </w:tc>
        <w:tc>
          <w:tcPr>
            <w:tcW w:w="391" w:type="pct"/>
            <w:vAlign w:val="center"/>
          </w:tcPr>
          <w:p>
            <w:pPr>
              <w:autoSpaceDE w:val="0"/>
              <w:autoSpaceDN w:val="0"/>
              <w:adjustRightInd w:val="0"/>
              <w:jc w:val="center"/>
              <w:rPr>
                <w:sz w:val="16"/>
                <w:szCs w:val="16"/>
              </w:rPr>
            </w:pPr>
            <w:r>
              <w:rPr>
                <w:sz w:val="16"/>
                <w:szCs w:val="16"/>
              </w:rPr>
              <w:t>399</w:t>
            </w:r>
          </w:p>
        </w:tc>
        <w:tc>
          <w:tcPr>
            <w:tcW w:w="296" w:type="pct"/>
            <w:vAlign w:val="center"/>
          </w:tcPr>
          <w:p>
            <w:pPr>
              <w:autoSpaceDE w:val="0"/>
              <w:autoSpaceDN w:val="0"/>
              <w:adjustRightInd w:val="0"/>
              <w:jc w:val="center"/>
              <w:rPr>
                <w:b/>
                <w:sz w:val="16"/>
                <w:szCs w:val="16"/>
              </w:rPr>
            </w:pPr>
            <w:r>
              <w:rPr>
                <w:b/>
                <w:sz w:val="16"/>
                <w:szCs w:val="16"/>
              </w:rPr>
              <w:t>497</w:t>
            </w:r>
          </w:p>
        </w:tc>
        <w:tc>
          <w:tcPr>
            <w:tcW w:w="391" w:type="pct"/>
            <w:vAlign w:val="center"/>
          </w:tcPr>
          <w:p>
            <w:pPr>
              <w:autoSpaceDE w:val="0"/>
              <w:autoSpaceDN w:val="0"/>
              <w:adjustRightInd w:val="0"/>
              <w:jc w:val="center"/>
              <w:rPr>
                <w:sz w:val="16"/>
                <w:szCs w:val="16"/>
              </w:rPr>
            </w:pPr>
            <w:r>
              <w:rPr>
                <w:sz w:val="16"/>
                <w:szCs w:val="16"/>
              </w:rPr>
              <w:t>461</w:t>
            </w:r>
          </w:p>
        </w:tc>
        <w:tc>
          <w:tcPr>
            <w:tcW w:w="296" w:type="pct"/>
            <w:vAlign w:val="center"/>
          </w:tcPr>
          <w:p>
            <w:pPr>
              <w:autoSpaceDE w:val="0"/>
              <w:autoSpaceDN w:val="0"/>
              <w:adjustRightInd w:val="0"/>
              <w:jc w:val="center"/>
              <w:rPr>
                <w:b/>
                <w:sz w:val="16"/>
                <w:szCs w:val="16"/>
              </w:rPr>
            </w:pPr>
            <w:r>
              <w:rPr>
                <w:b/>
                <w:sz w:val="16"/>
                <w:szCs w:val="16"/>
              </w:rPr>
              <w:t>571</w:t>
            </w:r>
          </w:p>
        </w:tc>
        <w:tc>
          <w:tcPr>
            <w:tcW w:w="391" w:type="pct"/>
            <w:vMerge/>
            <w:vAlign w:val="bottom"/>
          </w:tcPr>
          <w:p>
            <w:pPr>
              <w:jc w:val="center"/>
              <w:rPr>
                <w:rFonts w:eastAsia="Arial Unicode MS"/>
                <w:sz w:val="16"/>
                <w:szCs w:val="16"/>
              </w:rPr>
            </w:pPr>
          </w:p>
        </w:tc>
        <w:tc>
          <w:tcPr>
            <w:tcW w:w="429" w:type="pct"/>
            <w:vMerge/>
          </w:tcPr>
          <w:p>
            <w:pPr>
              <w:autoSpaceDE w:val="0"/>
              <w:autoSpaceDN w:val="0"/>
              <w:adjustRightInd w:val="0"/>
              <w:jc w:val="center"/>
              <w:rPr>
                <w:b/>
                <w:sz w:val="16"/>
                <w:szCs w:val="16"/>
              </w:rPr>
            </w:pPr>
          </w:p>
        </w:tc>
      </w:tr>
      <w:tr>
        <w:trPr>
          <w:trHeight w:hRule="exact" w:val="170"/>
          <w:jc w:val="center"/>
        </w:trPr>
        <w:tc>
          <w:tcPr>
            <w:tcW w:w="473" w:type="pct"/>
            <w:vAlign w:val="center"/>
          </w:tcPr>
          <w:p>
            <w:pPr>
              <w:autoSpaceDE w:val="0"/>
              <w:autoSpaceDN w:val="0"/>
              <w:adjustRightInd w:val="0"/>
              <w:ind w:right="-70"/>
              <w:jc w:val="center"/>
              <w:rPr>
                <w:sz w:val="16"/>
                <w:szCs w:val="16"/>
              </w:rPr>
            </w:pPr>
            <w:r>
              <w:rPr>
                <w:sz w:val="16"/>
                <w:szCs w:val="16"/>
              </w:rPr>
              <w:t>152</w:t>
            </w:r>
          </w:p>
        </w:tc>
        <w:tc>
          <w:tcPr>
            <w:tcW w:w="272" w:type="pct"/>
            <w:vAlign w:val="center"/>
          </w:tcPr>
          <w:p>
            <w:pPr>
              <w:autoSpaceDE w:val="0"/>
              <w:autoSpaceDN w:val="0"/>
              <w:adjustRightInd w:val="0"/>
              <w:jc w:val="center"/>
              <w:rPr>
                <w:b/>
                <w:sz w:val="16"/>
                <w:szCs w:val="16"/>
              </w:rPr>
            </w:pPr>
            <w:r>
              <w:rPr>
                <w:b/>
                <w:sz w:val="16"/>
                <w:szCs w:val="16"/>
              </w:rPr>
              <w:t>200</w:t>
            </w:r>
          </w:p>
        </w:tc>
        <w:tc>
          <w:tcPr>
            <w:tcW w:w="391" w:type="pct"/>
            <w:vAlign w:val="center"/>
          </w:tcPr>
          <w:p>
            <w:pPr>
              <w:autoSpaceDE w:val="0"/>
              <w:autoSpaceDN w:val="0"/>
              <w:adjustRightInd w:val="0"/>
              <w:jc w:val="center"/>
              <w:rPr>
                <w:sz w:val="16"/>
                <w:szCs w:val="16"/>
              </w:rPr>
            </w:pPr>
            <w:r>
              <w:rPr>
                <w:sz w:val="16"/>
                <w:szCs w:val="16"/>
              </w:rPr>
              <w:t>214</w:t>
            </w:r>
          </w:p>
        </w:tc>
        <w:tc>
          <w:tcPr>
            <w:tcW w:w="296" w:type="pct"/>
            <w:vAlign w:val="center"/>
          </w:tcPr>
          <w:p>
            <w:pPr>
              <w:autoSpaceDE w:val="0"/>
              <w:autoSpaceDN w:val="0"/>
              <w:adjustRightInd w:val="0"/>
              <w:jc w:val="center"/>
              <w:rPr>
                <w:b/>
                <w:sz w:val="16"/>
                <w:szCs w:val="16"/>
              </w:rPr>
            </w:pPr>
            <w:r>
              <w:rPr>
                <w:b/>
                <w:sz w:val="16"/>
                <w:szCs w:val="16"/>
              </w:rPr>
              <w:t>275</w:t>
            </w:r>
          </w:p>
        </w:tc>
        <w:tc>
          <w:tcPr>
            <w:tcW w:w="391" w:type="pct"/>
            <w:vAlign w:val="center"/>
          </w:tcPr>
          <w:p>
            <w:pPr>
              <w:autoSpaceDE w:val="0"/>
              <w:autoSpaceDN w:val="0"/>
              <w:adjustRightInd w:val="0"/>
              <w:jc w:val="center"/>
              <w:rPr>
                <w:sz w:val="16"/>
                <w:szCs w:val="16"/>
              </w:rPr>
            </w:pPr>
            <w:r>
              <w:rPr>
                <w:sz w:val="16"/>
                <w:szCs w:val="16"/>
              </w:rPr>
              <w:t>276</w:t>
            </w:r>
          </w:p>
        </w:tc>
        <w:tc>
          <w:tcPr>
            <w:tcW w:w="296" w:type="pct"/>
            <w:vAlign w:val="center"/>
          </w:tcPr>
          <w:p>
            <w:pPr>
              <w:autoSpaceDE w:val="0"/>
              <w:autoSpaceDN w:val="0"/>
              <w:adjustRightInd w:val="0"/>
              <w:jc w:val="center"/>
              <w:rPr>
                <w:b/>
                <w:sz w:val="16"/>
                <w:szCs w:val="16"/>
              </w:rPr>
            </w:pPr>
            <w:r>
              <w:rPr>
                <w:b/>
                <w:sz w:val="16"/>
                <w:szCs w:val="16"/>
              </w:rPr>
              <w:t>349</w:t>
            </w:r>
          </w:p>
        </w:tc>
        <w:tc>
          <w:tcPr>
            <w:tcW w:w="391" w:type="pct"/>
            <w:vAlign w:val="center"/>
          </w:tcPr>
          <w:p>
            <w:pPr>
              <w:autoSpaceDE w:val="0"/>
              <w:autoSpaceDN w:val="0"/>
              <w:adjustRightInd w:val="0"/>
              <w:jc w:val="center"/>
              <w:rPr>
                <w:sz w:val="16"/>
                <w:szCs w:val="16"/>
              </w:rPr>
            </w:pPr>
            <w:r>
              <w:rPr>
                <w:sz w:val="16"/>
                <w:szCs w:val="16"/>
              </w:rPr>
              <w:t>338</w:t>
            </w:r>
          </w:p>
        </w:tc>
        <w:tc>
          <w:tcPr>
            <w:tcW w:w="296" w:type="pct"/>
            <w:vAlign w:val="center"/>
          </w:tcPr>
          <w:p>
            <w:pPr>
              <w:autoSpaceDE w:val="0"/>
              <w:autoSpaceDN w:val="0"/>
              <w:adjustRightInd w:val="0"/>
              <w:jc w:val="center"/>
              <w:rPr>
                <w:b/>
                <w:sz w:val="16"/>
                <w:szCs w:val="16"/>
              </w:rPr>
            </w:pPr>
            <w:r>
              <w:rPr>
                <w:b/>
                <w:sz w:val="16"/>
                <w:szCs w:val="16"/>
              </w:rPr>
              <w:t>424</w:t>
            </w:r>
          </w:p>
        </w:tc>
        <w:tc>
          <w:tcPr>
            <w:tcW w:w="391" w:type="pct"/>
            <w:vAlign w:val="center"/>
          </w:tcPr>
          <w:p>
            <w:pPr>
              <w:autoSpaceDE w:val="0"/>
              <w:autoSpaceDN w:val="0"/>
              <w:adjustRightInd w:val="0"/>
              <w:jc w:val="center"/>
              <w:rPr>
                <w:sz w:val="16"/>
                <w:szCs w:val="16"/>
              </w:rPr>
            </w:pPr>
            <w:r>
              <w:rPr>
                <w:sz w:val="16"/>
                <w:szCs w:val="16"/>
              </w:rPr>
              <w:t>400</w:t>
            </w:r>
          </w:p>
        </w:tc>
        <w:tc>
          <w:tcPr>
            <w:tcW w:w="296" w:type="pct"/>
            <w:vAlign w:val="center"/>
          </w:tcPr>
          <w:p>
            <w:pPr>
              <w:autoSpaceDE w:val="0"/>
              <w:autoSpaceDN w:val="0"/>
              <w:adjustRightInd w:val="0"/>
              <w:jc w:val="center"/>
              <w:rPr>
                <w:b/>
                <w:sz w:val="16"/>
                <w:szCs w:val="16"/>
              </w:rPr>
            </w:pPr>
            <w:r>
              <w:rPr>
                <w:b/>
                <w:sz w:val="16"/>
                <w:szCs w:val="16"/>
              </w:rPr>
              <w:t>498</w:t>
            </w:r>
          </w:p>
        </w:tc>
        <w:tc>
          <w:tcPr>
            <w:tcW w:w="391" w:type="pct"/>
            <w:vAlign w:val="center"/>
          </w:tcPr>
          <w:p>
            <w:pPr>
              <w:autoSpaceDE w:val="0"/>
              <w:autoSpaceDN w:val="0"/>
              <w:adjustRightInd w:val="0"/>
              <w:jc w:val="center"/>
              <w:rPr>
                <w:sz w:val="16"/>
                <w:szCs w:val="16"/>
              </w:rPr>
            </w:pPr>
            <w:r>
              <w:rPr>
                <w:sz w:val="16"/>
                <w:szCs w:val="16"/>
              </w:rPr>
              <w:t>462</w:t>
            </w:r>
          </w:p>
        </w:tc>
        <w:tc>
          <w:tcPr>
            <w:tcW w:w="296" w:type="pct"/>
            <w:vAlign w:val="center"/>
          </w:tcPr>
          <w:p>
            <w:pPr>
              <w:autoSpaceDE w:val="0"/>
              <w:autoSpaceDN w:val="0"/>
              <w:adjustRightInd w:val="0"/>
              <w:jc w:val="center"/>
              <w:rPr>
                <w:b/>
                <w:sz w:val="16"/>
                <w:szCs w:val="16"/>
              </w:rPr>
            </w:pPr>
            <w:r>
              <w:rPr>
                <w:b/>
                <w:sz w:val="16"/>
                <w:szCs w:val="16"/>
              </w:rPr>
              <w:t>572</w:t>
            </w:r>
          </w:p>
        </w:tc>
        <w:tc>
          <w:tcPr>
            <w:tcW w:w="391" w:type="pct"/>
            <w:vMerge/>
            <w:vAlign w:val="bottom"/>
          </w:tcPr>
          <w:p>
            <w:pPr>
              <w:jc w:val="center"/>
              <w:rPr>
                <w:rFonts w:eastAsia="Arial Unicode MS"/>
                <w:sz w:val="16"/>
                <w:szCs w:val="16"/>
              </w:rPr>
            </w:pPr>
          </w:p>
        </w:tc>
        <w:tc>
          <w:tcPr>
            <w:tcW w:w="429" w:type="pct"/>
            <w:vMerge/>
          </w:tcPr>
          <w:p>
            <w:pPr>
              <w:autoSpaceDE w:val="0"/>
              <w:autoSpaceDN w:val="0"/>
              <w:adjustRightInd w:val="0"/>
              <w:jc w:val="center"/>
              <w:rPr>
                <w:b/>
                <w:sz w:val="16"/>
                <w:szCs w:val="16"/>
              </w:rPr>
            </w:pPr>
          </w:p>
        </w:tc>
      </w:tr>
    </w:tbl>
    <w:p>
      <w:bookmarkStart w:id="972" w:name="_3.2.3._Complément_de"/>
      <w:bookmarkStart w:id="973" w:name="_Toc295932031"/>
      <w:bookmarkStart w:id="974" w:name="_Toc295913761"/>
      <w:bookmarkEnd w:id="972"/>
    </w:p>
    <w:p>
      <w:pPr>
        <w:pStyle w:val="Titre3"/>
      </w:pPr>
      <w:r>
        <w:br w:type="page"/>
      </w:r>
      <w:bookmarkStart w:id="975" w:name="_Toc423420049"/>
      <w:bookmarkStart w:id="976" w:name="_Toc450645256"/>
      <w:bookmarkStart w:id="977" w:name="_Toc453942492"/>
      <w:bookmarkStart w:id="978" w:name="_Toc454888109"/>
      <w:bookmarkStart w:id="979" w:name="_Toc486241771"/>
      <w:r>
        <w:t>3.2.3. Complément de périodes destiné à l’encadrement spécifique en P1 et P2</w:t>
      </w:r>
      <w:bookmarkEnd w:id="973"/>
      <w:bookmarkEnd w:id="974"/>
      <w:bookmarkEnd w:id="975"/>
      <w:bookmarkEnd w:id="976"/>
      <w:bookmarkEnd w:id="977"/>
      <w:bookmarkEnd w:id="978"/>
      <w:bookmarkEnd w:id="979"/>
    </w:p>
    <w:p>
      <w:pPr>
        <w:pStyle w:val="Notedebasdepage"/>
        <w:rPr>
          <w:bCs/>
          <w:sz w:val="16"/>
          <w:szCs w:val="16"/>
        </w:rPr>
      </w:pPr>
    </w:p>
    <w:p>
      <w:pPr>
        <w:jc w:val="both"/>
        <w:rPr>
          <w:spacing w:val="-8"/>
        </w:rPr>
      </w:pPr>
      <w:r>
        <w:rPr>
          <w:spacing w:val="-8"/>
        </w:rPr>
        <w:t xml:space="preserve">Un complément de </w:t>
      </w:r>
      <w:r>
        <w:rPr>
          <w:b/>
          <w:bCs/>
          <w:i/>
          <w:iCs/>
          <w:spacing w:val="-8"/>
        </w:rPr>
        <w:t>6, 9 ou 12 périodes</w:t>
      </w:r>
      <w:r>
        <w:rPr>
          <w:spacing w:val="-8"/>
        </w:rPr>
        <w:t xml:space="preserve"> est octroyé à chaque implantation qui accueille des élèves de 1</w:t>
      </w:r>
      <w:r>
        <w:rPr>
          <w:spacing w:val="-8"/>
          <w:vertAlign w:val="superscript"/>
        </w:rPr>
        <w:t>re</w:t>
      </w:r>
      <w:r>
        <w:rPr>
          <w:spacing w:val="-8"/>
        </w:rPr>
        <w:t xml:space="preserve"> et/ou 2</w:t>
      </w:r>
      <w:r>
        <w:rPr>
          <w:spacing w:val="-8"/>
          <w:vertAlign w:val="superscript"/>
        </w:rPr>
        <w:t>e</w:t>
      </w:r>
      <w:r>
        <w:rPr>
          <w:spacing w:val="-8"/>
        </w:rPr>
        <w:t xml:space="preserve"> primaires, pour autant que l’école ou l’implantation à comptage séparé compte plus de 50 élèves au niveau primaire au 15 janvier 2017, </w:t>
      </w:r>
      <w:r>
        <w:rPr>
          <w:spacing w:val="-8"/>
          <w:u w:val="single"/>
        </w:rPr>
        <w:t>en tenant compte des coefficients 1,5</w:t>
      </w:r>
      <w:r>
        <w:rPr>
          <w:spacing w:val="-8"/>
        </w:rPr>
        <w:t>.</w:t>
      </w:r>
    </w:p>
    <w:p>
      <w:pPr>
        <w:jc w:val="both"/>
        <w:rPr>
          <w:sz w:val="12"/>
        </w:rPr>
      </w:pPr>
    </w:p>
    <w:p>
      <w:pPr>
        <w:jc w:val="both"/>
      </w:pPr>
      <w:r>
        <w:t>Ce complément, généré par les élèves de 1</w:t>
      </w:r>
      <w:r>
        <w:rPr>
          <w:vertAlign w:val="superscript"/>
        </w:rPr>
        <w:t>re</w:t>
      </w:r>
      <w:r>
        <w:t xml:space="preserve"> et 2</w:t>
      </w:r>
      <w:r>
        <w:rPr>
          <w:vertAlign w:val="superscript"/>
        </w:rPr>
        <w:t>e</w:t>
      </w:r>
      <w:r>
        <w:t xml:space="preserve"> primaires et additionné au capital-périodes, doit permettre à chaque implantation d’offrir un encadrement pédagogique qui puisse être utilisé à la réduction permanente ou temporaire de la taille des groupes-classes ou à l’engagement de "maîtres de remédiation" intervenant en dehors de la classe ou en son sein.</w:t>
      </w:r>
    </w:p>
    <w:p>
      <w:pPr>
        <w:jc w:val="both"/>
        <w:rPr>
          <w:sz w:val="12"/>
        </w:rPr>
      </w:pPr>
    </w:p>
    <w:p>
      <w:pPr>
        <w:jc w:val="both"/>
        <w:rPr>
          <w:spacing w:val="-4"/>
        </w:rPr>
      </w:pPr>
      <w:r>
        <w:rPr>
          <w:spacing w:val="-4"/>
        </w:rPr>
        <w:t>Cette mesure vise l'ensemble des implantations qui scolarisent des élèves en P1 et/ou P2: écoles à implantation unique, les implantations à comptage séparé et les implantations à comptage globalisé.  Le complément est attribué à toutes les implantations (comptage séparé et comptage globalisé prises distinctement) ayant existé au 15 janvier 2017 et existant toujours au 1</w:t>
      </w:r>
      <w:r>
        <w:rPr>
          <w:spacing w:val="-4"/>
          <w:vertAlign w:val="superscript"/>
        </w:rPr>
        <w:t>er</w:t>
      </w:r>
      <w:r>
        <w:rPr>
          <w:spacing w:val="-4"/>
        </w:rPr>
        <w:t xml:space="preserve"> septembre 2017. Il est utilisable du 1</w:t>
      </w:r>
      <w:r>
        <w:rPr>
          <w:spacing w:val="-4"/>
          <w:vertAlign w:val="superscript"/>
        </w:rPr>
        <w:t>er</w:t>
      </w:r>
      <w:r>
        <w:rPr>
          <w:spacing w:val="-4"/>
        </w:rPr>
        <w:t xml:space="preserve"> octobre 2017 au 30 septembre 2018.</w:t>
      </w:r>
    </w:p>
    <w:p>
      <w:pPr>
        <w:jc w:val="both"/>
        <w:rPr>
          <w:sz w:val="12"/>
          <w:szCs w:val="12"/>
        </w:rPr>
      </w:pPr>
    </w:p>
    <w:p>
      <w:pPr>
        <w:jc w:val="both"/>
        <w:rPr>
          <w:spacing w:val="-4"/>
        </w:rPr>
      </w:pPr>
      <w:r>
        <w:rPr>
          <w:spacing w:val="-4"/>
        </w:rPr>
        <w:t>Ce complément, attribué au 1</w:t>
      </w:r>
      <w:r>
        <w:rPr>
          <w:spacing w:val="-4"/>
          <w:vertAlign w:val="superscript"/>
        </w:rPr>
        <w:t>er</w:t>
      </w:r>
      <w:r>
        <w:rPr>
          <w:spacing w:val="-4"/>
        </w:rPr>
        <w:t xml:space="preserve"> octobre, ne peut en aucun cas être additionné au reliquat calculé au 15 janvier afin de </w:t>
      </w:r>
      <w:r>
        <w:rPr>
          <w:bCs/>
          <w:spacing w:val="-4"/>
        </w:rPr>
        <w:t>conserver</w:t>
      </w:r>
      <w:r>
        <w:rPr>
          <w:spacing w:val="-4"/>
        </w:rPr>
        <w:t xml:space="preserve"> 12 ou 24 périodes de maître d’adaptation et de soutien pédagogique dans l’école ou l’implantation.</w:t>
      </w:r>
    </w:p>
    <w:p>
      <w:pPr>
        <w:jc w:val="both"/>
        <w:rPr>
          <w:sz w:val="12"/>
          <w:szCs w:val="12"/>
        </w:rPr>
      </w:pPr>
    </w:p>
    <w:p>
      <w:pPr>
        <w:jc w:val="both"/>
        <w:rPr>
          <w:b/>
          <w:i/>
          <w:iCs/>
        </w:rPr>
      </w:pPr>
      <w:r>
        <w:rPr>
          <w:b/>
          <w:i/>
          <w:iCs/>
        </w:rPr>
        <w:t>Durant le mois de septembre 2017, le complément de périodes P1/P2 reste celui calculé au 1</w:t>
      </w:r>
      <w:r>
        <w:rPr>
          <w:b/>
          <w:i/>
          <w:iCs/>
          <w:vertAlign w:val="superscript"/>
        </w:rPr>
        <w:t>er</w:t>
      </w:r>
      <w:r>
        <w:rPr>
          <w:b/>
          <w:i/>
          <w:iCs/>
        </w:rPr>
        <w:t xml:space="preserve"> octobre 2016. </w:t>
      </w:r>
    </w:p>
    <w:p>
      <w:pPr>
        <w:jc w:val="both"/>
        <w:rPr>
          <w:b/>
          <w:i/>
          <w:sz w:val="12"/>
          <w:szCs w:val="12"/>
        </w:rPr>
      </w:pPr>
    </w:p>
    <w:p>
      <w:pPr>
        <w:jc w:val="both"/>
        <w:rPr>
          <w:b/>
          <w:i/>
          <w:u w:val="single"/>
        </w:rPr>
      </w:pPr>
      <w:r>
        <w:rPr>
          <w:b/>
          <w:i/>
          <w:u w:val="single"/>
        </w:rPr>
        <w:t>Comment calculer le complément ?</w:t>
      </w:r>
    </w:p>
    <w:p>
      <w:pPr>
        <w:jc w:val="both"/>
        <w:rPr>
          <w:i/>
          <w:sz w:val="8"/>
          <w:szCs w:val="12"/>
          <w:u w:val="single"/>
        </w:rPr>
      </w:pPr>
    </w:p>
    <w:p>
      <w:pPr>
        <w:jc w:val="both"/>
      </w:pPr>
      <w:r>
        <w:t>Le nombre de périodes du complément est déterminé par la différence entre le nombre de périodes correspondant à l’encadrement nécessaire pour 20 élèves, et le nombre d’élèves de 1</w:t>
      </w:r>
      <w:r>
        <w:rPr>
          <w:vertAlign w:val="superscript"/>
        </w:rPr>
        <w:t>re</w:t>
      </w:r>
      <w:r>
        <w:t xml:space="preserve"> et 2</w:t>
      </w:r>
      <w:r>
        <w:rPr>
          <w:vertAlign w:val="superscript"/>
        </w:rPr>
        <w:t>e</w:t>
      </w:r>
      <w:r>
        <w:t xml:space="preserve"> primaires par implantation multiplié par l’apport moyen calculé au 15 janvier précédent. Cette différence est à reporter dans le tableau ci-dessous:</w:t>
      </w:r>
    </w:p>
    <w:p>
      <w:pPr>
        <w:jc w:val="both"/>
        <w:rPr>
          <w:sz w:val="16"/>
          <w:szCs w:val="16"/>
        </w:rPr>
      </w:pPr>
    </w:p>
    <w:tbl>
      <w:tblPr>
        <w:tblW w:w="0" w:type="auto"/>
        <w:jc w:val="center"/>
        <w:tblLayout w:type="fixed"/>
        <w:tblCellMar>
          <w:left w:w="70" w:type="dxa"/>
          <w:right w:w="70" w:type="dxa"/>
        </w:tblCellMar>
        <w:tblLook w:val="01E0" w:firstRow="1" w:lastRow="1" w:firstColumn="1" w:lastColumn="1" w:noHBand="0" w:noVBand="0"/>
      </w:tblPr>
      <w:tblGrid>
        <w:gridCol w:w="4606"/>
        <w:gridCol w:w="4606"/>
      </w:tblGrid>
      <w:tr>
        <w:trPr>
          <w:jc w:val="center"/>
        </w:trPr>
        <w:tc>
          <w:tcPr>
            <w:tcW w:w="4606" w:type="dxa"/>
            <w:tcBorders>
              <w:top w:val="single" w:sz="12" w:space="0" w:color="auto"/>
              <w:left w:val="single" w:sz="12" w:space="0" w:color="auto"/>
              <w:bottom w:val="single" w:sz="12" w:space="0" w:color="auto"/>
            </w:tcBorders>
          </w:tcPr>
          <w:p>
            <w:pPr>
              <w:autoSpaceDE w:val="0"/>
              <w:autoSpaceDN w:val="0"/>
              <w:adjustRightInd w:val="0"/>
              <w:jc w:val="center"/>
              <w:rPr>
                <w:b/>
              </w:rPr>
            </w:pPr>
            <w:r>
              <w:rPr>
                <w:b/>
              </w:rPr>
              <w:t>Différence</w:t>
            </w:r>
          </w:p>
        </w:tc>
        <w:tc>
          <w:tcPr>
            <w:tcW w:w="4606" w:type="dxa"/>
            <w:tcBorders>
              <w:top w:val="single" w:sz="12" w:space="0" w:color="auto"/>
              <w:bottom w:val="single" w:sz="12" w:space="0" w:color="auto"/>
              <w:right w:val="single" w:sz="12" w:space="0" w:color="auto"/>
            </w:tcBorders>
          </w:tcPr>
          <w:p>
            <w:pPr>
              <w:autoSpaceDE w:val="0"/>
              <w:autoSpaceDN w:val="0"/>
              <w:adjustRightInd w:val="0"/>
              <w:jc w:val="center"/>
              <w:rPr>
                <w:b/>
              </w:rPr>
            </w:pPr>
            <w:r>
              <w:rPr>
                <w:b/>
              </w:rPr>
              <w:t>Nombre de périodes</w:t>
            </w:r>
          </w:p>
        </w:tc>
      </w:tr>
      <w:tr>
        <w:trPr>
          <w:jc w:val="center"/>
        </w:trPr>
        <w:tc>
          <w:tcPr>
            <w:tcW w:w="4606" w:type="dxa"/>
            <w:tcBorders>
              <w:top w:val="single" w:sz="12" w:space="0" w:color="auto"/>
              <w:left w:val="single" w:sz="12" w:space="0" w:color="auto"/>
              <w:bottom w:val="single" w:sz="6" w:space="0" w:color="auto"/>
              <w:right w:val="single" w:sz="6" w:space="0" w:color="auto"/>
            </w:tcBorders>
          </w:tcPr>
          <w:p>
            <w:pPr>
              <w:autoSpaceDE w:val="0"/>
              <w:autoSpaceDN w:val="0"/>
              <w:adjustRightInd w:val="0"/>
              <w:jc w:val="center"/>
            </w:pPr>
            <w:r>
              <w:t>inférieure ou égale à 6</w:t>
            </w:r>
          </w:p>
        </w:tc>
        <w:tc>
          <w:tcPr>
            <w:tcW w:w="4606" w:type="dxa"/>
            <w:tcBorders>
              <w:top w:val="single" w:sz="12" w:space="0" w:color="auto"/>
              <w:left w:val="single" w:sz="6" w:space="0" w:color="auto"/>
              <w:bottom w:val="single" w:sz="6" w:space="0" w:color="auto"/>
              <w:right w:val="single" w:sz="12" w:space="0" w:color="auto"/>
            </w:tcBorders>
          </w:tcPr>
          <w:p>
            <w:pPr>
              <w:autoSpaceDE w:val="0"/>
              <w:autoSpaceDN w:val="0"/>
              <w:adjustRightInd w:val="0"/>
              <w:jc w:val="center"/>
            </w:pPr>
            <w:r>
              <w:t>6 périodes</w:t>
            </w:r>
          </w:p>
        </w:tc>
      </w:tr>
      <w:tr>
        <w:trPr>
          <w:jc w:val="center"/>
        </w:trPr>
        <w:tc>
          <w:tcPr>
            <w:tcW w:w="4606" w:type="dxa"/>
            <w:tcBorders>
              <w:top w:val="single" w:sz="6" w:space="0" w:color="auto"/>
              <w:left w:val="single" w:sz="12" w:space="0" w:color="auto"/>
              <w:bottom w:val="single" w:sz="6" w:space="0" w:color="auto"/>
              <w:right w:val="single" w:sz="6" w:space="0" w:color="auto"/>
            </w:tcBorders>
          </w:tcPr>
          <w:p>
            <w:pPr>
              <w:autoSpaceDE w:val="0"/>
              <w:autoSpaceDN w:val="0"/>
              <w:adjustRightInd w:val="0"/>
              <w:jc w:val="center"/>
            </w:pPr>
            <w:r>
              <w:t>de 7 à 9</w:t>
            </w:r>
          </w:p>
        </w:tc>
        <w:tc>
          <w:tcPr>
            <w:tcW w:w="4606" w:type="dxa"/>
            <w:tcBorders>
              <w:top w:val="single" w:sz="6" w:space="0" w:color="auto"/>
              <w:left w:val="single" w:sz="6" w:space="0" w:color="auto"/>
              <w:bottom w:val="single" w:sz="6" w:space="0" w:color="auto"/>
              <w:right w:val="single" w:sz="12" w:space="0" w:color="auto"/>
            </w:tcBorders>
          </w:tcPr>
          <w:p>
            <w:pPr>
              <w:autoSpaceDE w:val="0"/>
              <w:autoSpaceDN w:val="0"/>
              <w:adjustRightInd w:val="0"/>
              <w:jc w:val="center"/>
            </w:pPr>
            <w:r>
              <w:t>9 périodes</w:t>
            </w:r>
          </w:p>
        </w:tc>
      </w:tr>
      <w:tr>
        <w:trPr>
          <w:jc w:val="center"/>
        </w:trPr>
        <w:tc>
          <w:tcPr>
            <w:tcW w:w="4606" w:type="dxa"/>
            <w:tcBorders>
              <w:top w:val="single" w:sz="6" w:space="0" w:color="auto"/>
              <w:left w:val="single" w:sz="12" w:space="0" w:color="auto"/>
              <w:bottom w:val="single" w:sz="12" w:space="0" w:color="auto"/>
              <w:right w:val="single" w:sz="6" w:space="0" w:color="auto"/>
            </w:tcBorders>
          </w:tcPr>
          <w:p>
            <w:pPr>
              <w:autoSpaceDE w:val="0"/>
              <w:autoSpaceDN w:val="0"/>
              <w:adjustRightInd w:val="0"/>
              <w:jc w:val="center"/>
            </w:pPr>
            <w:r>
              <w:t>supérieure à 9</w:t>
            </w:r>
          </w:p>
        </w:tc>
        <w:tc>
          <w:tcPr>
            <w:tcW w:w="4606" w:type="dxa"/>
            <w:tcBorders>
              <w:top w:val="single" w:sz="6" w:space="0" w:color="auto"/>
              <w:left w:val="single" w:sz="6" w:space="0" w:color="auto"/>
              <w:bottom w:val="single" w:sz="12" w:space="0" w:color="auto"/>
              <w:right w:val="single" w:sz="12" w:space="0" w:color="auto"/>
            </w:tcBorders>
          </w:tcPr>
          <w:p>
            <w:pPr>
              <w:autoSpaceDE w:val="0"/>
              <w:autoSpaceDN w:val="0"/>
              <w:adjustRightInd w:val="0"/>
              <w:jc w:val="center"/>
            </w:pPr>
            <w:r>
              <w:t>12 périodes</w:t>
            </w:r>
          </w:p>
        </w:tc>
      </w:tr>
    </w:tbl>
    <w:p>
      <w:pPr>
        <w:jc w:val="both"/>
        <w:rPr>
          <w:sz w:val="16"/>
          <w:szCs w:val="16"/>
        </w:rPr>
      </w:pPr>
    </w:p>
    <w:p>
      <w:pPr>
        <w:jc w:val="both"/>
      </w:pPr>
      <w:r>
        <w:t>La formule mathématique utilisée pour définir le complément fait appel aux 2 notions suivantes:</w:t>
      </w:r>
    </w:p>
    <w:p>
      <w:pPr>
        <w:jc w:val="both"/>
        <w:rPr>
          <w:sz w:val="8"/>
          <w:szCs w:val="12"/>
        </w:rPr>
      </w:pPr>
    </w:p>
    <w:p>
      <w:pPr>
        <w:numPr>
          <w:ilvl w:val="0"/>
          <w:numId w:val="74"/>
        </w:numPr>
        <w:ind w:left="713" w:hanging="357"/>
        <w:jc w:val="both"/>
      </w:pPr>
      <w:r>
        <w:rPr>
          <w:u w:val="single"/>
        </w:rPr>
        <w:t>Le capital-périodes net</w:t>
      </w:r>
      <w:r>
        <w:t>, qui est le capital-périodes utilisable par l’école ou l’implantation, une fois prélevées les périodes constituant l’éventuel % « art 36 » et les périodes de reliquat.</w:t>
      </w:r>
    </w:p>
    <w:p>
      <w:pPr>
        <w:numPr>
          <w:ilvl w:val="0"/>
          <w:numId w:val="74"/>
        </w:numPr>
        <w:ind w:left="719"/>
        <w:jc w:val="both"/>
        <w:rPr>
          <w:spacing w:val="-2"/>
        </w:rPr>
      </w:pPr>
      <w:r>
        <w:rPr>
          <w:spacing w:val="-2"/>
          <w:u w:val="single"/>
        </w:rPr>
        <w:t>L’apport moyen</w:t>
      </w:r>
      <w:r>
        <w:rPr>
          <w:spacing w:val="-2"/>
        </w:rPr>
        <w:t>, qui est le nombre de périodes générées par chaque élève, obtenu de la division du capital-périodes net par le nombre total d’élèves au 15 janvier avec application des coefficients 1,5. Cet apport moyen est à calculer jusqu’à la 5</w:t>
      </w:r>
      <w:r>
        <w:rPr>
          <w:spacing w:val="-2"/>
          <w:vertAlign w:val="superscript"/>
        </w:rPr>
        <w:t>e</w:t>
      </w:r>
      <w:r>
        <w:rPr>
          <w:spacing w:val="-2"/>
        </w:rPr>
        <w:t xml:space="preserve"> décimale et arrondi à la 4</w:t>
      </w:r>
      <w:r>
        <w:rPr>
          <w:spacing w:val="-2"/>
          <w:vertAlign w:val="superscript"/>
        </w:rPr>
        <w:t xml:space="preserve">e </w:t>
      </w:r>
      <w:r>
        <w:rPr>
          <w:spacing w:val="-2"/>
        </w:rPr>
        <w:t>décimale (arrondi mathématique normal).</w:t>
      </w:r>
    </w:p>
    <w:p>
      <w:pPr>
        <w:jc w:val="both"/>
        <w:rPr>
          <w:sz w:val="12"/>
          <w:szCs w:val="12"/>
        </w:rPr>
      </w:pPr>
    </w:p>
    <w:p>
      <w:pPr>
        <w:tabs>
          <w:tab w:val="left" w:pos="3420"/>
          <w:tab w:val="left" w:pos="6480"/>
        </w:tabs>
        <w:ind w:left="359" w:right="-195"/>
        <w:jc w:val="both"/>
        <w:rPr>
          <w:spacing w:val="-6"/>
        </w:rPr>
      </w:pPr>
      <w:r>
        <w:rPr>
          <w:spacing w:val="-6"/>
        </w:rPr>
        <w:t>1,253349 = 1,25334 = 1,2533</w:t>
      </w:r>
      <w:r>
        <w:rPr>
          <w:spacing w:val="-6"/>
        </w:rPr>
        <w:tab/>
        <w:t xml:space="preserve">1,253350 = 1,25335 = 1,2534 </w:t>
      </w:r>
      <w:r>
        <w:rPr>
          <w:spacing w:val="-6"/>
        </w:rPr>
        <w:tab/>
        <w:t>1,253351=1,25335= 1,2534</w:t>
      </w:r>
    </w:p>
    <w:p>
      <w:pPr>
        <w:rPr>
          <w:sz w:val="16"/>
          <w:szCs w:val="16"/>
        </w:rPr>
      </w:pPr>
    </w:p>
    <w:p>
      <w:pPr>
        <w:jc w:val="both"/>
      </w:pPr>
      <w:r>
        <w:t xml:space="preserve">Ce calcul fait également référence, dans plusieurs cas, à la notion d’arrondi: </w:t>
      </w:r>
    </w:p>
    <w:p>
      <w:pPr>
        <w:pStyle w:val="Textedebulles"/>
        <w:rPr>
          <w:rFonts w:ascii="Arial" w:hAnsi="Arial"/>
          <w:sz w:val="12"/>
          <w:szCs w:val="12"/>
        </w:rPr>
      </w:pPr>
    </w:p>
    <w:p>
      <w:pPr>
        <w:numPr>
          <w:ilvl w:val="0"/>
          <w:numId w:val="77"/>
        </w:numPr>
        <w:ind w:left="719"/>
        <w:jc w:val="both"/>
        <w:rPr>
          <w:spacing w:val="-2"/>
        </w:rPr>
      </w:pPr>
      <w:r>
        <w:rPr>
          <w:spacing w:val="-2"/>
        </w:rPr>
        <w:t xml:space="preserve">Le </w:t>
      </w:r>
      <w:r>
        <w:rPr>
          <w:spacing w:val="-2"/>
          <w:u w:val="single"/>
        </w:rPr>
        <w:t>premier "arrondi"</w:t>
      </w:r>
      <w:r>
        <w:rPr>
          <w:spacing w:val="-2"/>
        </w:rPr>
        <w:t xml:space="preserve"> (ou "</w:t>
      </w:r>
      <w:r>
        <w:rPr>
          <w:spacing w:val="-2"/>
          <w:u w:val="single"/>
        </w:rPr>
        <w:t>Périodes de base</w:t>
      </w:r>
      <w:r>
        <w:rPr>
          <w:spacing w:val="-2"/>
        </w:rPr>
        <w:t>") est utilisé dans le calcul du nombre de périodes générées par les élèves de P1P2 sans application des coefficients 1,5 en multipliant ce nombre d’élèves par l’apport moyen. Le résultat obtenu est toujours arrondi à l’unité inférieure.</w:t>
      </w:r>
    </w:p>
    <w:p>
      <w:pPr>
        <w:ind w:left="359"/>
        <w:jc w:val="both"/>
        <w:rPr>
          <w:sz w:val="4"/>
          <w:szCs w:val="4"/>
        </w:rPr>
      </w:pPr>
    </w:p>
    <w:p>
      <w:pPr>
        <w:numPr>
          <w:ilvl w:val="0"/>
          <w:numId w:val="77"/>
        </w:numPr>
        <w:ind w:left="719"/>
        <w:jc w:val="both"/>
        <w:rPr>
          <w:spacing w:val="-4"/>
        </w:rPr>
      </w:pPr>
      <w:r>
        <w:rPr>
          <w:spacing w:val="-4"/>
        </w:rPr>
        <w:t xml:space="preserve">Le </w:t>
      </w:r>
      <w:r>
        <w:rPr>
          <w:spacing w:val="-4"/>
          <w:u w:val="single"/>
        </w:rPr>
        <w:t>deuxième "arrondi"</w:t>
      </w:r>
      <w:r>
        <w:rPr>
          <w:spacing w:val="-4"/>
        </w:rPr>
        <w:t xml:space="preserve"> (ou "</w:t>
      </w:r>
      <w:r>
        <w:rPr>
          <w:spacing w:val="-4"/>
          <w:u w:val="single"/>
        </w:rPr>
        <w:t>Ratio</w:t>
      </w:r>
      <w:r>
        <w:rPr>
          <w:spacing w:val="-4"/>
        </w:rPr>
        <w:t>") est utilisé dans le calcul de l’encadrement nécessaire pour 20 élèves: le nombre de périodes obtenu au 1</w:t>
      </w:r>
      <w:r>
        <w:rPr>
          <w:spacing w:val="-4"/>
          <w:vertAlign w:val="superscript"/>
        </w:rPr>
        <w:t>er</w:t>
      </w:r>
      <w:r>
        <w:rPr>
          <w:spacing w:val="-4"/>
        </w:rPr>
        <w:t xml:space="preserve"> octobre en divisant la somme des élèves de P1P2 par implantation par 20 et en multipliant ce résultat par 26 est toujours arrondi à l’unité inférieure.</w:t>
      </w:r>
    </w:p>
    <w:p>
      <w:pPr>
        <w:ind w:left="359"/>
        <w:jc w:val="both"/>
        <w:rPr>
          <w:sz w:val="4"/>
          <w:szCs w:val="4"/>
        </w:rPr>
      </w:pPr>
    </w:p>
    <w:p>
      <w:pPr>
        <w:numPr>
          <w:ilvl w:val="0"/>
          <w:numId w:val="77"/>
        </w:numPr>
        <w:ind w:left="719"/>
        <w:jc w:val="both"/>
        <w:rPr>
          <w:spacing w:val="-2"/>
        </w:rPr>
      </w:pPr>
      <w:r>
        <w:rPr>
          <w:spacing w:val="-2"/>
        </w:rPr>
        <w:t xml:space="preserve">Le </w:t>
      </w:r>
      <w:r>
        <w:rPr>
          <w:spacing w:val="-2"/>
          <w:u w:val="single"/>
        </w:rPr>
        <w:t>troisième "arrondi"</w:t>
      </w:r>
      <w:r>
        <w:rPr>
          <w:spacing w:val="-2"/>
        </w:rPr>
        <w:t xml:space="preserve"> est celui "</w:t>
      </w:r>
      <w:r>
        <w:rPr>
          <w:spacing w:val="-2"/>
          <w:u w:val="single"/>
        </w:rPr>
        <w:t>au ¼ temps supérieur</w:t>
      </w:r>
      <w:r>
        <w:rPr>
          <w:spacing w:val="-2"/>
        </w:rPr>
        <w:t>". Il est également utilisé dans le calcul de l’encadrement nécessaire pour 20 élèves. Le nombre de périodes obtenu à l’alinéa précédent est arrondi le cas échéant au quart temps supérieur comme suit :</w:t>
      </w:r>
    </w:p>
    <w:tbl>
      <w:tblPr>
        <w:tblW w:w="93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44"/>
        <w:gridCol w:w="2516"/>
        <w:gridCol w:w="3611"/>
      </w:tblGrid>
      <w:tr>
        <w:trPr>
          <w:trHeight w:val="269"/>
        </w:trPr>
        <w:tc>
          <w:tcPr>
            <w:tcW w:w="3244" w:type="dxa"/>
          </w:tcPr>
          <w:p>
            <w:pPr>
              <w:jc w:val="center"/>
              <w:rPr>
                <w:b/>
                <w:i/>
                <w:sz w:val="20"/>
              </w:rPr>
            </w:pPr>
            <w:r>
              <w:rPr>
                <w:b/>
                <w:i/>
                <w:sz w:val="20"/>
              </w:rPr>
              <w:t>Encadrement nécessaire</w:t>
            </w:r>
          </w:p>
        </w:tc>
        <w:tc>
          <w:tcPr>
            <w:tcW w:w="2516" w:type="dxa"/>
          </w:tcPr>
          <w:p>
            <w:pPr>
              <w:jc w:val="center"/>
              <w:rPr>
                <w:b/>
                <w:i/>
                <w:sz w:val="20"/>
              </w:rPr>
            </w:pPr>
            <w:r>
              <w:rPr>
                <w:b/>
                <w:i/>
                <w:sz w:val="20"/>
              </w:rPr>
              <w:t>Multiple de 26 inférieur</w:t>
            </w:r>
          </w:p>
        </w:tc>
        <w:tc>
          <w:tcPr>
            <w:tcW w:w="3611" w:type="dxa"/>
          </w:tcPr>
          <w:p>
            <w:pPr>
              <w:jc w:val="center"/>
              <w:rPr>
                <w:b/>
                <w:i/>
                <w:sz w:val="20"/>
              </w:rPr>
            </w:pPr>
            <w:r>
              <w:rPr>
                <w:b/>
                <w:i/>
                <w:sz w:val="20"/>
              </w:rPr>
              <w:t>L’arrondi supérieur</w:t>
            </w:r>
          </w:p>
        </w:tc>
      </w:tr>
      <w:tr>
        <w:trPr>
          <w:trHeight w:val="80"/>
        </w:trPr>
        <w:tc>
          <w:tcPr>
            <w:tcW w:w="3244" w:type="dxa"/>
          </w:tcPr>
          <w:p>
            <w:pPr>
              <w:jc w:val="both"/>
              <w:rPr>
                <w:i/>
                <w:sz w:val="20"/>
              </w:rPr>
            </w:pPr>
            <w:r>
              <w:rPr>
                <w:i/>
                <w:sz w:val="20"/>
              </w:rPr>
              <w:t>(40 él: 20) x 26 = 52</w:t>
            </w:r>
          </w:p>
        </w:tc>
        <w:tc>
          <w:tcPr>
            <w:tcW w:w="2516" w:type="dxa"/>
          </w:tcPr>
          <w:p>
            <w:pPr>
              <w:jc w:val="center"/>
              <w:rPr>
                <w:i/>
                <w:sz w:val="20"/>
              </w:rPr>
            </w:pPr>
            <w:r>
              <w:rPr>
                <w:i/>
                <w:sz w:val="20"/>
              </w:rPr>
              <w:t>52</w:t>
            </w:r>
          </w:p>
        </w:tc>
        <w:tc>
          <w:tcPr>
            <w:tcW w:w="3611" w:type="dxa"/>
          </w:tcPr>
          <w:p>
            <w:pPr>
              <w:jc w:val="both"/>
              <w:rPr>
                <w:i/>
                <w:sz w:val="20"/>
              </w:rPr>
            </w:pPr>
            <w:r>
              <w:rPr>
                <w:i/>
                <w:sz w:val="20"/>
              </w:rPr>
              <w:t>à 52 est 52</w:t>
            </w:r>
          </w:p>
        </w:tc>
      </w:tr>
      <w:tr>
        <w:trPr>
          <w:trHeight w:val="80"/>
        </w:trPr>
        <w:tc>
          <w:tcPr>
            <w:tcW w:w="3244" w:type="dxa"/>
          </w:tcPr>
          <w:p>
            <w:pPr>
              <w:jc w:val="both"/>
              <w:rPr>
                <w:i/>
                <w:sz w:val="20"/>
              </w:rPr>
            </w:pPr>
            <w:r>
              <w:rPr>
                <w:i/>
                <w:sz w:val="20"/>
              </w:rPr>
              <w:t>(42 él: 20) x 26 = 54,6 soit 54</w:t>
            </w:r>
          </w:p>
        </w:tc>
        <w:tc>
          <w:tcPr>
            <w:tcW w:w="2516" w:type="dxa"/>
          </w:tcPr>
          <w:p>
            <w:pPr>
              <w:jc w:val="center"/>
              <w:rPr>
                <w:i/>
                <w:sz w:val="20"/>
              </w:rPr>
            </w:pPr>
            <w:r>
              <w:rPr>
                <w:i/>
                <w:sz w:val="20"/>
              </w:rPr>
              <w:t>52</w:t>
            </w:r>
          </w:p>
        </w:tc>
        <w:tc>
          <w:tcPr>
            <w:tcW w:w="3611" w:type="dxa"/>
          </w:tcPr>
          <w:p>
            <w:pPr>
              <w:jc w:val="both"/>
              <w:rPr>
                <w:i/>
                <w:sz w:val="20"/>
              </w:rPr>
            </w:pPr>
            <w:r>
              <w:rPr>
                <w:i/>
                <w:sz w:val="20"/>
              </w:rPr>
              <w:t>à 54 est 52 + 6 = 58</w:t>
            </w:r>
          </w:p>
        </w:tc>
      </w:tr>
      <w:tr>
        <w:trPr>
          <w:trHeight w:val="269"/>
        </w:trPr>
        <w:tc>
          <w:tcPr>
            <w:tcW w:w="3244" w:type="dxa"/>
          </w:tcPr>
          <w:p>
            <w:pPr>
              <w:jc w:val="both"/>
              <w:rPr>
                <w:i/>
                <w:sz w:val="20"/>
              </w:rPr>
            </w:pPr>
            <w:r>
              <w:rPr>
                <w:i/>
                <w:sz w:val="20"/>
              </w:rPr>
              <w:t>(48 él: 20) x 26 = 62,4 soit 62</w:t>
            </w:r>
          </w:p>
        </w:tc>
        <w:tc>
          <w:tcPr>
            <w:tcW w:w="2516" w:type="dxa"/>
          </w:tcPr>
          <w:p>
            <w:pPr>
              <w:jc w:val="center"/>
              <w:rPr>
                <w:i/>
                <w:sz w:val="20"/>
              </w:rPr>
            </w:pPr>
            <w:r>
              <w:rPr>
                <w:i/>
                <w:sz w:val="20"/>
              </w:rPr>
              <w:t>52</w:t>
            </w:r>
          </w:p>
        </w:tc>
        <w:tc>
          <w:tcPr>
            <w:tcW w:w="3611" w:type="dxa"/>
          </w:tcPr>
          <w:p>
            <w:pPr>
              <w:jc w:val="both"/>
              <w:rPr>
                <w:i/>
                <w:sz w:val="20"/>
              </w:rPr>
            </w:pPr>
            <w:r>
              <w:rPr>
                <w:i/>
                <w:sz w:val="20"/>
              </w:rPr>
              <w:t>à 62 est 52 + 6 + 6 = 64</w:t>
            </w:r>
          </w:p>
        </w:tc>
      </w:tr>
      <w:tr>
        <w:trPr>
          <w:trHeight w:val="251"/>
        </w:trPr>
        <w:tc>
          <w:tcPr>
            <w:tcW w:w="3244" w:type="dxa"/>
          </w:tcPr>
          <w:p>
            <w:pPr>
              <w:jc w:val="both"/>
              <w:rPr>
                <w:i/>
                <w:sz w:val="20"/>
              </w:rPr>
            </w:pPr>
            <w:r>
              <w:rPr>
                <w:i/>
                <w:sz w:val="20"/>
              </w:rPr>
              <w:t>(52 él: 20) x 26 = 67,6 soit 67</w:t>
            </w:r>
          </w:p>
        </w:tc>
        <w:tc>
          <w:tcPr>
            <w:tcW w:w="2516" w:type="dxa"/>
          </w:tcPr>
          <w:p>
            <w:pPr>
              <w:jc w:val="center"/>
              <w:rPr>
                <w:i/>
                <w:sz w:val="20"/>
              </w:rPr>
            </w:pPr>
            <w:r>
              <w:rPr>
                <w:i/>
                <w:sz w:val="20"/>
              </w:rPr>
              <w:t>52</w:t>
            </w:r>
          </w:p>
        </w:tc>
        <w:tc>
          <w:tcPr>
            <w:tcW w:w="3611" w:type="dxa"/>
          </w:tcPr>
          <w:p>
            <w:pPr>
              <w:jc w:val="both"/>
              <w:rPr>
                <w:i/>
                <w:sz w:val="20"/>
              </w:rPr>
            </w:pPr>
            <w:r>
              <w:rPr>
                <w:i/>
                <w:sz w:val="20"/>
              </w:rPr>
              <w:t>à 67 est 52 + 6 + 6 + 6 = 70</w:t>
            </w:r>
          </w:p>
        </w:tc>
      </w:tr>
      <w:tr>
        <w:trPr>
          <w:trHeight w:val="269"/>
        </w:trPr>
        <w:tc>
          <w:tcPr>
            <w:tcW w:w="3244" w:type="dxa"/>
          </w:tcPr>
          <w:p>
            <w:pPr>
              <w:jc w:val="both"/>
              <w:rPr>
                <w:i/>
                <w:sz w:val="20"/>
              </w:rPr>
            </w:pPr>
            <w:r>
              <w:rPr>
                <w:i/>
                <w:sz w:val="20"/>
              </w:rPr>
              <w:t>(58 él: 20) x 26 = 75,4 soit 75</w:t>
            </w:r>
          </w:p>
        </w:tc>
        <w:tc>
          <w:tcPr>
            <w:tcW w:w="2516" w:type="dxa"/>
          </w:tcPr>
          <w:p>
            <w:pPr>
              <w:jc w:val="center"/>
              <w:rPr>
                <w:i/>
                <w:sz w:val="20"/>
              </w:rPr>
            </w:pPr>
            <w:r>
              <w:rPr>
                <w:i/>
                <w:sz w:val="20"/>
              </w:rPr>
              <w:t>52</w:t>
            </w:r>
          </w:p>
        </w:tc>
        <w:tc>
          <w:tcPr>
            <w:tcW w:w="3611" w:type="dxa"/>
          </w:tcPr>
          <w:p>
            <w:pPr>
              <w:jc w:val="both"/>
              <w:rPr>
                <w:i/>
                <w:sz w:val="20"/>
              </w:rPr>
            </w:pPr>
            <w:r>
              <w:rPr>
                <w:i/>
                <w:sz w:val="20"/>
              </w:rPr>
              <w:t>à 75 est 52 + 6 + 6 + 6 + 8 = 78</w:t>
            </w:r>
          </w:p>
        </w:tc>
      </w:tr>
    </w:tbl>
    <w:p>
      <w:pPr>
        <w:ind w:left="719"/>
        <w:jc w:val="both"/>
        <w:rPr>
          <w:b/>
          <w:i/>
          <w:spacing w:val="-2"/>
          <w:sz w:val="12"/>
          <w:szCs w:val="12"/>
        </w:rPr>
      </w:pPr>
    </w:p>
    <w:p>
      <w:pPr>
        <w:ind w:left="719"/>
        <w:jc w:val="both"/>
        <w:rPr>
          <w:b/>
          <w:i/>
          <w:spacing w:val="-2"/>
          <w:sz w:val="20"/>
        </w:rPr>
      </w:pPr>
      <w:r>
        <w:rPr>
          <w:b/>
          <w:i/>
          <w:spacing w:val="-2"/>
          <w:sz w:val="20"/>
        </w:rPr>
        <w:t>Le 4</w:t>
      </w:r>
      <w:r>
        <w:rPr>
          <w:b/>
          <w:i/>
          <w:spacing w:val="-2"/>
          <w:sz w:val="20"/>
          <w:vertAlign w:val="superscript"/>
        </w:rPr>
        <w:t xml:space="preserve">e </w:t>
      </w:r>
      <w:r>
        <w:rPr>
          <w:b/>
          <w:i/>
          <w:spacing w:val="-2"/>
          <w:sz w:val="20"/>
        </w:rPr>
        <w:t>¼ temps correspond toujours à 6 périodes "titulaire" + 2 périodes "éducation physique", que l’école organise une classe ou utilise ces périodes pour un maître d’adaptation et de soutien pédagogique.</w:t>
      </w:r>
    </w:p>
    <w:p>
      <w:pPr>
        <w:jc w:val="both"/>
        <w:rPr>
          <w:sz w:val="12"/>
          <w:szCs w:val="12"/>
        </w:rPr>
      </w:pPr>
    </w:p>
    <w:p>
      <w:pPr>
        <w:pStyle w:val="Corpsdetexte"/>
        <w:ind w:left="719"/>
        <w:rPr>
          <w:rFonts w:cs="Times New Roman"/>
          <w:spacing w:val="-4"/>
        </w:rPr>
      </w:pPr>
      <w:r>
        <w:rPr>
          <w:rFonts w:cs="Times New Roman"/>
          <w:spacing w:val="-4"/>
        </w:rPr>
        <w:t>Si le nombre d’élèves en P1P2 est inférieur à 20, l’arrondi au ¼ temps supérieur se calcule comme suit:</w:t>
      </w:r>
    </w:p>
    <w:p>
      <w:pPr>
        <w:jc w:val="both"/>
        <w:rPr>
          <w:sz w:val="12"/>
          <w:szCs w:val="12"/>
        </w:rPr>
      </w:pPr>
    </w:p>
    <w:tbl>
      <w:tblPr>
        <w:tblW w:w="9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240"/>
        <w:gridCol w:w="2520"/>
        <w:gridCol w:w="3600"/>
      </w:tblGrid>
      <w:tr>
        <w:tc>
          <w:tcPr>
            <w:tcW w:w="3240" w:type="dxa"/>
          </w:tcPr>
          <w:p>
            <w:pPr>
              <w:jc w:val="center"/>
              <w:rPr>
                <w:b/>
                <w:i/>
                <w:sz w:val="20"/>
              </w:rPr>
            </w:pPr>
            <w:r>
              <w:rPr>
                <w:b/>
                <w:i/>
                <w:sz w:val="20"/>
              </w:rPr>
              <w:t>Encadrement nécessaire</w:t>
            </w:r>
          </w:p>
        </w:tc>
        <w:tc>
          <w:tcPr>
            <w:tcW w:w="2520" w:type="dxa"/>
          </w:tcPr>
          <w:p>
            <w:pPr>
              <w:jc w:val="center"/>
              <w:rPr>
                <w:b/>
                <w:i/>
                <w:sz w:val="20"/>
              </w:rPr>
            </w:pPr>
            <w:r>
              <w:rPr>
                <w:b/>
                <w:i/>
                <w:sz w:val="20"/>
              </w:rPr>
              <w:t>Multiple de 26 inférieur</w:t>
            </w:r>
          </w:p>
        </w:tc>
        <w:tc>
          <w:tcPr>
            <w:tcW w:w="3600" w:type="dxa"/>
          </w:tcPr>
          <w:p>
            <w:pPr>
              <w:jc w:val="center"/>
              <w:rPr>
                <w:b/>
                <w:i/>
                <w:sz w:val="20"/>
              </w:rPr>
            </w:pPr>
            <w:r>
              <w:rPr>
                <w:b/>
                <w:i/>
                <w:sz w:val="20"/>
              </w:rPr>
              <w:t>L’arrondi supérieur</w:t>
            </w:r>
          </w:p>
        </w:tc>
      </w:tr>
      <w:tr>
        <w:tc>
          <w:tcPr>
            <w:tcW w:w="3240" w:type="dxa"/>
          </w:tcPr>
          <w:p>
            <w:pPr>
              <w:jc w:val="both"/>
              <w:rPr>
                <w:i/>
                <w:sz w:val="20"/>
              </w:rPr>
            </w:pPr>
            <w:r>
              <w:rPr>
                <w:i/>
                <w:sz w:val="20"/>
              </w:rPr>
              <w:t>(5 él: 20) x 26 = 6,5 soit 6</w:t>
            </w:r>
          </w:p>
        </w:tc>
        <w:tc>
          <w:tcPr>
            <w:tcW w:w="2520" w:type="dxa"/>
          </w:tcPr>
          <w:p>
            <w:pPr>
              <w:jc w:val="center"/>
              <w:rPr>
                <w:i/>
                <w:sz w:val="20"/>
              </w:rPr>
            </w:pPr>
            <w:r>
              <w:rPr>
                <w:i/>
                <w:sz w:val="20"/>
              </w:rPr>
              <w:t>0</w:t>
            </w:r>
          </w:p>
        </w:tc>
        <w:tc>
          <w:tcPr>
            <w:tcW w:w="3600" w:type="dxa"/>
          </w:tcPr>
          <w:p>
            <w:pPr>
              <w:jc w:val="both"/>
              <w:rPr>
                <w:i/>
                <w:sz w:val="20"/>
              </w:rPr>
            </w:pPr>
            <w:r>
              <w:rPr>
                <w:i/>
                <w:sz w:val="20"/>
              </w:rPr>
              <w:t>à 6 est 0 + 6 = 6</w:t>
            </w:r>
          </w:p>
        </w:tc>
      </w:tr>
      <w:tr>
        <w:tc>
          <w:tcPr>
            <w:tcW w:w="3240" w:type="dxa"/>
          </w:tcPr>
          <w:p>
            <w:pPr>
              <w:jc w:val="both"/>
              <w:rPr>
                <w:i/>
                <w:sz w:val="20"/>
              </w:rPr>
            </w:pPr>
            <w:r>
              <w:rPr>
                <w:i/>
                <w:sz w:val="20"/>
              </w:rPr>
              <w:t>(8 él: 20) x 26 = 10,4 soit 10</w:t>
            </w:r>
          </w:p>
        </w:tc>
        <w:tc>
          <w:tcPr>
            <w:tcW w:w="2520" w:type="dxa"/>
          </w:tcPr>
          <w:p>
            <w:pPr>
              <w:jc w:val="center"/>
              <w:rPr>
                <w:i/>
                <w:sz w:val="20"/>
              </w:rPr>
            </w:pPr>
            <w:r>
              <w:rPr>
                <w:i/>
                <w:sz w:val="20"/>
              </w:rPr>
              <w:t>0</w:t>
            </w:r>
          </w:p>
        </w:tc>
        <w:tc>
          <w:tcPr>
            <w:tcW w:w="3600" w:type="dxa"/>
          </w:tcPr>
          <w:p>
            <w:pPr>
              <w:jc w:val="both"/>
              <w:rPr>
                <w:i/>
                <w:sz w:val="20"/>
              </w:rPr>
            </w:pPr>
            <w:r>
              <w:rPr>
                <w:i/>
                <w:sz w:val="20"/>
              </w:rPr>
              <w:t>à 10 est 0 + 6 + 6 = 12</w:t>
            </w:r>
          </w:p>
        </w:tc>
      </w:tr>
      <w:tr>
        <w:tc>
          <w:tcPr>
            <w:tcW w:w="3240" w:type="dxa"/>
          </w:tcPr>
          <w:p>
            <w:pPr>
              <w:jc w:val="both"/>
              <w:rPr>
                <w:i/>
                <w:sz w:val="20"/>
              </w:rPr>
            </w:pPr>
            <w:r>
              <w:rPr>
                <w:i/>
                <w:sz w:val="20"/>
              </w:rPr>
              <w:t>(13 él: 20) x 26 = 16,9 soit 16</w:t>
            </w:r>
          </w:p>
        </w:tc>
        <w:tc>
          <w:tcPr>
            <w:tcW w:w="2520" w:type="dxa"/>
          </w:tcPr>
          <w:p>
            <w:pPr>
              <w:jc w:val="center"/>
              <w:rPr>
                <w:i/>
                <w:sz w:val="20"/>
              </w:rPr>
            </w:pPr>
            <w:r>
              <w:rPr>
                <w:i/>
                <w:sz w:val="20"/>
              </w:rPr>
              <w:t>0</w:t>
            </w:r>
          </w:p>
        </w:tc>
        <w:tc>
          <w:tcPr>
            <w:tcW w:w="3600" w:type="dxa"/>
          </w:tcPr>
          <w:p>
            <w:pPr>
              <w:jc w:val="both"/>
              <w:rPr>
                <w:i/>
                <w:sz w:val="20"/>
              </w:rPr>
            </w:pPr>
            <w:r>
              <w:rPr>
                <w:i/>
                <w:sz w:val="20"/>
              </w:rPr>
              <w:t>à 16 est 0 + 6 + 6 + 6 = 18</w:t>
            </w:r>
          </w:p>
        </w:tc>
      </w:tr>
      <w:tr>
        <w:tc>
          <w:tcPr>
            <w:tcW w:w="3240" w:type="dxa"/>
          </w:tcPr>
          <w:p>
            <w:pPr>
              <w:jc w:val="both"/>
              <w:rPr>
                <w:i/>
                <w:sz w:val="20"/>
              </w:rPr>
            </w:pPr>
            <w:r>
              <w:rPr>
                <w:i/>
                <w:sz w:val="20"/>
              </w:rPr>
              <w:t>(18 él: 20) x 26 = 23,4 soit 23</w:t>
            </w:r>
          </w:p>
        </w:tc>
        <w:tc>
          <w:tcPr>
            <w:tcW w:w="2520" w:type="dxa"/>
          </w:tcPr>
          <w:p>
            <w:pPr>
              <w:jc w:val="center"/>
              <w:rPr>
                <w:i/>
                <w:sz w:val="20"/>
              </w:rPr>
            </w:pPr>
            <w:r>
              <w:rPr>
                <w:i/>
                <w:sz w:val="20"/>
              </w:rPr>
              <w:t>0</w:t>
            </w:r>
          </w:p>
        </w:tc>
        <w:tc>
          <w:tcPr>
            <w:tcW w:w="3600" w:type="dxa"/>
          </w:tcPr>
          <w:p>
            <w:pPr>
              <w:jc w:val="both"/>
              <w:rPr>
                <w:i/>
                <w:sz w:val="20"/>
              </w:rPr>
            </w:pPr>
            <w:r>
              <w:rPr>
                <w:i/>
                <w:sz w:val="20"/>
              </w:rPr>
              <w:t>à 23 est 0 + 6 + 6 + 6 + 8 = 26</w:t>
            </w:r>
          </w:p>
        </w:tc>
      </w:tr>
    </w:tbl>
    <w:p>
      <w:pPr>
        <w:pStyle w:val="Notedebasdepage"/>
        <w:rPr>
          <w:sz w:val="8"/>
          <w:szCs w:val="8"/>
        </w:rPr>
      </w:pPr>
    </w:p>
    <w:p>
      <w:pPr>
        <w:pStyle w:val="Corpsdetexte"/>
        <w:rPr>
          <w:rFonts w:cs="Times New Roman"/>
          <w:spacing w:val="0"/>
        </w:rPr>
      </w:pPr>
      <w:r>
        <w:rPr>
          <w:rFonts w:cs="Times New Roman"/>
          <w:spacing w:val="0"/>
        </w:rPr>
        <w:t xml:space="preserve">Pour des exemples du calcul, il convient de se référer à la </w:t>
      </w:r>
      <w:hyperlink r:id="rId104" w:history="1">
        <w:r>
          <w:rPr>
            <w:rStyle w:val="Lienhypertexte"/>
            <w:rFonts w:cs="Times New Roman"/>
            <w:color w:val="auto"/>
            <w:spacing w:val="0"/>
          </w:rPr>
          <w:t>circulaire 1168 du 27 juin 2005.</w:t>
        </w:r>
      </w:hyperlink>
      <w:r>
        <w:rPr>
          <w:rFonts w:cs="Times New Roman"/>
          <w:spacing w:val="0"/>
        </w:rPr>
        <w:t xml:space="preserve"> </w:t>
      </w:r>
    </w:p>
    <w:p>
      <w:pPr>
        <w:jc w:val="both"/>
        <w:rPr>
          <w:sz w:val="16"/>
        </w:rPr>
      </w:pPr>
    </w:p>
    <w:p>
      <w:pPr>
        <w:jc w:val="both"/>
        <w:rPr>
          <w:spacing w:val="-2"/>
        </w:rPr>
      </w:pPr>
      <w:r>
        <w:rPr>
          <w:spacing w:val="-2"/>
        </w:rPr>
        <w:t>Le nombre de périodes qui est destiné à l’encadrement pédagogique des élèves de P1P2 est le résultat de l’addition des périodes générées par ces élèves (nombre d’élèves multiplié par l’apport moyen au 15 janvier) et des périodes du complément octroyées au 1</w:t>
      </w:r>
      <w:r>
        <w:rPr>
          <w:spacing w:val="-2"/>
          <w:vertAlign w:val="superscript"/>
        </w:rPr>
        <w:t>er</w:t>
      </w:r>
      <w:r>
        <w:rPr>
          <w:spacing w:val="-2"/>
        </w:rPr>
        <w:t xml:space="preserve"> octobre. </w:t>
      </w:r>
    </w:p>
    <w:p>
      <w:pPr>
        <w:jc w:val="both"/>
        <w:rPr>
          <w:b/>
          <w:sz w:val="12"/>
          <w:szCs w:val="16"/>
        </w:rPr>
      </w:pPr>
    </w:p>
    <w:p>
      <w:pPr>
        <w:pStyle w:val="Sansinterligne1"/>
        <w:jc w:val="both"/>
        <w:rPr>
          <w:rFonts w:ascii="Arial" w:hAnsi="Arial" w:cs="Arial"/>
        </w:rPr>
      </w:pPr>
      <w:r>
        <w:rPr>
          <w:rFonts w:ascii="Arial" w:hAnsi="Arial" w:cs="Arial"/>
        </w:rPr>
        <w:t>Le complément de périodes destiné à l’encadrement spécifique en P1 et P2, est prioritairement affecté au 1</w:t>
      </w:r>
      <w:r>
        <w:rPr>
          <w:rFonts w:ascii="Arial" w:hAnsi="Arial" w:cs="Arial"/>
          <w:vertAlign w:val="superscript"/>
        </w:rPr>
        <w:t>er</w:t>
      </w:r>
      <w:r>
        <w:rPr>
          <w:rFonts w:ascii="Arial" w:hAnsi="Arial" w:cs="Arial"/>
        </w:rPr>
        <w:t xml:space="preserve"> degré. Une partie de ces périodes pourrait être transférée vers les autres degrés pour autant que deux conditions soient rencontrées: </w:t>
      </w:r>
      <w:r>
        <w:rPr>
          <w:rFonts w:ascii="Arial" w:hAnsi="Arial" w:cs="Arial"/>
          <w:u w:val="single"/>
        </w:rPr>
        <w:t>le ratio et le maximum sont respectés au 1</w:t>
      </w:r>
      <w:r>
        <w:rPr>
          <w:rFonts w:ascii="Arial" w:hAnsi="Arial" w:cs="Arial"/>
          <w:u w:val="single"/>
          <w:vertAlign w:val="superscript"/>
        </w:rPr>
        <w:t>er</w:t>
      </w:r>
      <w:r>
        <w:rPr>
          <w:rFonts w:ascii="Arial" w:hAnsi="Arial" w:cs="Arial"/>
          <w:u w:val="single"/>
        </w:rPr>
        <w:t xml:space="preserve"> degré </w:t>
      </w:r>
      <w:r>
        <w:rPr>
          <w:rFonts w:ascii="Arial" w:hAnsi="Arial" w:cs="Arial"/>
          <w:b/>
          <w:u w:val="single"/>
        </w:rPr>
        <w:t>ET</w:t>
      </w:r>
      <w:r>
        <w:rPr>
          <w:rFonts w:ascii="Arial" w:hAnsi="Arial" w:cs="Arial"/>
          <w:u w:val="single"/>
        </w:rPr>
        <w:t xml:space="preserve"> ce transfert participe au respect des ratios et maxima dans un(les) autre(s) degrés. (voir également le </w:t>
      </w:r>
      <w:hyperlink w:anchor="chapitre3_3" w:history="1">
        <w:r>
          <w:rPr>
            <w:rStyle w:val="Lienhypertexte"/>
            <w:rFonts w:ascii="Arial" w:hAnsi="Arial" w:cs="Arial"/>
          </w:rPr>
          <w:t>chapitre 3.3</w:t>
        </w:r>
      </w:hyperlink>
      <w:r>
        <w:rPr>
          <w:rFonts w:ascii="Arial" w:hAnsi="Arial" w:cs="Arial"/>
          <w:u w:val="single"/>
        </w:rPr>
        <w:t>).</w:t>
      </w:r>
    </w:p>
    <w:p>
      <w:pPr>
        <w:jc w:val="both"/>
        <w:rPr>
          <w:b/>
          <w:i/>
          <w:iCs/>
          <w:sz w:val="8"/>
        </w:rPr>
      </w:pPr>
    </w:p>
    <w:p>
      <w:pPr>
        <w:jc w:val="both"/>
        <w:rPr>
          <w:b/>
        </w:rPr>
      </w:pPr>
      <w:r>
        <w:rPr>
          <w:b/>
        </w:rPr>
        <w:t>Les périodes attribuées aux écoles et implantations à destination des élèves de P1P2 sont à considérer comme des périodes organiques</w:t>
      </w:r>
      <w:r>
        <w:rPr>
          <w:rStyle w:val="Appelnotedebasdep"/>
          <w:b/>
        </w:rPr>
        <w:footnoteReference w:id="46"/>
      </w:r>
      <w:r>
        <w:rPr>
          <w:b/>
        </w:rPr>
        <w:t xml:space="preserve"> et doivent être utilisées comme telles. </w:t>
      </w:r>
    </w:p>
    <w:p>
      <w:pPr>
        <w:jc w:val="both"/>
        <w:rPr>
          <w:b/>
        </w:rPr>
      </w:pPr>
    </w:p>
    <w:p>
      <w:pPr>
        <w:jc w:val="both"/>
        <w:rPr>
          <w:b/>
          <w:i/>
          <w:u w:val="single"/>
        </w:rPr>
      </w:pPr>
      <w:r>
        <w:rPr>
          <w:b/>
          <w:i/>
          <w:u w:val="single"/>
        </w:rPr>
        <w:t>Quelques situations particulières</w:t>
      </w:r>
    </w:p>
    <w:p>
      <w:pPr>
        <w:jc w:val="both"/>
        <w:rPr>
          <w:b/>
          <w:sz w:val="4"/>
          <w:szCs w:val="4"/>
        </w:rPr>
      </w:pPr>
    </w:p>
    <w:p>
      <w:pPr>
        <w:numPr>
          <w:ilvl w:val="0"/>
          <w:numId w:val="75"/>
        </w:numPr>
        <w:tabs>
          <w:tab w:val="clear" w:pos="720"/>
          <w:tab w:val="num" w:pos="360"/>
        </w:tabs>
        <w:ind w:left="359"/>
        <w:jc w:val="both"/>
        <w:rPr>
          <w:b/>
        </w:rPr>
      </w:pPr>
      <w:r>
        <w:rPr>
          <w:b/>
        </w:rPr>
        <w:t>Implantations à comptage séparé dans l’enseignement libre</w:t>
      </w:r>
    </w:p>
    <w:p>
      <w:pPr>
        <w:pStyle w:val="Corpsdetexte"/>
      </w:pPr>
      <w:r>
        <w:t>Dans l’enseignement libre subventionné, lorsqu’une école comprend une ou plusieurs implantations à comptage séparé, les reliquats sont additionnés et le résultat est divisé par 12. Le quotient entier reste dans l’école et/ou ses implantations. Le reste de la division constitue le reliquat transférable.</w:t>
      </w:r>
    </w:p>
    <w:p>
      <w:pPr>
        <w:jc w:val="both"/>
        <w:rPr>
          <w:spacing w:val="-2"/>
          <w:sz w:val="4"/>
          <w:szCs w:val="4"/>
        </w:rPr>
      </w:pPr>
    </w:p>
    <w:p>
      <w:pPr>
        <w:spacing w:after="120"/>
        <w:jc w:val="both"/>
        <w:rPr>
          <w:spacing w:val="-2"/>
        </w:rPr>
      </w:pPr>
      <w:r>
        <w:rPr>
          <w:spacing w:val="-2"/>
        </w:rPr>
        <w:t xml:space="preserve">Pour calculer l’apport moyen, il convient dès lors de décider de la répartition des périodes « maître d’adaptation et de soutien pédagogique » entre les différentes implantations. </w:t>
      </w:r>
    </w:p>
    <w:p>
      <w:pPr>
        <w:numPr>
          <w:ilvl w:val="0"/>
          <w:numId w:val="75"/>
        </w:numPr>
        <w:tabs>
          <w:tab w:val="clear" w:pos="720"/>
          <w:tab w:val="num" w:pos="360"/>
        </w:tabs>
        <w:ind w:left="359"/>
        <w:jc w:val="both"/>
        <w:rPr>
          <w:b/>
        </w:rPr>
      </w:pPr>
      <w:r>
        <w:rPr>
          <w:b/>
        </w:rPr>
        <w:t>Implantation dont la population évolue entre le 15 janvier et le 30 septembre</w:t>
      </w:r>
    </w:p>
    <w:p>
      <w:pPr>
        <w:pStyle w:val="Corpsdetexte"/>
        <w:rPr>
          <w:spacing w:val="0"/>
        </w:rPr>
      </w:pPr>
      <w:r>
        <w:rPr>
          <w:spacing w:val="0"/>
        </w:rPr>
        <w:t>Si une école ou implantation à comptage séparé compte plus de 50 élèves au 15 janvier mais moins de 51 élèves au 30 septembre, elle reste visée par cette disposition octroyant des périodes complémentaires aux élèves de P1P2 sauf si l’article 27 du décret du 13 juillet 1998 (recomptage) est d’application.</w:t>
      </w:r>
    </w:p>
    <w:p>
      <w:pPr>
        <w:jc w:val="both"/>
        <w:rPr>
          <w:sz w:val="4"/>
          <w:szCs w:val="4"/>
        </w:rPr>
      </w:pPr>
    </w:p>
    <w:p>
      <w:pPr>
        <w:pStyle w:val="Corpsdetexte"/>
        <w:spacing w:after="120"/>
        <w:rPr>
          <w:rFonts w:cs="Times New Roman"/>
          <w:spacing w:val="0"/>
        </w:rPr>
      </w:pPr>
      <w:r>
        <w:rPr>
          <w:rFonts w:cs="Times New Roman"/>
          <w:spacing w:val="0"/>
        </w:rPr>
        <w:t>Si une école ou implantation à comptage séparé compte moins de 51 élèves au 15 janvier mais plus de 50 élèves au 30 septembre, elle n’est pas visée par cette disposition sauf si l’article 27 du décret du 13 juillet 1998 (recomptage) est d’application.</w:t>
      </w:r>
    </w:p>
    <w:p>
      <w:pPr>
        <w:numPr>
          <w:ilvl w:val="0"/>
          <w:numId w:val="75"/>
        </w:numPr>
        <w:tabs>
          <w:tab w:val="clear" w:pos="720"/>
          <w:tab w:val="num" w:pos="360"/>
        </w:tabs>
        <w:ind w:left="359"/>
        <w:jc w:val="both"/>
        <w:rPr>
          <w:b/>
        </w:rPr>
      </w:pPr>
      <w:r>
        <w:rPr>
          <w:b/>
        </w:rPr>
        <w:t>Restructuration d’implantations</w:t>
      </w:r>
    </w:p>
    <w:p>
      <w:pPr>
        <w:jc w:val="both"/>
      </w:pPr>
      <w:r>
        <w:t>En cas de restructuration d’implantations mise en œuvre dans le cadre de l’arrêté royal du 2 août 1984, le calcul de l’apport moyen défini précédemment pour préciser le nombre de périodes complémentaires pour les P1P2 s’effectue sur la base des nombres d’élèves pris en considération pour le calcul du Capital-périodes (15 janvier ou 30 septembre selon le type de restructuration).</w:t>
      </w:r>
      <w:bookmarkStart w:id="980" w:name="_3.2.4._Cours_de"/>
      <w:bookmarkEnd w:id="980"/>
    </w:p>
    <w:p>
      <w:pPr>
        <w:jc w:val="both"/>
      </w:pPr>
    </w:p>
    <w:p>
      <w:pPr>
        <w:ind w:firstLine="708"/>
        <w:jc w:val="both"/>
      </w:pPr>
    </w:p>
    <w:p>
      <w:pPr>
        <w:pStyle w:val="Titre3"/>
      </w:pPr>
      <w:bookmarkStart w:id="981" w:name="_Toc295932032"/>
      <w:bookmarkStart w:id="982" w:name="_Toc295913762"/>
      <w:bookmarkStart w:id="983" w:name="_Toc423420050"/>
      <w:bookmarkStart w:id="984" w:name="_Toc450645257"/>
      <w:bookmarkStart w:id="985" w:name="_Toc453942493"/>
      <w:bookmarkStart w:id="986" w:name="_Toc454888110"/>
      <w:bookmarkStart w:id="987" w:name="_Toc486241772"/>
      <w:r>
        <w:t>3.2.4. Cours de langue moderne (seconde langue)</w:t>
      </w:r>
      <w:bookmarkEnd w:id="981"/>
      <w:bookmarkEnd w:id="982"/>
      <w:bookmarkEnd w:id="983"/>
      <w:bookmarkEnd w:id="984"/>
      <w:bookmarkEnd w:id="985"/>
      <w:bookmarkEnd w:id="986"/>
      <w:bookmarkEnd w:id="987"/>
    </w:p>
    <w:p>
      <w:pPr>
        <w:jc w:val="both"/>
        <w:rPr>
          <w:sz w:val="16"/>
          <w:szCs w:val="16"/>
          <w:lang w:val="fr-BE"/>
        </w:rPr>
      </w:pPr>
    </w:p>
    <w:p>
      <w:pPr>
        <w:jc w:val="both"/>
        <w:rPr>
          <w:szCs w:val="22"/>
        </w:rPr>
      </w:pPr>
      <w:r>
        <w:rPr>
          <w:szCs w:val="22"/>
        </w:rPr>
        <w:t>L'apprentissage d'une langue moderne autre que le français comprend au moins 2 périodes hebdomadaires en 5</w:t>
      </w:r>
      <w:r>
        <w:rPr>
          <w:szCs w:val="22"/>
          <w:vertAlign w:val="superscript"/>
        </w:rPr>
        <w:t>e</w:t>
      </w:r>
      <w:r>
        <w:rPr>
          <w:szCs w:val="22"/>
        </w:rPr>
        <w:t xml:space="preserve"> et 6</w:t>
      </w:r>
      <w:r>
        <w:rPr>
          <w:szCs w:val="22"/>
          <w:vertAlign w:val="superscript"/>
        </w:rPr>
        <w:t>e</w:t>
      </w:r>
      <w:r>
        <w:rPr>
          <w:szCs w:val="22"/>
        </w:rPr>
        <w:t xml:space="preserve"> années, sauf dans les 19 communes bruxelloises et dans les communes wallonnes à statut linguistique spécial, où l'enseignement d'une seconde langue est obligatoire à raison de 3 périodes hebdomadaires en 3</w:t>
      </w:r>
      <w:r>
        <w:rPr>
          <w:szCs w:val="22"/>
          <w:vertAlign w:val="superscript"/>
        </w:rPr>
        <w:t>e</w:t>
      </w:r>
      <w:r>
        <w:rPr>
          <w:szCs w:val="22"/>
        </w:rPr>
        <w:t xml:space="preserve"> et 4</w:t>
      </w:r>
      <w:r>
        <w:rPr>
          <w:szCs w:val="22"/>
          <w:vertAlign w:val="superscript"/>
        </w:rPr>
        <w:t>e</w:t>
      </w:r>
      <w:r>
        <w:rPr>
          <w:szCs w:val="22"/>
        </w:rPr>
        <w:t xml:space="preserve"> et 5 périodes hebdomadaires en 5</w:t>
      </w:r>
      <w:r>
        <w:rPr>
          <w:szCs w:val="22"/>
          <w:vertAlign w:val="superscript"/>
        </w:rPr>
        <w:t>e</w:t>
      </w:r>
      <w:r>
        <w:rPr>
          <w:szCs w:val="22"/>
        </w:rPr>
        <w:t xml:space="preserve"> et 6</w:t>
      </w:r>
      <w:r>
        <w:rPr>
          <w:szCs w:val="22"/>
          <w:vertAlign w:val="superscript"/>
        </w:rPr>
        <w:t>e</w:t>
      </w:r>
      <w:r>
        <w:rPr>
          <w:szCs w:val="22"/>
        </w:rPr>
        <w:t xml:space="preserve">. </w:t>
      </w:r>
    </w:p>
    <w:p>
      <w:pPr>
        <w:jc w:val="both"/>
        <w:rPr>
          <w:sz w:val="12"/>
          <w:szCs w:val="22"/>
        </w:rPr>
      </w:pPr>
    </w:p>
    <w:p>
      <w:pPr>
        <w:jc w:val="both"/>
        <w:rPr>
          <w:szCs w:val="22"/>
        </w:rPr>
      </w:pPr>
      <w:r>
        <w:rPr>
          <w:szCs w:val="22"/>
        </w:rPr>
        <w:t>Le nombre de périodes générées spécifiquement pour les cours de langue moderne, applicable du 1</w:t>
      </w:r>
      <w:r>
        <w:rPr>
          <w:szCs w:val="22"/>
          <w:vertAlign w:val="superscript"/>
        </w:rPr>
        <w:t>er</w:t>
      </w:r>
      <w:r>
        <w:rPr>
          <w:szCs w:val="22"/>
        </w:rPr>
        <w:t xml:space="preserve"> septembre à la fin de l'année scolaire, est déterminé sur base du nombre global des élèves </w:t>
      </w:r>
      <w:r>
        <w:rPr>
          <w:szCs w:val="22"/>
          <w:u w:val="single"/>
        </w:rPr>
        <w:t>de 4</w:t>
      </w:r>
      <w:r>
        <w:rPr>
          <w:szCs w:val="22"/>
          <w:u w:val="single"/>
          <w:vertAlign w:val="superscript"/>
        </w:rPr>
        <w:t xml:space="preserve">e </w:t>
      </w:r>
      <w:r>
        <w:rPr>
          <w:szCs w:val="22"/>
          <w:u w:val="single"/>
        </w:rPr>
        <w:t>et 5</w:t>
      </w:r>
      <w:r>
        <w:rPr>
          <w:szCs w:val="22"/>
          <w:u w:val="single"/>
          <w:vertAlign w:val="superscript"/>
        </w:rPr>
        <w:t>e</w:t>
      </w:r>
      <w:r>
        <w:rPr>
          <w:szCs w:val="22"/>
          <w:u w:val="single"/>
        </w:rPr>
        <w:t xml:space="preserve"> primaires au 15 janvier précédent</w:t>
      </w:r>
      <w:r>
        <w:rPr>
          <w:szCs w:val="22"/>
        </w:rPr>
        <w:t>, sans application des coefficients 1,5, par école ou implantation à comptage séparé, conformément au tableau ci-dessous:</w:t>
      </w:r>
    </w:p>
    <w:p>
      <w:pPr>
        <w:rPr>
          <w:lang w:val="fr-BE"/>
        </w:rPr>
      </w:pPr>
      <w:bookmarkStart w:id="988" w:name="_Toc295932033"/>
    </w:p>
    <w:p>
      <w:pPr>
        <w:rPr>
          <w:b/>
        </w:rPr>
      </w:pPr>
      <w:bookmarkStart w:id="989" w:name="_Toc295913763"/>
      <w:r>
        <w:rPr>
          <w:b/>
        </w:rPr>
        <w:t>Tableau - Périodes complémentaires à réserver aux cours de langue moderne</w:t>
      </w:r>
      <w:bookmarkEnd w:id="988"/>
      <w:bookmarkEnd w:id="989"/>
    </w:p>
    <w:p>
      <w:pPr>
        <w:spacing w:line="120" w:lineRule="auto"/>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3"/>
        <w:gridCol w:w="1080"/>
      </w:tblGrid>
      <w:tr>
        <w:trPr>
          <w:trHeight w:val="227"/>
          <w:jc w:val="center"/>
        </w:trPr>
        <w:tc>
          <w:tcPr>
            <w:tcW w:w="2483" w:type="dxa"/>
            <w:vAlign w:val="center"/>
          </w:tcPr>
          <w:p>
            <w:pPr>
              <w:jc w:val="center"/>
              <w:rPr>
                <w:b/>
                <w:sz w:val="20"/>
                <w:szCs w:val="20"/>
              </w:rPr>
            </w:pPr>
            <w:r>
              <w:rPr>
                <w:b/>
                <w:sz w:val="20"/>
                <w:szCs w:val="20"/>
              </w:rPr>
              <w:t>Elèves de 4</w:t>
            </w:r>
            <w:r>
              <w:rPr>
                <w:b/>
                <w:sz w:val="20"/>
                <w:szCs w:val="20"/>
                <w:vertAlign w:val="superscript"/>
              </w:rPr>
              <w:t>e</w:t>
            </w:r>
            <w:r>
              <w:rPr>
                <w:b/>
                <w:sz w:val="20"/>
                <w:szCs w:val="20"/>
              </w:rPr>
              <w:t xml:space="preserve"> et 5</w:t>
            </w:r>
            <w:r>
              <w:rPr>
                <w:b/>
                <w:sz w:val="20"/>
                <w:szCs w:val="20"/>
                <w:vertAlign w:val="superscript"/>
              </w:rPr>
              <w:t>e</w:t>
            </w:r>
          </w:p>
        </w:tc>
        <w:tc>
          <w:tcPr>
            <w:tcW w:w="1080" w:type="dxa"/>
            <w:vAlign w:val="center"/>
          </w:tcPr>
          <w:p>
            <w:pPr>
              <w:rPr>
                <w:b/>
                <w:sz w:val="20"/>
                <w:szCs w:val="20"/>
              </w:rPr>
            </w:pPr>
            <w:r>
              <w:rPr>
                <w:b/>
                <w:sz w:val="20"/>
                <w:szCs w:val="20"/>
              </w:rPr>
              <w:t>Périodes</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 – 23</w:t>
            </w:r>
          </w:p>
        </w:tc>
        <w:tc>
          <w:tcPr>
            <w:tcW w:w="1080" w:type="dxa"/>
            <w:vAlign w:val="center"/>
          </w:tcPr>
          <w:p>
            <w:pPr>
              <w:autoSpaceDE w:val="0"/>
              <w:autoSpaceDN w:val="0"/>
              <w:adjustRightInd w:val="0"/>
              <w:jc w:val="center"/>
              <w:rPr>
                <w:b/>
                <w:sz w:val="20"/>
                <w:szCs w:val="20"/>
              </w:rPr>
            </w:pPr>
            <w:r>
              <w:rPr>
                <w:b/>
                <w:sz w:val="20"/>
                <w:szCs w:val="20"/>
              </w:rPr>
              <w:t>2</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24 – 44</w:t>
            </w:r>
          </w:p>
        </w:tc>
        <w:tc>
          <w:tcPr>
            <w:tcW w:w="1080" w:type="dxa"/>
            <w:vAlign w:val="center"/>
          </w:tcPr>
          <w:p>
            <w:pPr>
              <w:autoSpaceDE w:val="0"/>
              <w:autoSpaceDN w:val="0"/>
              <w:adjustRightInd w:val="0"/>
              <w:jc w:val="center"/>
              <w:rPr>
                <w:b/>
                <w:sz w:val="20"/>
                <w:szCs w:val="20"/>
              </w:rPr>
            </w:pPr>
            <w:r>
              <w:rPr>
                <w:b/>
                <w:sz w:val="20"/>
                <w:szCs w:val="20"/>
              </w:rPr>
              <w:t>4</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45 – 71</w:t>
            </w:r>
          </w:p>
        </w:tc>
        <w:tc>
          <w:tcPr>
            <w:tcW w:w="1080" w:type="dxa"/>
            <w:vAlign w:val="center"/>
          </w:tcPr>
          <w:p>
            <w:pPr>
              <w:autoSpaceDE w:val="0"/>
              <w:autoSpaceDN w:val="0"/>
              <w:adjustRightInd w:val="0"/>
              <w:jc w:val="center"/>
              <w:rPr>
                <w:b/>
                <w:sz w:val="20"/>
                <w:szCs w:val="20"/>
              </w:rPr>
            </w:pPr>
            <w:r>
              <w:rPr>
                <w:b/>
                <w:sz w:val="20"/>
                <w:szCs w:val="20"/>
              </w:rPr>
              <w:t>6</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72 – 92</w:t>
            </w:r>
          </w:p>
        </w:tc>
        <w:tc>
          <w:tcPr>
            <w:tcW w:w="1080" w:type="dxa"/>
            <w:vAlign w:val="center"/>
          </w:tcPr>
          <w:p>
            <w:pPr>
              <w:autoSpaceDE w:val="0"/>
              <w:autoSpaceDN w:val="0"/>
              <w:adjustRightInd w:val="0"/>
              <w:jc w:val="center"/>
              <w:rPr>
                <w:b/>
                <w:sz w:val="20"/>
                <w:szCs w:val="20"/>
              </w:rPr>
            </w:pPr>
            <w:r>
              <w:rPr>
                <w:b/>
                <w:sz w:val="20"/>
                <w:szCs w:val="20"/>
              </w:rPr>
              <w:t>8</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93 – 114</w:t>
            </w:r>
          </w:p>
        </w:tc>
        <w:tc>
          <w:tcPr>
            <w:tcW w:w="1080" w:type="dxa"/>
            <w:vAlign w:val="center"/>
          </w:tcPr>
          <w:p>
            <w:pPr>
              <w:autoSpaceDE w:val="0"/>
              <w:autoSpaceDN w:val="0"/>
              <w:adjustRightInd w:val="0"/>
              <w:jc w:val="center"/>
              <w:rPr>
                <w:b/>
                <w:sz w:val="20"/>
                <w:szCs w:val="20"/>
              </w:rPr>
            </w:pPr>
            <w:r>
              <w:rPr>
                <w:b/>
                <w:sz w:val="20"/>
                <w:szCs w:val="20"/>
              </w:rPr>
              <w:t>10</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115 – 140</w:t>
            </w:r>
          </w:p>
        </w:tc>
        <w:tc>
          <w:tcPr>
            <w:tcW w:w="1080" w:type="dxa"/>
            <w:vAlign w:val="center"/>
          </w:tcPr>
          <w:p>
            <w:pPr>
              <w:autoSpaceDE w:val="0"/>
              <w:autoSpaceDN w:val="0"/>
              <w:adjustRightInd w:val="0"/>
              <w:jc w:val="center"/>
              <w:rPr>
                <w:b/>
                <w:sz w:val="20"/>
                <w:szCs w:val="20"/>
              </w:rPr>
            </w:pPr>
            <w:r>
              <w:rPr>
                <w:b/>
                <w:sz w:val="20"/>
                <w:szCs w:val="20"/>
              </w:rPr>
              <w:t>12</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141 – 163</w:t>
            </w:r>
          </w:p>
        </w:tc>
        <w:tc>
          <w:tcPr>
            <w:tcW w:w="1080" w:type="dxa"/>
            <w:vAlign w:val="center"/>
          </w:tcPr>
          <w:p>
            <w:pPr>
              <w:autoSpaceDE w:val="0"/>
              <w:autoSpaceDN w:val="0"/>
              <w:adjustRightInd w:val="0"/>
              <w:jc w:val="center"/>
              <w:rPr>
                <w:b/>
                <w:sz w:val="20"/>
                <w:szCs w:val="20"/>
              </w:rPr>
            </w:pPr>
            <w:r>
              <w:rPr>
                <w:b/>
                <w:sz w:val="20"/>
                <w:szCs w:val="20"/>
              </w:rPr>
              <w:t>14</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164 – 186</w:t>
            </w:r>
          </w:p>
        </w:tc>
        <w:tc>
          <w:tcPr>
            <w:tcW w:w="1080" w:type="dxa"/>
            <w:vAlign w:val="center"/>
          </w:tcPr>
          <w:p>
            <w:pPr>
              <w:autoSpaceDE w:val="0"/>
              <w:autoSpaceDN w:val="0"/>
              <w:adjustRightInd w:val="0"/>
              <w:jc w:val="center"/>
              <w:rPr>
                <w:b/>
                <w:sz w:val="20"/>
                <w:szCs w:val="20"/>
              </w:rPr>
            </w:pPr>
            <w:r>
              <w:rPr>
                <w:b/>
                <w:sz w:val="20"/>
                <w:szCs w:val="20"/>
              </w:rPr>
              <w:t>16</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187 – 209</w:t>
            </w:r>
          </w:p>
        </w:tc>
        <w:tc>
          <w:tcPr>
            <w:tcW w:w="1080" w:type="dxa"/>
            <w:vAlign w:val="center"/>
          </w:tcPr>
          <w:p>
            <w:pPr>
              <w:autoSpaceDE w:val="0"/>
              <w:autoSpaceDN w:val="0"/>
              <w:adjustRightInd w:val="0"/>
              <w:jc w:val="center"/>
              <w:rPr>
                <w:b/>
                <w:sz w:val="20"/>
                <w:szCs w:val="20"/>
              </w:rPr>
            </w:pPr>
            <w:r>
              <w:rPr>
                <w:b/>
                <w:sz w:val="20"/>
                <w:szCs w:val="20"/>
              </w:rPr>
              <w:t>18</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210 – 232</w:t>
            </w:r>
          </w:p>
        </w:tc>
        <w:tc>
          <w:tcPr>
            <w:tcW w:w="1080" w:type="dxa"/>
            <w:vAlign w:val="center"/>
          </w:tcPr>
          <w:p>
            <w:pPr>
              <w:autoSpaceDE w:val="0"/>
              <w:autoSpaceDN w:val="0"/>
              <w:adjustRightInd w:val="0"/>
              <w:jc w:val="center"/>
              <w:rPr>
                <w:b/>
                <w:sz w:val="20"/>
                <w:szCs w:val="20"/>
              </w:rPr>
            </w:pPr>
            <w:r>
              <w:rPr>
                <w:b/>
                <w:sz w:val="20"/>
                <w:szCs w:val="20"/>
              </w:rPr>
              <w:t>20</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233 – 255</w:t>
            </w:r>
          </w:p>
        </w:tc>
        <w:tc>
          <w:tcPr>
            <w:tcW w:w="1080" w:type="dxa"/>
            <w:vAlign w:val="center"/>
          </w:tcPr>
          <w:p>
            <w:pPr>
              <w:autoSpaceDE w:val="0"/>
              <w:autoSpaceDN w:val="0"/>
              <w:adjustRightInd w:val="0"/>
              <w:jc w:val="center"/>
              <w:rPr>
                <w:b/>
                <w:sz w:val="20"/>
                <w:szCs w:val="20"/>
              </w:rPr>
            </w:pPr>
            <w:r>
              <w:rPr>
                <w:b/>
                <w:sz w:val="20"/>
                <w:szCs w:val="20"/>
              </w:rPr>
              <w:t>22</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256 – 278</w:t>
            </w:r>
          </w:p>
        </w:tc>
        <w:tc>
          <w:tcPr>
            <w:tcW w:w="1080" w:type="dxa"/>
            <w:vAlign w:val="center"/>
          </w:tcPr>
          <w:p>
            <w:pPr>
              <w:autoSpaceDE w:val="0"/>
              <w:autoSpaceDN w:val="0"/>
              <w:adjustRightInd w:val="0"/>
              <w:jc w:val="center"/>
              <w:rPr>
                <w:b/>
                <w:sz w:val="20"/>
                <w:szCs w:val="20"/>
              </w:rPr>
            </w:pPr>
            <w:r>
              <w:rPr>
                <w:b/>
                <w:sz w:val="20"/>
                <w:szCs w:val="20"/>
              </w:rPr>
              <w:t>24</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279 – 301</w:t>
            </w:r>
          </w:p>
        </w:tc>
        <w:tc>
          <w:tcPr>
            <w:tcW w:w="1080" w:type="dxa"/>
            <w:vAlign w:val="center"/>
          </w:tcPr>
          <w:p>
            <w:pPr>
              <w:autoSpaceDE w:val="0"/>
              <w:autoSpaceDN w:val="0"/>
              <w:adjustRightInd w:val="0"/>
              <w:jc w:val="center"/>
              <w:rPr>
                <w:b/>
                <w:sz w:val="20"/>
                <w:szCs w:val="20"/>
              </w:rPr>
            </w:pPr>
            <w:r>
              <w:rPr>
                <w:b/>
                <w:sz w:val="20"/>
                <w:szCs w:val="20"/>
              </w:rPr>
              <w:t>26</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302 – 324</w:t>
            </w:r>
          </w:p>
        </w:tc>
        <w:tc>
          <w:tcPr>
            <w:tcW w:w="1080" w:type="dxa"/>
            <w:vAlign w:val="center"/>
          </w:tcPr>
          <w:p>
            <w:pPr>
              <w:autoSpaceDE w:val="0"/>
              <w:autoSpaceDN w:val="0"/>
              <w:adjustRightInd w:val="0"/>
              <w:jc w:val="center"/>
              <w:rPr>
                <w:b/>
                <w:sz w:val="20"/>
                <w:szCs w:val="20"/>
              </w:rPr>
            </w:pPr>
            <w:r>
              <w:rPr>
                <w:b/>
                <w:sz w:val="20"/>
                <w:szCs w:val="20"/>
              </w:rPr>
              <w:t>28</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325 – 347</w:t>
            </w:r>
          </w:p>
        </w:tc>
        <w:tc>
          <w:tcPr>
            <w:tcW w:w="1080" w:type="dxa"/>
            <w:vAlign w:val="center"/>
          </w:tcPr>
          <w:p>
            <w:pPr>
              <w:autoSpaceDE w:val="0"/>
              <w:autoSpaceDN w:val="0"/>
              <w:adjustRightInd w:val="0"/>
              <w:jc w:val="center"/>
              <w:rPr>
                <w:b/>
                <w:sz w:val="20"/>
                <w:szCs w:val="20"/>
              </w:rPr>
            </w:pPr>
            <w:r>
              <w:rPr>
                <w:b/>
                <w:sz w:val="20"/>
                <w:szCs w:val="20"/>
              </w:rPr>
              <w:t>30</w:t>
            </w:r>
          </w:p>
        </w:tc>
      </w:tr>
      <w:tr>
        <w:trPr>
          <w:trHeight w:hRule="exact" w:val="227"/>
          <w:jc w:val="center"/>
        </w:trPr>
        <w:tc>
          <w:tcPr>
            <w:tcW w:w="2483" w:type="dxa"/>
            <w:vAlign w:val="center"/>
          </w:tcPr>
          <w:p>
            <w:pPr>
              <w:autoSpaceDE w:val="0"/>
              <w:autoSpaceDN w:val="0"/>
              <w:adjustRightInd w:val="0"/>
              <w:jc w:val="center"/>
              <w:rPr>
                <w:sz w:val="20"/>
                <w:szCs w:val="20"/>
              </w:rPr>
            </w:pPr>
            <w:r>
              <w:rPr>
                <w:sz w:val="20"/>
                <w:szCs w:val="20"/>
              </w:rPr>
              <w:t>348 – 370</w:t>
            </w:r>
          </w:p>
        </w:tc>
        <w:tc>
          <w:tcPr>
            <w:tcW w:w="1080" w:type="dxa"/>
            <w:vAlign w:val="center"/>
          </w:tcPr>
          <w:p>
            <w:pPr>
              <w:autoSpaceDE w:val="0"/>
              <w:autoSpaceDN w:val="0"/>
              <w:adjustRightInd w:val="0"/>
              <w:jc w:val="center"/>
              <w:rPr>
                <w:b/>
                <w:sz w:val="20"/>
                <w:szCs w:val="20"/>
              </w:rPr>
            </w:pPr>
            <w:r>
              <w:rPr>
                <w:b/>
                <w:sz w:val="20"/>
                <w:szCs w:val="20"/>
              </w:rPr>
              <w:t>32</w:t>
            </w:r>
          </w:p>
        </w:tc>
      </w:tr>
    </w:tbl>
    <w:p>
      <w:pPr>
        <w:jc w:val="both"/>
        <w:rPr>
          <w:u w:val="single"/>
        </w:rPr>
      </w:pPr>
    </w:p>
    <w:p>
      <w:pPr>
        <w:jc w:val="both"/>
        <w:rPr>
          <w:u w:val="single"/>
        </w:rPr>
      </w:pPr>
      <w:r>
        <w:rPr>
          <w:u w:val="single"/>
        </w:rPr>
        <w:t>Exceptions à la comptabilisation des élèves de 4</w:t>
      </w:r>
      <w:r>
        <w:rPr>
          <w:u w:val="single"/>
          <w:vertAlign w:val="superscript"/>
        </w:rPr>
        <w:t>e</w:t>
      </w:r>
      <w:r>
        <w:rPr>
          <w:u w:val="single"/>
        </w:rPr>
        <w:t xml:space="preserve"> et 5</w:t>
      </w:r>
      <w:r>
        <w:rPr>
          <w:u w:val="single"/>
          <w:vertAlign w:val="superscript"/>
        </w:rPr>
        <w:t>e</w:t>
      </w:r>
      <w:r>
        <w:rPr>
          <w:u w:val="single"/>
        </w:rPr>
        <w:t xml:space="preserve"> au 15 janvier précédent:</w:t>
      </w:r>
    </w:p>
    <w:p>
      <w:pPr>
        <w:numPr>
          <w:ilvl w:val="0"/>
          <w:numId w:val="31"/>
        </w:numPr>
        <w:tabs>
          <w:tab w:val="num" w:pos="540"/>
        </w:tabs>
        <w:spacing w:before="80"/>
        <w:ind w:left="537" w:hanging="357"/>
        <w:jc w:val="both"/>
        <w:rPr>
          <w:spacing w:val="-8"/>
        </w:rPr>
      </w:pPr>
      <w:r>
        <w:rPr>
          <w:spacing w:val="-8"/>
        </w:rPr>
        <w:t>Lorsqu'une école ou implantation à comptage séparé organise les 5</w:t>
      </w:r>
      <w:r>
        <w:rPr>
          <w:spacing w:val="-8"/>
          <w:vertAlign w:val="superscript"/>
        </w:rPr>
        <w:t>e</w:t>
      </w:r>
      <w:r>
        <w:rPr>
          <w:spacing w:val="-8"/>
        </w:rPr>
        <w:t xml:space="preserve"> et 6</w:t>
      </w:r>
      <w:r>
        <w:rPr>
          <w:spacing w:val="-8"/>
          <w:vertAlign w:val="superscript"/>
        </w:rPr>
        <w:t>e</w:t>
      </w:r>
      <w:r>
        <w:rPr>
          <w:spacing w:val="-8"/>
        </w:rPr>
        <w:t xml:space="preserve"> primaires mais n'organise pas la 4</w:t>
      </w:r>
      <w:r>
        <w:rPr>
          <w:spacing w:val="-8"/>
          <w:vertAlign w:val="superscript"/>
        </w:rPr>
        <w:t>e</w:t>
      </w:r>
      <w:r>
        <w:rPr>
          <w:spacing w:val="-8"/>
        </w:rPr>
        <w:t>, les élèves à prendre en compte sont ceux de 5</w:t>
      </w:r>
      <w:r>
        <w:rPr>
          <w:spacing w:val="-8"/>
          <w:vertAlign w:val="superscript"/>
        </w:rPr>
        <w:t>e</w:t>
      </w:r>
      <w:r>
        <w:rPr>
          <w:spacing w:val="-8"/>
        </w:rPr>
        <w:t xml:space="preserve"> et 6</w:t>
      </w:r>
      <w:r>
        <w:rPr>
          <w:spacing w:val="-8"/>
          <w:vertAlign w:val="superscript"/>
        </w:rPr>
        <w:t>e</w:t>
      </w:r>
      <w:r>
        <w:rPr>
          <w:spacing w:val="-8"/>
        </w:rPr>
        <w:t xml:space="preserve"> au 15 janvier précédent.</w:t>
      </w:r>
    </w:p>
    <w:p>
      <w:pPr>
        <w:numPr>
          <w:ilvl w:val="0"/>
          <w:numId w:val="31"/>
        </w:numPr>
        <w:tabs>
          <w:tab w:val="num" w:pos="540"/>
        </w:tabs>
        <w:spacing w:before="80"/>
        <w:ind w:left="537" w:hanging="357"/>
        <w:jc w:val="both"/>
      </w:pPr>
      <w:r>
        <w:t>Lorsqu'une école ou implantation à comptage séparé n'organise pas les 5</w:t>
      </w:r>
      <w:r>
        <w:rPr>
          <w:vertAlign w:val="superscript"/>
        </w:rPr>
        <w:t>e</w:t>
      </w:r>
      <w:r>
        <w:t xml:space="preserve"> et 6</w:t>
      </w:r>
      <w:r>
        <w:rPr>
          <w:vertAlign w:val="superscript"/>
        </w:rPr>
        <w:t>e</w:t>
      </w:r>
      <w:r>
        <w:t xml:space="preserve"> primaires mais organise la 4</w:t>
      </w:r>
      <w:r>
        <w:rPr>
          <w:vertAlign w:val="superscript"/>
        </w:rPr>
        <w:t>e</w:t>
      </w:r>
      <w:r>
        <w:t>, aucune période de langue moderne n'y est générée.</w:t>
      </w:r>
    </w:p>
    <w:p>
      <w:pPr>
        <w:numPr>
          <w:ilvl w:val="0"/>
          <w:numId w:val="31"/>
        </w:numPr>
        <w:tabs>
          <w:tab w:val="num" w:pos="540"/>
        </w:tabs>
        <w:spacing w:before="80"/>
        <w:ind w:left="537" w:hanging="357"/>
        <w:jc w:val="both"/>
        <w:rPr>
          <w:spacing w:val="-6"/>
        </w:rPr>
      </w:pPr>
      <w:r>
        <w:rPr>
          <w:spacing w:val="-6"/>
        </w:rPr>
        <w:t xml:space="preserve">Dans les cas visés au </w:t>
      </w:r>
      <w:hyperlink w:anchor="_3.2.1._Capital-périodes_et" w:history="1">
        <w:r>
          <w:rPr>
            <w:rStyle w:val="Lienhypertexte"/>
            <w:color w:val="auto"/>
            <w:spacing w:val="-6"/>
          </w:rPr>
          <w:t>point 3.2.1.</w:t>
        </w:r>
      </w:hyperlink>
      <w:r>
        <w:rPr>
          <w:spacing w:val="-6"/>
        </w:rPr>
        <w:t xml:space="preserve"> où le capital-périodes est calculé sur base du nombre d'élèves au 30 septembre, les élèves à prendre en compte sont ceux de 5</w:t>
      </w:r>
      <w:r>
        <w:rPr>
          <w:spacing w:val="-6"/>
          <w:vertAlign w:val="superscript"/>
        </w:rPr>
        <w:t>e</w:t>
      </w:r>
      <w:r>
        <w:rPr>
          <w:spacing w:val="-6"/>
        </w:rPr>
        <w:t xml:space="preserve"> et 6</w:t>
      </w:r>
      <w:r>
        <w:rPr>
          <w:spacing w:val="-6"/>
          <w:vertAlign w:val="superscript"/>
        </w:rPr>
        <w:t>e</w:t>
      </w:r>
      <w:r>
        <w:rPr>
          <w:spacing w:val="-6"/>
        </w:rPr>
        <w:t xml:space="preserve"> au 30 septembre.</w:t>
      </w:r>
    </w:p>
    <w:p>
      <w:pPr>
        <w:numPr>
          <w:ilvl w:val="0"/>
          <w:numId w:val="31"/>
        </w:numPr>
        <w:tabs>
          <w:tab w:val="num" w:pos="540"/>
        </w:tabs>
        <w:spacing w:before="80"/>
        <w:ind w:left="537" w:hanging="357"/>
        <w:jc w:val="both"/>
      </w:pPr>
      <w:r>
        <w:t>Lorsqu'une école ou implantation à comptage séparé ne compte aucun élève en 4</w:t>
      </w:r>
      <w:r>
        <w:rPr>
          <w:vertAlign w:val="superscript"/>
        </w:rPr>
        <w:t>e</w:t>
      </w:r>
      <w:r>
        <w:t xml:space="preserve"> et 5</w:t>
      </w:r>
      <w:r>
        <w:rPr>
          <w:vertAlign w:val="superscript"/>
        </w:rPr>
        <w:t>e</w:t>
      </w:r>
      <w:r>
        <w:t xml:space="preserve"> au 15 janvier précédent et qu'au 30 septembre elle compte au moins un élève en 5</w:t>
      </w:r>
      <w:r>
        <w:rPr>
          <w:vertAlign w:val="superscript"/>
        </w:rPr>
        <w:t>e</w:t>
      </w:r>
      <w:r>
        <w:t xml:space="preserve"> et 6</w:t>
      </w:r>
      <w:r>
        <w:rPr>
          <w:vertAlign w:val="superscript"/>
        </w:rPr>
        <w:t>e</w:t>
      </w:r>
      <w:r>
        <w:t>, les élèves à prendre en compte sont ceux de 5</w:t>
      </w:r>
      <w:r>
        <w:rPr>
          <w:vertAlign w:val="superscript"/>
        </w:rPr>
        <w:t>e</w:t>
      </w:r>
      <w:r>
        <w:t xml:space="preserve"> et 6</w:t>
      </w:r>
      <w:r>
        <w:rPr>
          <w:vertAlign w:val="superscript"/>
        </w:rPr>
        <w:t>e</w:t>
      </w:r>
      <w:r>
        <w:t xml:space="preserve"> au 30 septembre.</w:t>
      </w:r>
    </w:p>
    <w:p>
      <w:pPr>
        <w:numPr>
          <w:ilvl w:val="0"/>
          <w:numId w:val="31"/>
        </w:numPr>
        <w:tabs>
          <w:tab w:val="num" w:pos="540"/>
        </w:tabs>
        <w:spacing w:before="80"/>
        <w:ind w:left="537" w:hanging="357"/>
        <w:jc w:val="both"/>
      </w:pPr>
      <w:r>
        <w:t>Lorsqu'une école ou implantation à comptage séparé compte au moins un élève en 4</w:t>
      </w:r>
      <w:r>
        <w:rPr>
          <w:vertAlign w:val="superscript"/>
        </w:rPr>
        <w:t>e</w:t>
      </w:r>
      <w:r>
        <w:t xml:space="preserve"> et 5</w:t>
      </w:r>
      <w:r>
        <w:rPr>
          <w:vertAlign w:val="superscript"/>
        </w:rPr>
        <w:t>e</w:t>
      </w:r>
      <w:r>
        <w:t xml:space="preserve"> au 15 janvier précédent et qu'au 30 septembre elle ne compte aucun élève en 5</w:t>
      </w:r>
      <w:r>
        <w:rPr>
          <w:vertAlign w:val="superscript"/>
        </w:rPr>
        <w:t>e</w:t>
      </w:r>
      <w:r>
        <w:t xml:space="preserve"> et 6</w:t>
      </w:r>
      <w:r>
        <w:rPr>
          <w:vertAlign w:val="superscript"/>
        </w:rPr>
        <w:t>e</w:t>
      </w:r>
      <w:r>
        <w:t>, aucune période de langue n'y est générée.</w:t>
      </w:r>
    </w:p>
    <w:p>
      <w:pPr>
        <w:jc w:val="both"/>
        <w:rPr>
          <w:szCs w:val="22"/>
        </w:rPr>
      </w:pPr>
    </w:p>
    <w:p>
      <w:pPr>
        <w:jc w:val="both"/>
      </w:pPr>
      <w:r>
        <w:t>Les périodes générées, réservées exclusivement à l'organisation de cours de seconde langue, sont utilisées librement pour autant que tous les élèves de 5</w:t>
      </w:r>
      <w:r>
        <w:rPr>
          <w:vertAlign w:val="superscript"/>
        </w:rPr>
        <w:t>e</w:t>
      </w:r>
      <w:r>
        <w:t xml:space="preserve"> et 6</w:t>
      </w:r>
      <w:r>
        <w:rPr>
          <w:vertAlign w:val="superscript"/>
        </w:rPr>
        <w:t>e</w:t>
      </w:r>
      <w:r>
        <w:t xml:space="preserve"> primaires bénéficient d’au moins 2 périodes hebdomadaires de seconde langue.</w:t>
      </w:r>
    </w:p>
    <w:p>
      <w:pPr>
        <w:jc w:val="both"/>
        <w:rPr>
          <w:szCs w:val="22"/>
        </w:rPr>
      </w:pPr>
    </w:p>
    <w:p>
      <w:pPr>
        <w:jc w:val="both"/>
      </w:pPr>
      <w:r>
        <w:t>L’école ou le Pouvoir organisateur peut en outre utiliser le reliquat pour organiser des périodes de langue supplémentaires, avec l'accord de l'organe chargé de gérer les reliquats (</w:t>
      </w:r>
      <w:r>
        <w:rPr>
          <w:rStyle w:val="Lienhypertexte"/>
          <w:color w:val="auto"/>
          <w:u w:val="none"/>
        </w:rPr>
        <w:t xml:space="preserve">voir </w:t>
      </w:r>
      <w:hyperlink w:anchor="_3.2.7._Reliquat__" w:history="1">
        <w:r>
          <w:rPr>
            <w:rStyle w:val="Lienhypertexte"/>
            <w:color w:val="auto"/>
          </w:rPr>
          <w:t>section 3.2.7</w:t>
        </w:r>
      </w:hyperlink>
      <w:r>
        <w:t xml:space="preserve">). </w:t>
      </w:r>
    </w:p>
    <w:p>
      <w:pPr>
        <w:jc w:val="both"/>
        <w:rPr>
          <w:szCs w:val="22"/>
        </w:rPr>
      </w:pPr>
    </w:p>
    <w:p>
      <w:pPr>
        <w:jc w:val="both"/>
      </w:pPr>
      <w:r>
        <w:t xml:space="preserve">En dehors des 19 communes bruxelloises et des communes wallonnes à statut spécial où la seconde langue est imposée (voir </w:t>
      </w:r>
      <w:hyperlink w:anchor="Chapitre4_4" w:history="1">
        <w:r>
          <w:rPr>
            <w:rStyle w:val="Lienhypertexte"/>
            <w:color w:val="auto"/>
          </w:rPr>
          <w:t>chapitre 4.4.</w:t>
        </w:r>
      </w:hyperlink>
      <w:r>
        <w:t xml:space="preserve">), les écoles peuvent proposer le choix entre 2 langues modernes au maximum. Chaque élève ne reçoit cependant qu’un seul cours de langue moderne. Le choix de 2 langues pour une école ou une implantation à comptage séparé ne double pas le nombre de périodes attribuées spécifiquement aux langues modernes. </w:t>
      </w:r>
    </w:p>
    <w:p>
      <w:pPr>
        <w:jc w:val="both"/>
      </w:pPr>
    </w:p>
    <w:p>
      <w:pPr>
        <w:jc w:val="both"/>
      </w:pPr>
    </w:p>
    <w:p>
      <w:pPr>
        <w:jc w:val="both"/>
        <w:rPr>
          <w:sz w:val="2"/>
        </w:rPr>
      </w:pPr>
    </w:p>
    <w:p>
      <w:pPr>
        <w:pStyle w:val="Titre3"/>
      </w:pPr>
      <w:bookmarkStart w:id="990" w:name="_3.2.4._Cours_d'adaptation"/>
      <w:bookmarkStart w:id="991" w:name="_3.2.5._Cours_d'adaptation"/>
      <w:bookmarkStart w:id="992" w:name="Section3_2_5"/>
      <w:bookmarkStart w:id="993" w:name="_Toc295932034"/>
      <w:bookmarkStart w:id="994" w:name="_Toc295913764"/>
      <w:bookmarkStart w:id="995" w:name="_Toc423420051"/>
      <w:bookmarkStart w:id="996" w:name="_Toc450645258"/>
      <w:bookmarkStart w:id="997" w:name="_Toc453942494"/>
      <w:bookmarkStart w:id="998" w:name="_Toc454888111"/>
      <w:bookmarkStart w:id="999" w:name="_Toc486241773"/>
      <w:bookmarkEnd w:id="990"/>
      <w:bookmarkEnd w:id="991"/>
      <w:r>
        <w:t>3.2.5.</w:t>
      </w:r>
      <w:bookmarkEnd w:id="992"/>
      <w:r>
        <w:t xml:space="preserve"> Cours d'adaptation à la langue de l'enseignement (ALE)</w:t>
      </w:r>
      <w:bookmarkEnd w:id="993"/>
      <w:bookmarkEnd w:id="994"/>
      <w:bookmarkEnd w:id="995"/>
      <w:bookmarkEnd w:id="996"/>
      <w:bookmarkEnd w:id="997"/>
      <w:bookmarkEnd w:id="998"/>
      <w:bookmarkEnd w:id="999"/>
    </w:p>
    <w:p>
      <w:pPr>
        <w:jc w:val="both"/>
        <w:rPr>
          <w:sz w:val="16"/>
          <w:szCs w:val="16"/>
        </w:rPr>
      </w:pPr>
    </w:p>
    <w:p>
      <w:pPr>
        <w:jc w:val="both"/>
        <w:rPr>
          <w:szCs w:val="22"/>
        </w:rPr>
      </w:pPr>
      <w:r>
        <w:rPr>
          <w:szCs w:val="22"/>
        </w:rPr>
        <w:t xml:space="preserve">Un cours </w:t>
      </w:r>
      <w:r>
        <w:rPr>
          <w:szCs w:val="22"/>
          <w:u w:val="single"/>
        </w:rPr>
        <w:t>d’adaptation à la langue de l’enseignement</w:t>
      </w:r>
      <w:r>
        <w:rPr>
          <w:szCs w:val="22"/>
        </w:rPr>
        <w:t>, visant l’intégration des élèves dans le système scolaire et l’acquisition du français, peut être organisé selon les modalités suivantes :</w:t>
      </w:r>
    </w:p>
    <w:p>
      <w:pPr>
        <w:jc w:val="both"/>
        <w:rPr>
          <w:szCs w:val="22"/>
        </w:rPr>
      </w:pPr>
    </w:p>
    <w:p>
      <w:pPr>
        <w:pStyle w:val="Titre4"/>
      </w:pPr>
      <w:bookmarkStart w:id="1000" w:name="_Toc423420052"/>
      <w:bookmarkStart w:id="1001" w:name="_Toc450645259"/>
      <w:bookmarkStart w:id="1002" w:name="_Toc453942495"/>
      <w:bookmarkStart w:id="1003" w:name="_Toc454888112"/>
      <w:bookmarkStart w:id="1004" w:name="_Toc486241774"/>
      <w:r>
        <w:t>3.2.5.1. Conditions de nationalité /statut des élèves à prendre en compte</w:t>
      </w:r>
      <w:bookmarkEnd w:id="1000"/>
      <w:bookmarkEnd w:id="1001"/>
      <w:bookmarkEnd w:id="1002"/>
      <w:bookmarkEnd w:id="1003"/>
      <w:bookmarkEnd w:id="1004"/>
    </w:p>
    <w:p>
      <w:pPr>
        <w:jc w:val="both"/>
        <w:rPr>
          <w:szCs w:val="22"/>
        </w:rPr>
      </w:pPr>
    </w:p>
    <w:p>
      <w:pPr>
        <w:numPr>
          <w:ilvl w:val="0"/>
          <w:numId w:val="169"/>
        </w:numPr>
        <w:jc w:val="both"/>
        <w:rPr>
          <w:b/>
          <w:i/>
          <w:szCs w:val="22"/>
          <w:u w:val="single"/>
        </w:rPr>
      </w:pPr>
      <w:r>
        <w:rPr>
          <w:b/>
          <w:i/>
          <w:szCs w:val="22"/>
        </w:rPr>
        <w:t xml:space="preserve">soit être ou avoir été élève </w:t>
      </w:r>
      <w:r>
        <w:rPr>
          <w:b/>
          <w:i/>
          <w:szCs w:val="22"/>
          <w:u w:val="single"/>
        </w:rPr>
        <w:t xml:space="preserve">primo-arrivant et remplir les deux conditions suivantes : </w:t>
      </w:r>
    </w:p>
    <w:p>
      <w:pPr>
        <w:numPr>
          <w:ilvl w:val="1"/>
          <w:numId w:val="169"/>
        </w:numPr>
        <w:spacing w:before="60"/>
        <w:jc w:val="both"/>
      </w:pPr>
      <w:r>
        <w:t>la langue maternelle ou usuelle diffère de la langue de l’enseignement;</w:t>
      </w:r>
    </w:p>
    <w:p>
      <w:pPr>
        <w:numPr>
          <w:ilvl w:val="1"/>
          <w:numId w:val="169"/>
        </w:numPr>
        <w:spacing w:before="60"/>
        <w:jc w:val="both"/>
      </w:pPr>
      <w:r>
        <w:t xml:space="preserve">fréquenter l’enseignement primaire organisé ou subventionné par </w:t>
      </w:r>
      <w:smartTag w:uri="urn:schemas-microsoft-com:office:smarttags" w:element="PersonName">
        <w:smartTagPr>
          <w:attr w:name="ProductID" w:val="la F￩d￩ration Wallonie-Bruxelles"/>
        </w:smartTagPr>
        <w:r>
          <w:t>la Fédération Wallonie-Bruxelles</w:t>
        </w:r>
      </w:smartTag>
      <w:r>
        <w:t xml:space="preserve"> depuis moins de 3 années scolaires complètes et ne pas connaître suffisamment la langue de l’enseignement pour s’adapter avec succès aux activités de la classe;</w:t>
      </w:r>
    </w:p>
    <w:p>
      <w:pPr>
        <w:ind w:left="1080"/>
        <w:jc w:val="both"/>
        <w:rPr>
          <w:i/>
        </w:rPr>
      </w:pPr>
      <w:r>
        <w:rPr>
          <w:i/>
        </w:rPr>
        <w:t>Remarque: la nationalité des parents ne doit pas être prise en considération pour les élèves primo-arrivants ou qui l’ont été.</w:t>
      </w:r>
    </w:p>
    <w:p>
      <w:pPr>
        <w:ind w:left="1080"/>
        <w:jc w:val="both"/>
        <w:rPr>
          <w:i/>
        </w:rPr>
      </w:pPr>
    </w:p>
    <w:p>
      <w:pPr>
        <w:ind w:left="708"/>
        <w:jc w:val="both"/>
        <w:rPr>
          <w:szCs w:val="22"/>
        </w:rPr>
      </w:pPr>
      <w:r>
        <w:rPr>
          <w:i/>
          <w:szCs w:val="22"/>
          <w:u w:val="single"/>
        </w:rPr>
        <w:t>Rappel de la définition d’un élève primo-arrivant</w:t>
      </w:r>
      <w:r>
        <w:rPr>
          <w:szCs w:val="22"/>
        </w:rPr>
        <w:t xml:space="preserve"> </w:t>
      </w:r>
      <w:r>
        <w:rPr>
          <w:szCs w:val="22"/>
          <w:u w:val="single"/>
        </w:rPr>
        <w:t>(voir</w:t>
      </w:r>
      <w:hyperlink w:anchor="Section2_2_6" w:history="1">
        <w:r>
          <w:rPr>
            <w:rStyle w:val="Lienhypertexte"/>
            <w:i/>
            <w:color w:val="auto"/>
          </w:rPr>
          <w:t xml:space="preserve"> section 2.2.6.</w:t>
        </w:r>
      </w:hyperlink>
      <w:r>
        <w:rPr>
          <w:i/>
          <w:u w:val="single"/>
        </w:rPr>
        <w:t>)</w:t>
      </w:r>
      <w:r>
        <w:rPr>
          <w:szCs w:val="22"/>
        </w:rPr>
        <w:t> :</w:t>
      </w:r>
    </w:p>
    <w:p>
      <w:pPr>
        <w:ind w:left="708"/>
        <w:jc w:val="both"/>
        <w:rPr>
          <w:szCs w:val="22"/>
        </w:rPr>
      </w:pPr>
    </w:p>
    <w:p>
      <w:pPr>
        <w:spacing w:before="20"/>
        <w:ind w:left="708"/>
        <w:jc w:val="both"/>
        <w:rPr>
          <w:b/>
          <w:i/>
        </w:rPr>
      </w:pPr>
      <w:r>
        <w:t>Un élève est primo-arrivant si, au moment de son inscription</w:t>
      </w:r>
      <w:r>
        <w:rPr>
          <w:rStyle w:val="Appelnotedebasdep"/>
        </w:rPr>
        <w:footnoteReference w:id="47"/>
      </w:r>
      <w:r>
        <w:t>, il répond conjointement aux 3 conditions ci-dessous. Il perd la qualité d’élève primo-arrivant le jour où au moins une de ces conditions n’est plus remplie mais il peut toutefois conserver le bénéfice d’un comptage préférentiel pour l’ALE, jusqu’au terme des trois premières années scolaires complètes de scolarisation</w:t>
      </w:r>
      <w:r>
        <w:rPr>
          <w:b/>
          <w:i/>
        </w:rPr>
        <w:t>:</w:t>
      </w:r>
    </w:p>
    <w:p>
      <w:pPr>
        <w:rPr>
          <w:b/>
          <w:i/>
          <w:sz w:val="8"/>
          <w:szCs w:val="8"/>
        </w:rPr>
      </w:pPr>
    </w:p>
    <w:p>
      <w:pPr>
        <w:pStyle w:val="Corpsdetexte2"/>
        <w:numPr>
          <w:ilvl w:val="0"/>
          <w:numId w:val="168"/>
        </w:numPr>
        <w:tabs>
          <w:tab w:val="left" w:pos="720"/>
        </w:tabs>
        <w:ind w:left="1440"/>
      </w:pPr>
      <w:r>
        <w:rPr>
          <w:u w:val="single"/>
        </w:rPr>
        <w:t>Conditions d’âge:</w:t>
      </w:r>
      <w:r>
        <w:t xml:space="preserve"> être âgé de 2 ans et demi au moins</w:t>
      </w:r>
      <w:r>
        <w:rPr>
          <w:rStyle w:val="Appelnotedebasdep"/>
        </w:rPr>
        <w:footnoteReference w:id="48"/>
      </w:r>
      <w:r>
        <w:t xml:space="preserve"> et de moins de 18 ans;</w:t>
      </w:r>
    </w:p>
    <w:p>
      <w:pPr>
        <w:pStyle w:val="Corpsdetexte2"/>
        <w:tabs>
          <w:tab w:val="left" w:pos="720"/>
        </w:tabs>
        <w:ind w:left="1440" w:hanging="360"/>
        <w:rPr>
          <w:sz w:val="8"/>
          <w:szCs w:val="8"/>
        </w:rPr>
      </w:pPr>
    </w:p>
    <w:p>
      <w:pPr>
        <w:pStyle w:val="Corpsdetexte2"/>
        <w:numPr>
          <w:ilvl w:val="0"/>
          <w:numId w:val="168"/>
        </w:numPr>
        <w:tabs>
          <w:tab w:val="left" w:pos="720"/>
        </w:tabs>
        <w:ind w:left="1440"/>
      </w:pPr>
      <w:r>
        <w:rPr>
          <w:u w:val="single"/>
        </w:rPr>
        <w:t>Temps de présence sur le territoire belge</w:t>
      </w:r>
      <w:r>
        <w:t xml:space="preserve">: être arrivé sur le territoire national depuis moins d’un an au moment de sa première inscription dans une école de </w:t>
      </w:r>
      <w:smartTag w:uri="urn:schemas-microsoft-com:office:smarttags" w:element="PersonName">
        <w:smartTagPr>
          <w:attr w:name="ProductID" w:val="la FWB"/>
        </w:smartTagPr>
        <w:r>
          <w:t>la FWB</w:t>
        </w:r>
      </w:smartTag>
      <w:r>
        <w:t xml:space="preserve"> ;</w:t>
      </w:r>
    </w:p>
    <w:p>
      <w:pPr>
        <w:pStyle w:val="Corpsdetexte2"/>
        <w:tabs>
          <w:tab w:val="left" w:pos="720"/>
        </w:tabs>
        <w:ind w:left="1440" w:hanging="360"/>
        <w:rPr>
          <w:sz w:val="8"/>
          <w:szCs w:val="8"/>
        </w:rPr>
      </w:pPr>
    </w:p>
    <w:p>
      <w:pPr>
        <w:pStyle w:val="Corpsdetexte2"/>
        <w:numPr>
          <w:ilvl w:val="0"/>
          <w:numId w:val="168"/>
        </w:numPr>
        <w:tabs>
          <w:tab w:val="left" w:pos="720"/>
        </w:tabs>
        <w:spacing w:after="60"/>
        <w:ind w:left="1440"/>
      </w:pPr>
      <w:r>
        <w:rPr>
          <w:u w:val="single"/>
        </w:rPr>
        <w:t>Conditions de statut</w:t>
      </w:r>
      <w:r>
        <w:t>:</w:t>
      </w:r>
    </w:p>
    <w:p>
      <w:pPr>
        <w:pStyle w:val="Corpsdetexte2"/>
        <w:spacing w:before="60" w:after="40"/>
        <w:ind w:left="1442" w:hanging="362"/>
      </w:pPr>
      <w:r>
        <w:t>-</w:t>
      </w:r>
      <w:r>
        <w:tab/>
        <w:t>soit avoir introduit une demande de reconnaissance de la qualité de réfugié ou s’être vu reconnaître la qualité de réfugié conformément à la loi du 15 décembre 1980 sur l’accès au territoire, le séjour, l’établissement et l’éloignement des étrangers;</w:t>
      </w:r>
    </w:p>
    <w:p>
      <w:pPr>
        <w:pStyle w:val="Corpsdetexte2"/>
        <w:spacing w:after="120"/>
        <w:ind w:left="1440" w:hanging="363"/>
      </w:pPr>
      <w:r>
        <w:t>-</w:t>
      </w:r>
      <w:r>
        <w:tab/>
        <w:t>soit être mineur accompagnant une personne ayant introduit une demande de reconnaissance de la qualité de réfugié ou s’étant vu reconnaître la qualité de réfugié conformément à la loi du 15 décembre 1980 sur l’accès au territoire, le séjour, l’établissement et l’éloignement des étrangers;</w:t>
      </w:r>
    </w:p>
    <w:p>
      <w:pPr>
        <w:pStyle w:val="Corpsdetexte2"/>
        <w:spacing w:after="120"/>
        <w:ind w:left="1440" w:hanging="363"/>
      </w:pPr>
      <w:r>
        <w:t>-</w:t>
      </w:r>
      <w:r>
        <w:tab/>
      </w:r>
      <w:r>
        <w:rPr>
          <w:spacing w:val="-10"/>
        </w:rPr>
        <w:t>soit être reconnu comme apatride;</w:t>
      </w:r>
    </w:p>
    <w:p>
      <w:pPr>
        <w:pStyle w:val="Corpsdetexte2"/>
        <w:spacing w:after="120"/>
        <w:ind w:left="1440" w:hanging="363"/>
      </w:pPr>
      <w:r>
        <w:t>-</w:t>
      </w:r>
      <w:r>
        <w:tab/>
        <w:t>soit être ressortissant</w:t>
      </w:r>
      <w:r>
        <w:rPr>
          <w:rStyle w:val="Appelnotedebasdep"/>
        </w:rPr>
        <w:footnoteReference w:id="49"/>
      </w:r>
      <w:r>
        <w:t xml:space="preserve"> d’un pays bénéficiaire de l’aide au développement du Comité d’aide au développement de l’Organisation de Coopération et de Développement économique (voir liste </w:t>
      </w:r>
      <w:hyperlink w:anchor="Section2_2_6" w:history="1">
        <w:r>
          <w:rPr>
            <w:rStyle w:val="Lienhypertexte"/>
            <w:color w:val="auto"/>
          </w:rPr>
          <w:t>section 2.2.6.</w:t>
        </w:r>
      </w:hyperlink>
      <w:r>
        <w:t>).</w:t>
      </w:r>
    </w:p>
    <w:p>
      <w:pPr>
        <w:pStyle w:val="Corpsdetexte2"/>
        <w:ind w:left="1134" w:hanging="56"/>
      </w:pPr>
      <w:r>
        <w:rPr>
          <w:b/>
          <w:u w:val="single"/>
        </w:rPr>
        <w:t>Remarque :</w:t>
      </w:r>
      <w:r>
        <w:t xml:space="preserve"> un élève qui dispose d’une double nationalité (belge et étrangère) ne peut être considéré comme primo-arrivant. </w:t>
      </w:r>
    </w:p>
    <w:p>
      <w:pPr>
        <w:jc w:val="both"/>
        <w:rPr>
          <w:szCs w:val="22"/>
        </w:rPr>
      </w:pPr>
    </w:p>
    <w:p>
      <w:pPr>
        <w:jc w:val="both"/>
        <w:rPr>
          <w:szCs w:val="22"/>
        </w:rPr>
      </w:pPr>
    </w:p>
    <w:p>
      <w:pPr>
        <w:numPr>
          <w:ilvl w:val="0"/>
          <w:numId w:val="169"/>
        </w:numPr>
        <w:jc w:val="both"/>
        <w:rPr>
          <w:b/>
          <w:i/>
          <w:szCs w:val="22"/>
          <w:u w:val="single"/>
        </w:rPr>
      </w:pPr>
      <w:r>
        <w:rPr>
          <w:b/>
          <w:i/>
          <w:spacing w:val="-8"/>
        </w:rPr>
        <w:t>soit être élève de</w:t>
      </w:r>
      <w:r>
        <w:rPr>
          <w:spacing w:val="-8"/>
        </w:rPr>
        <w:t xml:space="preserve"> </w:t>
      </w:r>
      <w:r>
        <w:rPr>
          <w:b/>
          <w:i/>
          <w:szCs w:val="22"/>
          <w:u w:val="single"/>
        </w:rPr>
        <w:t>nationalité étrangère ou adoptés</w:t>
      </w:r>
      <w:r>
        <w:rPr>
          <w:spacing w:val="-8"/>
        </w:rPr>
        <w:t xml:space="preserve"> </w:t>
      </w:r>
      <w:r>
        <w:rPr>
          <w:b/>
          <w:i/>
          <w:szCs w:val="22"/>
          <w:u w:val="single"/>
        </w:rPr>
        <w:t>et remplir les deux conditions suivantes</w:t>
      </w:r>
    </w:p>
    <w:p>
      <w:pPr>
        <w:numPr>
          <w:ilvl w:val="1"/>
          <w:numId w:val="169"/>
        </w:numPr>
        <w:spacing w:before="60"/>
        <w:jc w:val="both"/>
      </w:pPr>
      <w:r>
        <w:t>la langue maternelle ou usuelle diffère de la langue de l’enseignement;</w:t>
      </w:r>
    </w:p>
    <w:p>
      <w:pPr>
        <w:numPr>
          <w:ilvl w:val="1"/>
          <w:numId w:val="169"/>
        </w:numPr>
        <w:spacing w:before="60"/>
        <w:jc w:val="both"/>
      </w:pPr>
      <w:r>
        <w:t xml:space="preserve">fréquenter l’enseignement primaire organisé ou subventionné par </w:t>
      </w:r>
      <w:smartTag w:uri="urn:schemas-microsoft-com:office:smarttags" w:element="PersonName">
        <w:smartTagPr>
          <w:attr w:name="ProductID" w:val="la F￩d￩ration Wallonie-Bruxelles"/>
        </w:smartTagPr>
        <w:r>
          <w:t>la Fédération Wallonie-Bruxelles</w:t>
        </w:r>
      </w:smartTag>
      <w:r>
        <w:t xml:space="preserve"> depuis moins de 3 années scolaires complètes et ne pas connaître suffisamment la langue de l’enseignement pour s’adapter avec succès aux activités de la classe;</w:t>
      </w:r>
    </w:p>
    <w:p>
      <w:pPr>
        <w:ind w:left="1080"/>
        <w:jc w:val="both"/>
        <w:rPr>
          <w:i/>
        </w:rPr>
      </w:pPr>
      <w:r>
        <w:rPr>
          <w:i/>
        </w:rPr>
        <w:t>Remarque: la nationalité des parents ne doit pas être prise en considération pour les élèves de nationalité étrangère ou adoptés</w:t>
      </w:r>
    </w:p>
    <w:p>
      <w:pPr>
        <w:ind w:left="1080"/>
        <w:jc w:val="both"/>
        <w:rPr>
          <w:i/>
        </w:rPr>
      </w:pPr>
    </w:p>
    <w:p>
      <w:pPr>
        <w:ind w:left="359" w:hanging="360"/>
        <w:jc w:val="both"/>
        <w:rPr>
          <w:b/>
          <w:i/>
          <w:szCs w:val="22"/>
        </w:rPr>
      </w:pPr>
      <w:r>
        <w:rPr>
          <w:b/>
          <w:szCs w:val="22"/>
        </w:rPr>
        <w:t xml:space="preserve">c) </w:t>
      </w:r>
      <w:r>
        <w:rPr>
          <w:b/>
          <w:szCs w:val="22"/>
        </w:rPr>
        <w:tab/>
      </w:r>
      <w:r>
        <w:rPr>
          <w:b/>
          <w:i/>
          <w:szCs w:val="22"/>
        </w:rPr>
        <w:t xml:space="preserve">être de nationalité </w:t>
      </w:r>
      <w:r>
        <w:rPr>
          <w:b/>
          <w:i/>
          <w:szCs w:val="22"/>
          <w:u w:val="single"/>
        </w:rPr>
        <w:t>belge et remplir les trois conditions suivantes</w:t>
      </w:r>
      <w:r>
        <w:rPr>
          <w:b/>
          <w:i/>
          <w:szCs w:val="22"/>
        </w:rPr>
        <w:t>:</w:t>
      </w:r>
    </w:p>
    <w:p>
      <w:pPr>
        <w:numPr>
          <w:ilvl w:val="0"/>
          <w:numId w:val="155"/>
        </w:numPr>
        <w:spacing w:before="60"/>
        <w:jc w:val="both"/>
      </w:pPr>
      <w:r>
        <w:t>la langue maternelle ou usuelle diffère de la langue de l’enseignement;</w:t>
      </w:r>
    </w:p>
    <w:p>
      <w:pPr>
        <w:numPr>
          <w:ilvl w:val="0"/>
          <w:numId w:val="155"/>
        </w:numPr>
        <w:spacing w:before="40"/>
        <w:jc w:val="both"/>
      </w:pPr>
      <w:r>
        <w:t xml:space="preserve">fréquenter l’enseignement primaire organisé ou subventionné par </w:t>
      </w:r>
      <w:smartTag w:uri="urn:schemas-microsoft-com:office:smarttags" w:element="PersonName">
        <w:smartTagPr>
          <w:attr w:name="ProductID" w:val="la F￩d￩ration Wallonie-Bruxelles"/>
        </w:smartTagPr>
        <w:r>
          <w:t>la Fédération Wallonie-Bruxelles</w:t>
        </w:r>
      </w:smartTag>
      <w:r>
        <w:t xml:space="preserve"> depuis moins de 3 années scolaires complètes et ne pas connaître suffisamment la langue de l’enseignement pour s’adapter avec succès aux activités de leur classe;</w:t>
      </w:r>
    </w:p>
    <w:p>
      <w:pPr>
        <w:numPr>
          <w:ilvl w:val="0"/>
          <w:numId w:val="155"/>
        </w:numPr>
        <w:spacing w:before="40"/>
        <w:jc w:val="both"/>
      </w:pPr>
      <w:r>
        <w:rPr>
          <w:szCs w:val="22"/>
        </w:rPr>
        <w:t>avoir l'un des deux parents au moins de nationalité étrangère ou ayant acquis la nationalité belge depuis moins de 3 ans</w:t>
      </w:r>
    </w:p>
    <w:p>
      <w:pPr>
        <w:spacing w:before="40"/>
        <w:ind w:left="720" w:hanging="12"/>
        <w:jc w:val="both"/>
        <w:rPr>
          <w:b/>
          <w:i/>
        </w:rPr>
      </w:pPr>
      <w:r>
        <w:rPr>
          <w:b/>
          <w:i/>
          <w:szCs w:val="22"/>
          <w:u w:val="single"/>
        </w:rPr>
        <w:t>En cas de double nationalité d’un parent, belge et étrangère</w:t>
      </w:r>
      <w:r>
        <w:rPr>
          <w:b/>
          <w:i/>
          <w:szCs w:val="22"/>
        </w:rPr>
        <w:t xml:space="preserve">, c’est la nationalité belge qui prévaut pour l’établissement du droit de l’enfant au bénéfice des cours d’ALE. </w:t>
      </w:r>
    </w:p>
    <w:p>
      <w:pPr>
        <w:rPr>
          <w:sz w:val="16"/>
          <w:szCs w:val="16"/>
        </w:rPr>
      </w:pPr>
    </w:p>
    <w:p>
      <w:pPr>
        <w:rPr>
          <w:b/>
          <w:i/>
        </w:rPr>
      </w:pPr>
      <w:r>
        <w:rPr>
          <w:b/>
          <w:i/>
        </w:rPr>
        <w:t xml:space="preserve">Voir la </w:t>
      </w:r>
      <w:hyperlink w:anchor="_6.2.2._Documents_concernant" w:history="1">
        <w:r>
          <w:rPr>
            <w:rStyle w:val="Lienhypertexte"/>
            <w:i/>
            <w:color w:val="auto"/>
          </w:rPr>
          <w:t>section 6.2.3.</w:t>
        </w:r>
      </w:hyperlink>
      <w:r>
        <w:rPr>
          <w:b/>
          <w:i/>
        </w:rPr>
        <w:t xml:space="preserve"> pour les documents à obtenir et à fournir au vérificateur.</w:t>
      </w:r>
    </w:p>
    <w:p>
      <w:pPr>
        <w:rPr>
          <w:b/>
          <w:i/>
        </w:rPr>
      </w:pPr>
    </w:p>
    <w:p>
      <w:pPr>
        <w:spacing w:before="40"/>
        <w:jc w:val="both"/>
        <w:rPr>
          <w:i/>
          <w:szCs w:val="22"/>
        </w:rPr>
      </w:pPr>
      <w:r>
        <w:rPr>
          <w:b/>
          <w:i/>
          <w:szCs w:val="22"/>
          <w:u w:val="single"/>
        </w:rPr>
        <w:t>Remarque importante</w:t>
      </w:r>
      <w:r>
        <w:rPr>
          <w:b/>
          <w:i/>
          <w:szCs w:val="22"/>
        </w:rPr>
        <w:t> :</w:t>
      </w:r>
      <w:r>
        <w:rPr>
          <w:i/>
          <w:szCs w:val="22"/>
        </w:rPr>
        <w:t xml:space="preserve"> L’inspection est habilitée à contrôler la connaissance suffisante de la langue française des élèves pris en compte pour l’organisation des cours d’adaptation à la langue de l’enseignement.</w:t>
      </w:r>
    </w:p>
    <w:p>
      <w:pPr>
        <w:jc w:val="both"/>
        <w:rPr>
          <w:szCs w:val="22"/>
        </w:rPr>
      </w:pPr>
    </w:p>
    <w:p>
      <w:pPr>
        <w:pStyle w:val="Titre4"/>
      </w:pPr>
      <w:bookmarkStart w:id="1005" w:name="_Toc423420053"/>
      <w:bookmarkStart w:id="1006" w:name="_Toc450645260"/>
      <w:bookmarkStart w:id="1007" w:name="_Toc453942496"/>
      <w:bookmarkStart w:id="1008" w:name="_Toc454888113"/>
      <w:bookmarkStart w:id="1009" w:name="_Toc486241775"/>
      <w:r>
        <w:t>3.2.5.2. Organisation pédagogique des cours</w:t>
      </w:r>
      <w:bookmarkEnd w:id="1005"/>
      <w:bookmarkEnd w:id="1006"/>
      <w:bookmarkEnd w:id="1007"/>
      <w:bookmarkEnd w:id="1008"/>
      <w:bookmarkEnd w:id="1009"/>
    </w:p>
    <w:p>
      <w:pPr>
        <w:jc w:val="both"/>
        <w:rPr>
          <w:szCs w:val="22"/>
        </w:rPr>
      </w:pPr>
    </w:p>
    <w:p>
      <w:pPr>
        <w:pStyle w:val="Corpsdetexte"/>
      </w:pPr>
      <w:r>
        <w:t>Le projet global est élaboré en concertation par l’équipe éducative et doit être tenu à la disposition de l’inspection concernée. Il doit être intégré dans le projet d'établissement. Le cours est donné pendant les heures normales d’ouverture de l’école. Il peut être organisé au-delà des 28 périodes hebdomadaires. Il est confié à un instituteur titulaire de classe ou à un maître d’adaptation et de soutien pédagogique.</w:t>
      </w:r>
    </w:p>
    <w:p>
      <w:pPr>
        <w:pStyle w:val="Corpsdetexte"/>
      </w:pPr>
    </w:p>
    <w:p>
      <w:pPr>
        <w:pStyle w:val="Corpsdetexte"/>
        <w:rPr>
          <w:spacing w:val="0"/>
          <w:szCs w:val="22"/>
        </w:rPr>
      </w:pPr>
      <w:r>
        <w:rPr>
          <w:spacing w:val="0"/>
          <w:szCs w:val="22"/>
        </w:rPr>
        <w:t xml:space="preserve">Il convient de faire la distinction entre deux aspects distincts : </w:t>
      </w:r>
    </w:p>
    <w:p>
      <w:pPr>
        <w:pStyle w:val="Corpsdetexte"/>
        <w:numPr>
          <w:ilvl w:val="0"/>
          <w:numId w:val="160"/>
        </w:numPr>
        <w:rPr>
          <w:spacing w:val="0"/>
          <w:szCs w:val="22"/>
        </w:rPr>
      </w:pPr>
      <w:r>
        <w:rPr>
          <w:b/>
          <w:i/>
          <w:spacing w:val="0"/>
          <w:szCs w:val="22"/>
          <w:u w:val="single"/>
        </w:rPr>
        <w:t>Le dispositif pédagogique mis en place au sein de l’école</w:t>
      </w:r>
      <w:r>
        <w:rPr>
          <w:spacing w:val="0"/>
          <w:szCs w:val="22"/>
        </w:rPr>
        <w:t xml:space="preserve">: </w:t>
      </w:r>
    </w:p>
    <w:p>
      <w:pPr>
        <w:pStyle w:val="Corpsdetexte"/>
        <w:ind w:left="360" w:hanging="12"/>
        <w:rPr>
          <w:spacing w:val="0"/>
          <w:szCs w:val="22"/>
        </w:rPr>
      </w:pPr>
      <w:r>
        <w:rPr>
          <w:spacing w:val="0"/>
          <w:szCs w:val="22"/>
        </w:rPr>
        <w:t xml:space="preserve">L’élève, remplissant les conditions susvisées lors de son entrée dans une école de </w:t>
      </w:r>
      <w:smartTag w:uri="urn:schemas-microsoft-com:office:smarttags" w:element="PersonName">
        <w:smartTagPr>
          <w:attr w:name="ProductID" w:val="la FWB"/>
        </w:smartTagPr>
        <w:r>
          <w:rPr>
            <w:spacing w:val="0"/>
            <w:szCs w:val="22"/>
          </w:rPr>
          <w:t>la FWB</w:t>
        </w:r>
      </w:smartTag>
      <w:r>
        <w:rPr>
          <w:spacing w:val="0"/>
          <w:szCs w:val="22"/>
        </w:rPr>
        <w:t xml:space="preserve">, peut immédiatement intégrer les cours dispensés dans le cadre de l’ALE (si ceux-ci sont organisés au sein de l’école). </w:t>
      </w:r>
    </w:p>
    <w:p>
      <w:pPr>
        <w:pStyle w:val="Corpsdetexte"/>
        <w:numPr>
          <w:ilvl w:val="0"/>
          <w:numId w:val="160"/>
        </w:numPr>
        <w:rPr>
          <w:spacing w:val="0"/>
          <w:szCs w:val="22"/>
        </w:rPr>
      </w:pPr>
      <w:r>
        <w:rPr>
          <w:b/>
          <w:i/>
          <w:spacing w:val="0"/>
          <w:szCs w:val="22"/>
          <w:u w:val="single"/>
        </w:rPr>
        <w:t>Le mécanisme de comptabilisation des élèves pour le calcul des périodes allouées pour les cours d’ALE</w:t>
      </w:r>
      <w:r>
        <w:rPr>
          <w:spacing w:val="0"/>
          <w:szCs w:val="22"/>
        </w:rPr>
        <w:t xml:space="preserve"> (voir </w:t>
      </w:r>
      <w:hyperlink w:anchor="Section3_2_5_3" w:history="1">
        <w:r>
          <w:rPr>
            <w:rStyle w:val="Lienhypertexte"/>
            <w:color w:val="auto"/>
            <w:spacing w:val="0"/>
            <w:szCs w:val="22"/>
          </w:rPr>
          <w:t>section 3.2.5.3</w:t>
        </w:r>
      </w:hyperlink>
      <w:r>
        <w:rPr>
          <w:spacing w:val="0"/>
          <w:szCs w:val="22"/>
        </w:rPr>
        <w:t>).</w:t>
      </w:r>
    </w:p>
    <w:p>
      <w:pPr>
        <w:pStyle w:val="Corpsdetexte"/>
      </w:pPr>
    </w:p>
    <w:p>
      <w:pPr>
        <w:pStyle w:val="Titre4"/>
      </w:pPr>
      <w:bookmarkStart w:id="1010" w:name="Section3_2_5_3"/>
      <w:bookmarkStart w:id="1011" w:name="_Toc423420054"/>
      <w:bookmarkStart w:id="1012" w:name="_Toc450645261"/>
      <w:bookmarkStart w:id="1013" w:name="_Toc453942497"/>
      <w:bookmarkStart w:id="1014" w:name="_Toc454888114"/>
      <w:bookmarkStart w:id="1015" w:name="_Toc486241776"/>
      <w:r>
        <w:t xml:space="preserve">3.2.5.3. </w:t>
      </w:r>
      <w:bookmarkEnd w:id="1010"/>
      <w:r>
        <w:t>Calcul des périodes pour les cours ALE</w:t>
      </w:r>
      <w:bookmarkEnd w:id="1011"/>
      <w:bookmarkEnd w:id="1012"/>
      <w:bookmarkEnd w:id="1013"/>
      <w:bookmarkEnd w:id="1014"/>
      <w:bookmarkEnd w:id="1015"/>
      <w:r>
        <w:t xml:space="preserve"> </w:t>
      </w:r>
    </w:p>
    <w:p>
      <w:pPr>
        <w:pStyle w:val="Corpsdetexte"/>
        <w:rPr>
          <w:spacing w:val="0"/>
          <w:szCs w:val="22"/>
        </w:rPr>
      </w:pPr>
    </w:p>
    <w:p>
      <w:pPr>
        <w:pStyle w:val="Corpsdetexte"/>
        <w:rPr>
          <w:spacing w:val="0"/>
          <w:szCs w:val="22"/>
        </w:rPr>
      </w:pPr>
      <w:r>
        <w:rPr>
          <w:spacing w:val="0"/>
          <w:szCs w:val="22"/>
        </w:rPr>
        <w:t>La date de comptage unique pour le calcul des périodes ALE est le 30 septembre de l’année scolaire. L’encadrement calculé est applicable du 1</w:t>
      </w:r>
      <w:r>
        <w:rPr>
          <w:spacing w:val="0"/>
          <w:szCs w:val="22"/>
          <w:vertAlign w:val="superscript"/>
        </w:rPr>
        <w:t>er</w:t>
      </w:r>
      <w:r>
        <w:rPr>
          <w:spacing w:val="0"/>
          <w:szCs w:val="22"/>
        </w:rPr>
        <w:t xml:space="preserve"> octobre au 30 septembre suivant (voir tableau des périodes ci-dessous).</w:t>
      </w:r>
    </w:p>
    <w:p>
      <w:pPr>
        <w:pStyle w:val="Corpsdetexte"/>
        <w:rPr>
          <w:spacing w:val="0"/>
          <w:szCs w:val="22"/>
        </w:rPr>
      </w:pPr>
    </w:p>
    <w:p>
      <w:pPr>
        <w:pStyle w:val="Corpsdetexte"/>
        <w:rPr>
          <w:spacing w:val="0"/>
          <w:szCs w:val="22"/>
        </w:rPr>
      </w:pPr>
      <w:r>
        <w:rPr>
          <w:spacing w:val="0"/>
          <w:szCs w:val="22"/>
        </w:rPr>
        <w:t>Chaque élève comptabilisable pour l’ALE est comptabilisé au coefficient 1, à l’exception des élèves primo-arrivants ou qui ont été primo-arrivants depuis moins de 3 années scolaires complètes, qui peuvent bénéficier d’un coefficient préférentiel conformément au tableau récapitulatif des coefficients ci-dessous.</w:t>
      </w:r>
    </w:p>
    <w:p>
      <w:pPr>
        <w:pStyle w:val="Corpsdetexte"/>
        <w:rPr>
          <w:spacing w:val="0"/>
          <w:sz w:val="16"/>
          <w:szCs w:val="16"/>
        </w:rPr>
      </w:pPr>
    </w:p>
    <w:p>
      <w:pPr>
        <w:pStyle w:val="Corpsdetexte"/>
        <w:rPr>
          <w:spacing w:val="0"/>
          <w:szCs w:val="22"/>
        </w:rPr>
      </w:pPr>
      <w:r>
        <w:rPr>
          <w:spacing w:val="0"/>
          <w:szCs w:val="22"/>
        </w:rPr>
        <w:t xml:space="preserve">L’intention du législateur est que tous les élèves qui remplissent les conditions précitées, quelle que soit leur date de première </w:t>
      </w:r>
      <w:r>
        <w:t>inscription</w:t>
      </w:r>
      <w:r>
        <w:rPr>
          <w:rStyle w:val="Appelnotedebasdep"/>
        </w:rPr>
        <w:footnoteReference w:id="50"/>
      </w:r>
      <w:r>
        <w:rPr>
          <w:spacing w:val="0"/>
          <w:szCs w:val="22"/>
        </w:rPr>
        <w:t xml:space="preserve"> dans une école de </w:t>
      </w:r>
      <w:smartTag w:uri="urn:schemas-microsoft-com:office:smarttags" w:element="PersonName">
        <w:smartTagPr>
          <w:attr w:name="ProductID" w:val="la FWB"/>
        </w:smartTagPr>
        <w:r>
          <w:rPr>
            <w:spacing w:val="0"/>
            <w:szCs w:val="22"/>
          </w:rPr>
          <w:t>la FWB</w:t>
        </w:r>
      </w:smartTag>
      <w:r>
        <w:rPr>
          <w:spacing w:val="0"/>
          <w:szCs w:val="22"/>
        </w:rPr>
        <w:t xml:space="preserve">, puissent contribuer au </w:t>
      </w:r>
      <w:r>
        <w:rPr>
          <w:b/>
          <w:spacing w:val="0"/>
          <w:szCs w:val="22"/>
          <w:u w:val="single"/>
        </w:rPr>
        <w:t>mécanisme de comptabilisation pour le calcul des périodes ALE de 3 années scolaires </w:t>
      </w:r>
      <w:r>
        <w:rPr>
          <w:spacing w:val="0"/>
          <w:szCs w:val="22"/>
        </w:rPr>
        <w:t>:</w:t>
      </w:r>
    </w:p>
    <w:p>
      <w:pPr>
        <w:pStyle w:val="Corpsdetexte"/>
        <w:rPr>
          <w:spacing w:val="0"/>
          <w:sz w:val="16"/>
          <w:szCs w:val="16"/>
        </w:rPr>
      </w:pPr>
    </w:p>
    <w:p>
      <w:pPr>
        <w:pStyle w:val="Corpsdetexte"/>
        <w:numPr>
          <w:ilvl w:val="0"/>
          <w:numId w:val="156"/>
        </w:numPr>
        <w:tabs>
          <w:tab w:val="clear" w:pos="1995"/>
          <w:tab w:val="num" w:pos="915"/>
        </w:tabs>
        <w:ind w:left="915"/>
        <w:rPr>
          <w:spacing w:val="0"/>
          <w:szCs w:val="22"/>
        </w:rPr>
      </w:pPr>
      <w:r>
        <w:rPr>
          <w:b/>
          <w:spacing w:val="0"/>
          <w:szCs w:val="22"/>
        </w:rPr>
        <w:t xml:space="preserve">S’ils ne sont </w:t>
      </w:r>
      <w:r>
        <w:rPr>
          <w:b/>
          <w:spacing w:val="0"/>
          <w:szCs w:val="22"/>
          <w:u w:val="single"/>
        </w:rPr>
        <w:t>pas (ou n’ont pas été) élèves primo-arrivants</w:t>
      </w:r>
      <w:r>
        <w:rPr>
          <w:b/>
          <w:spacing w:val="0"/>
          <w:szCs w:val="22"/>
        </w:rPr>
        <w:t>, ils comptent pour les 3 comptages ALE (30-9) suivant leur 1</w:t>
      </w:r>
      <w:r>
        <w:rPr>
          <w:b/>
          <w:spacing w:val="0"/>
          <w:szCs w:val="22"/>
          <w:vertAlign w:val="superscript"/>
        </w:rPr>
        <w:t>ère</w:t>
      </w:r>
      <w:r>
        <w:rPr>
          <w:b/>
          <w:spacing w:val="0"/>
          <w:szCs w:val="22"/>
        </w:rPr>
        <w:t xml:space="preserve"> inscription dans une école de </w:t>
      </w:r>
      <w:smartTag w:uri="urn:schemas-microsoft-com:office:smarttags" w:element="PersonName">
        <w:smartTagPr>
          <w:attr w:name="ProductID" w:val="la FWB"/>
        </w:smartTagPr>
        <w:r>
          <w:rPr>
            <w:b/>
            <w:spacing w:val="0"/>
            <w:szCs w:val="22"/>
          </w:rPr>
          <w:t>la FWB</w:t>
        </w:r>
      </w:smartTag>
      <w:r>
        <w:rPr>
          <w:b/>
          <w:spacing w:val="0"/>
          <w:szCs w:val="22"/>
        </w:rPr>
        <w:t xml:space="preserve"> au </w:t>
      </w:r>
      <w:r>
        <w:rPr>
          <w:b/>
          <w:spacing w:val="0"/>
          <w:szCs w:val="22"/>
          <w:u w:val="single"/>
        </w:rPr>
        <w:t>coefficient 1</w:t>
      </w:r>
      <w:r>
        <w:rPr>
          <w:spacing w:val="0"/>
          <w:szCs w:val="22"/>
        </w:rPr>
        <w:t xml:space="preserve"> </w:t>
      </w:r>
    </w:p>
    <w:p>
      <w:pPr>
        <w:pStyle w:val="Corpsdetexte"/>
        <w:rPr>
          <w:spacing w:val="0"/>
          <w:sz w:val="8"/>
          <w:szCs w:val="8"/>
        </w:rPr>
      </w:pPr>
    </w:p>
    <w:p>
      <w:pPr>
        <w:pStyle w:val="Corpsdetexte"/>
        <w:numPr>
          <w:ilvl w:val="0"/>
          <w:numId w:val="156"/>
        </w:numPr>
        <w:tabs>
          <w:tab w:val="clear" w:pos="1995"/>
          <w:tab w:val="num" w:pos="915"/>
        </w:tabs>
        <w:ind w:left="915"/>
        <w:rPr>
          <w:b/>
          <w:spacing w:val="0"/>
          <w:szCs w:val="22"/>
        </w:rPr>
      </w:pPr>
      <w:r>
        <w:rPr>
          <w:b/>
          <w:spacing w:val="0"/>
          <w:szCs w:val="22"/>
        </w:rPr>
        <w:t xml:space="preserve">S’ils sont </w:t>
      </w:r>
      <w:r>
        <w:rPr>
          <w:b/>
          <w:spacing w:val="0"/>
          <w:szCs w:val="22"/>
          <w:u w:val="single"/>
        </w:rPr>
        <w:t>élèves primaires primo-arrivants</w:t>
      </w:r>
      <w:r>
        <w:rPr>
          <w:spacing w:val="0"/>
          <w:szCs w:val="22"/>
        </w:rPr>
        <w:t xml:space="preserve"> (ou l’ont été lors de leur première inscription dans une école primaire de </w:t>
      </w:r>
      <w:smartTag w:uri="urn:schemas-microsoft-com:office:smarttags" w:element="PersonName">
        <w:smartTagPr>
          <w:attr w:name="ProductID" w:val="la FWB"/>
        </w:smartTagPr>
        <w:r>
          <w:rPr>
            <w:spacing w:val="0"/>
            <w:szCs w:val="22"/>
          </w:rPr>
          <w:t>la FWB</w:t>
        </w:r>
      </w:smartTag>
      <w:r>
        <w:rPr>
          <w:spacing w:val="0"/>
          <w:szCs w:val="22"/>
        </w:rPr>
        <w:t xml:space="preserve">), </w:t>
      </w:r>
      <w:r>
        <w:rPr>
          <w:b/>
          <w:spacing w:val="0"/>
          <w:szCs w:val="22"/>
        </w:rPr>
        <w:t>ils comptent pour les 3 comptages ALE (30-9) suivant leur 1</w:t>
      </w:r>
      <w:r>
        <w:rPr>
          <w:b/>
          <w:spacing w:val="0"/>
          <w:szCs w:val="22"/>
          <w:vertAlign w:val="superscript"/>
        </w:rPr>
        <w:t>ère</w:t>
      </w:r>
      <w:r>
        <w:rPr>
          <w:b/>
          <w:spacing w:val="0"/>
          <w:szCs w:val="22"/>
        </w:rPr>
        <w:t xml:space="preserve"> inscription dans une école de </w:t>
      </w:r>
      <w:smartTag w:uri="urn:schemas-microsoft-com:office:smarttags" w:element="PersonName">
        <w:smartTagPr>
          <w:attr w:name="ProductID" w:val="la FWB"/>
        </w:smartTagPr>
        <w:r>
          <w:rPr>
            <w:b/>
            <w:spacing w:val="0"/>
            <w:szCs w:val="22"/>
          </w:rPr>
          <w:t>la FWB</w:t>
        </w:r>
      </w:smartTag>
      <w:r>
        <w:rPr>
          <w:b/>
          <w:spacing w:val="0"/>
          <w:szCs w:val="22"/>
        </w:rPr>
        <w:t xml:space="preserve"> avec </w:t>
      </w:r>
      <w:r>
        <w:rPr>
          <w:b/>
          <w:spacing w:val="0"/>
          <w:szCs w:val="22"/>
          <w:u w:val="single"/>
        </w:rPr>
        <w:t>bénéfice d’un coefficient préférentiel</w:t>
      </w:r>
      <w:r>
        <w:rPr>
          <w:b/>
          <w:spacing w:val="0"/>
          <w:szCs w:val="22"/>
        </w:rPr>
        <w:t>:</w:t>
      </w:r>
    </w:p>
    <w:p>
      <w:pPr>
        <w:pStyle w:val="Corpsdetexte"/>
        <w:ind w:left="1416"/>
        <w:rPr>
          <w:spacing w:val="0"/>
          <w:szCs w:val="22"/>
        </w:rPr>
      </w:pPr>
      <w:r>
        <w:rPr>
          <w:spacing w:val="0"/>
          <w:szCs w:val="22"/>
        </w:rPr>
        <w:t>1</w:t>
      </w:r>
      <w:r>
        <w:rPr>
          <w:spacing w:val="0"/>
          <w:szCs w:val="22"/>
          <w:vertAlign w:val="superscript"/>
        </w:rPr>
        <w:t>er</w:t>
      </w:r>
      <w:r>
        <w:rPr>
          <w:spacing w:val="0"/>
          <w:szCs w:val="22"/>
        </w:rPr>
        <w:t xml:space="preserve"> comptage: coefficient </w:t>
      </w:r>
      <w:r>
        <w:rPr>
          <w:b/>
          <w:spacing w:val="0"/>
          <w:szCs w:val="22"/>
        </w:rPr>
        <w:t>3</w:t>
      </w:r>
      <w:r>
        <w:rPr>
          <w:spacing w:val="0"/>
          <w:szCs w:val="22"/>
        </w:rPr>
        <w:t xml:space="preserve"> (</w:t>
      </w:r>
      <w:r>
        <w:rPr>
          <w:b/>
          <w:i/>
          <w:spacing w:val="0"/>
          <w:szCs w:val="22"/>
        </w:rPr>
        <w:t>1</w:t>
      </w:r>
      <w:r>
        <w:rPr>
          <w:spacing w:val="0"/>
          <w:szCs w:val="22"/>
        </w:rPr>
        <w:t xml:space="preserve"> si l’élève a intégré un </w:t>
      </w:r>
      <w:r>
        <w:rPr>
          <w:b/>
          <w:i/>
          <w:spacing w:val="0"/>
          <w:szCs w:val="22"/>
        </w:rPr>
        <w:t>DASPA</w:t>
      </w:r>
      <w:r>
        <w:rPr>
          <w:spacing w:val="0"/>
          <w:szCs w:val="22"/>
        </w:rPr>
        <w:t>)</w:t>
      </w:r>
    </w:p>
    <w:p>
      <w:pPr>
        <w:pStyle w:val="Corpsdetexte"/>
        <w:ind w:left="1416"/>
        <w:rPr>
          <w:spacing w:val="0"/>
          <w:szCs w:val="22"/>
        </w:rPr>
      </w:pPr>
      <w:r>
        <w:rPr>
          <w:spacing w:val="0"/>
          <w:szCs w:val="22"/>
        </w:rPr>
        <w:t xml:space="preserve">2iè comptage: coefficient </w:t>
      </w:r>
      <w:r>
        <w:rPr>
          <w:b/>
          <w:spacing w:val="0"/>
          <w:szCs w:val="22"/>
        </w:rPr>
        <w:t>3</w:t>
      </w:r>
    </w:p>
    <w:p>
      <w:pPr>
        <w:pStyle w:val="Corpsdetexte"/>
        <w:ind w:left="1416"/>
        <w:rPr>
          <w:b/>
          <w:spacing w:val="0"/>
          <w:szCs w:val="22"/>
        </w:rPr>
      </w:pPr>
      <w:r>
        <w:rPr>
          <w:spacing w:val="0"/>
          <w:szCs w:val="22"/>
        </w:rPr>
        <w:t xml:space="preserve">3iè comptage: coefficient </w:t>
      </w:r>
      <w:r>
        <w:rPr>
          <w:b/>
          <w:spacing w:val="0"/>
          <w:szCs w:val="22"/>
        </w:rPr>
        <w:t>2</w:t>
      </w:r>
    </w:p>
    <w:p>
      <w:pPr>
        <w:pStyle w:val="Corpsdetexte"/>
        <w:rPr>
          <w:spacing w:val="0"/>
          <w:sz w:val="8"/>
          <w:szCs w:val="8"/>
        </w:rPr>
      </w:pPr>
    </w:p>
    <w:p>
      <w:pPr>
        <w:pStyle w:val="Corpsdetexte"/>
        <w:numPr>
          <w:ilvl w:val="0"/>
          <w:numId w:val="156"/>
        </w:numPr>
        <w:tabs>
          <w:tab w:val="clear" w:pos="1995"/>
          <w:tab w:val="num" w:pos="915"/>
        </w:tabs>
        <w:ind w:left="915"/>
        <w:rPr>
          <w:b/>
          <w:spacing w:val="0"/>
          <w:szCs w:val="22"/>
        </w:rPr>
      </w:pPr>
      <w:r>
        <w:rPr>
          <w:b/>
          <w:spacing w:val="0"/>
          <w:szCs w:val="22"/>
        </w:rPr>
        <w:t xml:space="preserve">S’ils ont été </w:t>
      </w:r>
      <w:r>
        <w:rPr>
          <w:b/>
          <w:spacing w:val="0"/>
          <w:szCs w:val="22"/>
          <w:u w:val="single"/>
        </w:rPr>
        <w:t xml:space="preserve">élèves primo-arrivants en maternel lors de leur première inscription dans une école maternelle de </w:t>
      </w:r>
      <w:smartTag w:uri="urn:schemas-microsoft-com:office:smarttags" w:element="PersonName">
        <w:smartTagPr>
          <w:attr w:name="ProductID" w:val="la FWB"/>
        </w:smartTagPr>
        <w:r>
          <w:rPr>
            <w:b/>
            <w:spacing w:val="0"/>
            <w:szCs w:val="22"/>
            <w:u w:val="single"/>
          </w:rPr>
          <w:t>la FWB</w:t>
        </w:r>
      </w:smartTag>
      <w:r>
        <w:rPr>
          <w:b/>
          <w:spacing w:val="0"/>
          <w:szCs w:val="22"/>
        </w:rPr>
        <w:t xml:space="preserve">), </w:t>
      </w:r>
      <w:r>
        <w:rPr>
          <w:spacing w:val="0"/>
          <w:szCs w:val="22"/>
        </w:rPr>
        <w:t>depuis moins de 3 années scolaires complètes, ils conservent le bénéfice d’un coefficient préférentiel en ALE jusqu’au terme des trois années scolaires complètes de scolarisation en FWB, puis sont comptabilisés au coefficient 1 pour les autres comptages ALE auxquels ils peuvent participer (voir exemple 6 ci-dessous)</w:t>
      </w:r>
    </w:p>
    <w:p>
      <w:pPr>
        <w:pStyle w:val="Corpsdetexte"/>
        <w:rPr>
          <w:b/>
          <w:spacing w:val="0"/>
          <w:sz w:val="16"/>
          <w:szCs w:val="16"/>
        </w:rPr>
      </w:pPr>
    </w:p>
    <w:p>
      <w:pPr>
        <w:pStyle w:val="Corpsdetexte"/>
        <w:rPr>
          <w:b/>
          <w:spacing w:val="0"/>
          <w:sz w:val="16"/>
          <w:szCs w:val="16"/>
        </w:rPr>
      </w:pPr>
    </w:p>
    <w:p>
      <w:pPr>
        <w:pStyle w:val="Titre4"/>
      </w:pPr>
      <w:bookmarkStart w:id="1016" w:name="_Toc388016291"/>
      <w:bookmarkStart w:id="1017" w:name="_Toc423420055"/>
      <w:bookmarkStart w:id="1018" w:name="_Toc450645262"/>
      <w:bookmarkStart w:id="1019" w:name="_Toc453942498"/>
      <w:bookmarkStart w:id="1020" w:name="_Toc454888115"/>
      <w:bookmarkStart w:id="1021" w:name="_Toc486241777"/>
      <w:r>
        <w:t>3.2.5.4. Tableau - Périodes à réserver au cours d’ALE</w:t>
      </w:r>
      <w:bookmarkEnd w:id="1016"/>
      <w:bookmarkEnd w:id="1017"/>
      <w:bookmarkEnd w:id="1018"/>
      <w:bookmarkEnd w:id="1019"/>
      <w:bookmarkEnd w:id="1020"/>
      <w:bookmarkEnd w:id="1021"/>
    </w:p>
    <w:p>
      <w:pPr>
        <w:autoSpaceDE w:val="0"/>
        <w:autoSpaceDN w:val="0"/>
        <w:adjustRightInd w:val="0"/>
        <w:jc w:val="both"/>
        <w:rPr>
          <w:b/>
          <w:sz w:val="16"/>
          <w:szCs w:val="16"/>
          <w:lang w:val="fr-B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00"/>
        <w:gridCol w:w="1343"/>
      </w:tblGrid>
      <w:tr>
        <w:trPr>
          <w:jc w:val="center"/>
        </w:trPr>
        <w:tc>
          <w:tcPr>
            <w:tcW w:w="2700" w:type="dxa"/>
            <w:vAlign w:val="center"/>
          </w:tcPr>
          <w:p>
            <w:pPr>
              <w:autoSpaceDE w:val="0"/>
              <w:autoSpaceDN w:val="0"/>
              <w:adjustRightInd w:val="0"/>
              <w:jc w:val="center"/>
              <w:rPr>
                <w:b/>
                <w:u w:val="single"/>
              </w:rPr>
            </w:pPr>
            <w:r>
              <w:rPr>
                <w:b/>
                <w:u w:val="single"/>
              </w:rPr>
              <w:t>Nombre d'élèves</w:t>
            </w:r>
          </w:p>
          <w:p>
            <w:pPr>
              <w:autoSpaceDE w:val="0"/>
              <w:autoSpaceDN w:val="0"/>
              <w:adjustRightInd w:val="0"/>
              <w:jc w:val="center"/>
              <w:rPr>
                <w:i/>
                <w:sz w:val="16"/>
                <w:szCs w:val="16"/>
              </w:rPr>
            </w:pPr>
            <w:r>
              <w:rPr>
                <w:i/>
                <w:sz w:val="16"/>
                <w:szCs w:val="16"/>
              </w:rPr>
              <w:t>(avec coefficients)</w:t>
            </w:r>
          </w:p>
        </w:tc>
        <w:tc>
          <w:tcPr>
            <w:tcW w:w="1343" w:type="dxa"/>
            <w:vAlign w:val="center"/>
          </w:tcPr>
          <w:p>
            <w:pPr>
              <w:autoSpaceDE w:val="0"/>
              <w:autoSpaceDN w:val="0"/>
              <w:adjustRightInd w:val="0"/>
              <w:jc w:val="center"/>
              <w:rPr>
                <w:b/>
                <w:u w:val="single"/>
              </w:rPr>
            </w:pPr>
            <w:r>
              <w:rPr>
                <w:b/>
                <w:u w:val="single"/>
              </w:rPr>
              <w:t>Périodes</w:t>
            </w:r>
          </w:p>
        </w:tc>
      </w:tr>
      <w:tr>
        <w:trPr>
          <w:jc w:val="center"/>
        </w:trPr>
        <w:tc>
          <w:tcPr>
            <w:tcW w:w="2700" w:type="dxa"/>
            <w:vAlign w:val="center"/>
          </w:tcPr>
          <w:p>
            <w:pPr>
              <w:autoSpaceDE w:val="0"/>
              <w:autoSpaceDN w:val="0"/>
              <w:adjustRightInd w:val="0"/>
              <w:jc w:val="center"/>
            </w:pPr>
            <w:r>
              <w:t>10 – 20</w:t>
            </w:r>
          </w:p>
        </w:tc>
        <w:tc>
          <w:tcPr>
            <w:tcW w:w="1343" w:type="dxa"/>
            <w:vAlign w:val="center"/>
          </w:tcPr>
          <w:p>
            <w:pPr>
              <w:autoSpaceDE w:val="0"/>
              <w:autoSpaceDN w:val="0"/>
              <w:adjustRightInd w:val="0"/>
              <w:jc w:val="center"/>
            </w:pPr>
            <w:r>
              <w:t>3</w:t>
            </w:r>
          </w:p>
        </w:tc>
      </w:tr>
      <w:tr>
        <w:trPr>
          <w:jc w:val="center"/>
        </w:trPr>
        <w:tc>
          <w:tcPr>
            <w:tcW w:w="2700" w:type="dxa"/>
            <w:vAlign w:val="center"/>
          </w:tcPr>
          <w:p>
            <w:pPr>
              <w:autoSpaceDE w:val="0"/>
              <w:autoSpaceDN w:val="0"/>
              <w:adjustRightInd w:val="0"/>
              <w:jc w:val="center"/>
            </w:pPr>
            <w:r>
              <w:t>21 – 44</w:t>
            </w:r>
          </w:p>
        </w:tc>
        <w:tc>
          <w:tcPr>
            <w:tcW w:w="1343" w:type="dxa"/>
            <w:vAlign w:val="center"/>
          </w:tcPr>
          <w:p>
            <w:pPr>
              <w:autoSpaceDE w:val="0"/>
              <w:autoSpaceDN w:val="0"/>
              <w:adjustRightInd w:val="0"/>
              <w:jc w:val="center"/>
            </w:pPr>
            <w:r>
              <w:t>6</w:t>
            </w:r>
          </w:p>
        </w:tc>
      </w:tr>
      <w:tr>
        <w:trPr>
          <w:jc w:val="center"/>
        </w:trPr>
        <w:tc>
          <w:tcPr>
            <w:tcW w:w="2700" w:type="dxa"/>
            <w:vAlign w:val="center"/>
          </w:tcPr>
          <w:p>
            <w:pPr>
              <w:autoSpaceDE w:val="0"/>
              <w:autoSpaceDN w:val="0"/>
              <w:adjustRightInd w:val="0"/>
              <w:jc w:val="center"/>
            </w:pPr>
            <w:r>
              <w:t>45 – 59</w:t>
            </w:r>
          </w:p>
        </w:tc>
        <w:tc>
          <w:tcPr>
            <w:tcW w:w="1343" w:type="dxa"/>
            <w:vAlign w:val="center"/>
          </w:tcPr>
          <w:p>
            <w:pPr>
              <w:autoSpaceDE w:val="0"/>
              <w:autoSpaceDN w:val="0"/>
              <w:adjustRightInd w:val="0"/>
              <w:jc w:val="center"/>
            </w:pPr>
            <w:r>
              <w:t>9</w:t>
            </w:r>
          </w:p>
        </w:tc>
      </w:tr>
      <w:tr>
        <w:trPr>
          <w:jc w:val="center"/>
        </w:trPr>
        <w:tc>
          <w:tcPr>
            <w:tcW w:w="2700" w:type="dxa"/>
            <w:vAlign w:val="center"/>
          </w:tcPr>
          <w:p>
            <w:pPr>
              <w:autoSpaceDE w:val="0"/>
              <w:autoSpaceDN w:val="0"/>
              <w:adjustRightInd w:val="0"/>
              <w:jc w:val="center"/>
            </w:pPr>
            <w:r>
              <w:t>60 – 74</w:t>
            </w:r>
          </w:p>
        </w:tc>
        <w:tc>
          <w:tcPr>
            <w:tcW w:w="1343" w:type="dxa"/>
            <w:vAlign w:val="center"/>
          </w:tcPr>
          <w:p>
            <w:pPr>
              <w:autoSpaceDE w:val="0"/>
              <w:autoSpaceDN w:val="0"/>
              <w:adjustRightInd w:val="0"/>
              <w:jc w:val="center"/>
            </w:pPr>
            <w:r>
              <w:t>12</w:t>
            </w:r>
          </w:p>
        </w:tc>
      </w:tr>
      <w:tr>
        <w:trPr>
          <w:jc w:val="center"/>
        </w:trPr>
        <w:tc>
          <w:tcPr>
            <w:tcW w:w="2700" w:type="dxa"/>
            <w:vAlign w:val="center"/>
          </w:tcPr>
          <w:p>
            <w:pPr>
              <w:autoSpaceDE w:val="0"/>
              <w:autoSpaceDN w:val="0"/>
              <w:adjustRightInd w:val="0"/>
              <w:jc w:val="center"/>
            </w:pPr>
            <w:r>
              <w:t>75 – 89</w:t>
            </w:r>
          </w:p>
        </w:tc>
        <w:tc>
          <w:tcPr>
            <w:tcW w:w="1343" w:type="dxa"/>
            <w:vAlign w:val="center"/>
          </w:tcPr>
          <w:p>
            <w:pPr>
              <w:autoSpaceDE w:val="0"/>
              <w:autoSpaceDN w:val="0"/>
              <w:adjustRightInd w:val="0"/>
              <w:jc w:val="center"/>
            </w:pPr>
            <w:r>
              <w:t>15</w:t>
            </w:r>
          </w:p>
        </w:tc>
      </w:tr>
      <w:tr>
        <w:trPr>
          <w:jc w:val="center"/>
        </w:trPr>
        <w:tc>
          <w:tcPr>
            <w:tcW w:w="2700" w:type="dxa"/>
            <w:vAlign w:val="center"/>
          </w:tcPr>
          <w:p>
            <w:pPr>
              <w:autoSpaceDE w:val="0"/>
              <w:autoSpaceDN w:val="0"/>
              <w:adjustRightInd w:val="0"/>
              <w:jc w:val="center"/>
            </w:pPr>
            <w:r>
              <w:t xml:space="preserve"> 90 – 104</w:t>
            </w:r>
          </w:p>
        </w:tc>
        <w:tc>
          <w:tcPr>
            <w:tcW w:w="1343" w:type="dxa"/>
            <w:vAlign w:val="center"/>
          </w:tcPr>
          <w:p>
            <w:pPr>
              <w:autoSpaceDE w:val="0"/>
              <w:autoSpaceDN w:val="0"/>
              <w:adjustRightInd w:val="0"/>
              <w:jc w:val="center"/>
            </w:pPr>
            <w:r>
              <w:t>18</w:t>
            </w:r>
          </w:p>
        </w:tc>
      </w:tr>
      <w:tr>
        <w:trPr>
          <w:jc w:val="center"/>
        </w:trPr>
        <w:tc>
          <w:tcPr>
            <w:tcW w:w="2700" w:type="dxa"/>
            <w:vAlign w:val="center"/>
          </w:tcPr>
          <w:p>
            <w:pPr>
              <w:autoSpaceDE w:val="0"/>
              <w:autoSpaceDN w:val="0"/>
              <w:adjustRightInd w:val="0"/>
              <w:jc w:val="center"/>
            </w:pPr>
            <w:r>
              <w:t>105 – 119</w:t>
            </w:r>
          </w:p>
        </w:tc>
        <w:tc>
          <w:tcPr>
            <w:tcW w:w="1343" w:type="dxa"/>
            <w:vAlign w:val="center"/>
          </w:tcPr>
          <w:p>
            <w:pPr>
              <w:autoSpaceDE w:val="0"/>
              <w:autoSpaceDN w:val="0"/>
              <w:adjustRightInd w:val="0"/>
              <w:jc w:val="center"/>
            </w:pPr>
            <w:r>
              <w:t>21</w:t>
            </w:r>
          </w:p>
        </w:tc>
      </w:tr>
      <w:tr>
        <w:trPr>
          <w:jc w:val="center"/>
        </w:trPr>
        <w:tc>
          <w:tcPr>
            <w:tcW w:w="2700" w:type="dxa"/>
            <w:vAlign w:val="center"/>
          </w:tcPr>
          <w:p>
            <w:pPr>
              <w:autoSpaceDE w:val="0"/>
              <w:autoSpaceDN w:val="0"/>
              <w:adjustRightInd w:val="0"/>
              <w:jc w:val="center"/>
            </w:pPr>
            <w:r>
              <w:t>120 – 134</w:t>
            </w:r>
          </w:p>
        </w:tc>
        <w:tc>
          <w:tcPr>
            <w:tcW w:w="1343" w:type="dxa"/>
            <w:vAlign w:val="center"/>
          </w:tcPr>
          <w:p>
            <w:pPr>
              <w:autoSpaceDE w:val="0"/>
              <w:autoSpaceDN w:val="0"/>
              <w:adjustRightInd w:val="0"/>
              <w:jc w:val="center"/>
            </w:pPr>
            <w:r>
              <w:t>24</w:t>
            </w:r>
          </w:p>
        </w:tc>
      </w:tr>
      <w:tr>
        <w:trPr>
          <w:jc w:val="center"/>
        </w:trPr>
        <w:tc>
          <w:tcPr>
            <w:tcW w:w="2700" w:type="dxa"/>
            <w:vAlign w:val="center"/>
          </w:tcPr>
          <w:p>
            <w:pPr>
              <w:autoSpaceDE w:val="0"/>
              <w:autoSpaceDN w:val="0"/>
              <w:adjustRightInd w:val="0"/>
              <w:jc w:val="center"/>
            </w:pPr>
            <w:r>
              <w:t>135 – 149</w:t>
            </w:r>
          </w:p>
        </w:tc>
        <w:tc>
          <w:tcPr>
            <w:tcW w:w="1343" w:type="dxa"/>
            <w:vAlign w:val="center"/>
          </w:tcPr>
          <w:p>
            <w:pPr>
              <w:autoSpaceDE w:val="0"/>
              <w:autoSpaceDN w:val="0"/>
              <w:adjustRightInd w:val="0"/>
              <w:jc w:val="center"/>
            </w:pPr>
            <w:r>
              <w:t>27</w:t>
            </w:r>
          </w:p>
        </w:tc>
      </w:tr>
      <w:tr>
        <w:trPr>
          <w:jc w:val="center"/>
        </w:trPr>
        <w:tc>
          <w:tcPr>
            <w:tcW w:w="2700" w:type="dxa"/>
            <w:vAlign w:val="center"/>
          </w:tcPr>
          <w:p>
            <w:pPr>
              <w:autoSpaceDE w:val="0"/>
              <w:autoSpaceDN w:val="0"/>
              <w:adjustRightInd w:val="0"/>
              <w:jc w:val="center"/>
            </w:pPr>
            <w:r>
              <w:t>150 – 164</w:t>
            </w:r>
          </w:p>
        </w:tc>
        <w:tc>
          <w:tcPr>
            <w:tcW w:w="1343" w:type="dxa"/>
            <w:vAlign w:val="center"/>
          </w:tcPr>
          <w:p>
            <w:pPr>
              <w:autoSpaceDE w:val="0"/>
              <w:autoSpaceDN w:val="0"/>
              <w:adjustRightInd w:val="0"/>
              <w:jc w:val="center"/>
            </w:pPr>
            <w:r>
              <w:t>30</w:t>
            </w:r>
          </w:p>
        </w:tc>
      </w:tr>
      <w:tr>
        <w:trPr>
          <w:jc w:val="center"/>
        </w:trPr>
        <w:tc>
          <w:tcPr>
            <w:tcW w:w="2700" w:type="dxa"/>
            <w:vAlign w:val="center"/>
          </w:tcPr>
          <w:p>
            <w:pPr>
              <w:autoSpaceDE w:val="0"/>
              <w:autoSpaceDN w:val="0"/>
              <w:adjustRightInd w:val="0"/>
              <w:jc w:val="center"/>
            </w:pPr>
            <w:r>
              <w:t>par groupe de 15 élèves</w:t>
            </w:r>
          </w:p>
        </w:tc>
        <w:tc>
          <w:tcPr>
            <w:tcW w:w="1343" w:type="dxa"/>
            <w:vAlign w:val="center"/>
          </w:tcPr>
          <w:p>
            <w:pPr>
              <w:autoSpaceDE w:val="0"/>
              <w:autoSpaceDN w:val="0"/>
              <w:adjustRightInd w:val="0"/>
              <w:jc w:val="center"/>
            </w:pPr>
            <w:r>
              <w:t>+ 3</w:t>
            </w:r>
          </w:p>
        </w:tc>
      </w:tr>
    </w:tbl>
    <w:p>
      <w:pPr>
        <w:pStyle w:val="Corpsdetexte"/>
        <w:rPr>
          <w:b/>
          <w:spacing w:val="0"/>
          <w:szCs w:val="22"/>
        </w:rPr>
      </w:pPr>
    </w:p>
    <w:p>
      <w:pPr>
        <w:pStyle w:val="Corpsdetexte"/>
        <w:rPr>
          <w:b/>
          <w:spacing w:val="0"/>
          <w:szCs w:val="22"/>
        </w:rPr>
      </w:pPr>
    </w:p>
    <w:p>
      <w:pPr>
        <w:pStyle w:val="Corpsdetexte"/>
        <w:rPr>
          <w:b/>
          <w:spacing w:val="0"/>
          <w:szCs w:val="22"/>
        </w:rPr>
      </w:pPr>
    </w:p>
    <w:p>
      <w:pPr>
        <w:pStyle w:val="Titre4"/>
      </w:pPr>
      <w:r>
        <w:br w:type="page"/>
      </w:r>
      <w:bookmarkStart w:id="1022" w:name="_Toc423420056"/>
      <w:bookmarkStart w:id="1023" w:name="_Toc450645263"/>
      <w:bookmarkStart w:id="1024" w:name="_Toc453942499"/>
      <w:bookmarkStart w:id="1025" w:name="_Toc454888116"/>
      <w:bookmarkStart w:id="1026" w:name="_Toc486241778"/>
      <w:r>
        <w:t>3.2.5.5. Tableau récapitulatif des coefficients de comptage pour les cours d’ALE</w:t>
      </w:r>
      <w:bookmarkEnd w:id="1022"/>
      <w:bookmarkEnd w:id="1023"/>
      <w:bookmarkEnd w:id="1024"/>
      <w:bookmarkEnd w:id="1025"/>
      <w:bookmarkEnd w:id="1026"/>
      <w:r>
        <w:t xml:space="preserve"> </w:t>
      </w:r>
    </w:p>
    <w:p>
      <w:pPr>
        <w:pStyle w:val="Corpsdetexte2"/>
        <w:rPr>
          <w:b/>
          <w:u w:val="single"/>
        </w:rPr>
      </w:pPr>
    </w:p>
    <w:p>
      <w:pPr>
        <w:jc w:val="center"/>
        <w:rPr>
          <w:b/>
          <w:sz w:val="4"/>
          <w:szCs w:val="4"/>
          <w:u w:val="single"/>
        </w:rPr>
      </w:pPr>
    </w:p>
    <w:p>
      <w:pPr>
        <w:rPr>
          <w:b/>
          <w:sz w:val="12"/>
          <w:szCs w:val="12"/>
          <w:u w:val="single"/>
        </w:rPr>
      </w:pPr>
    </w:p>
    <w:tbl>
      <w:tblPr>
        <w:tblW w:w="9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8"/>
        <w:gridCol w:w="1559"/>
        <w:gridCol w:w="1863"/>
        <w:gridCol w:w="1585"/>
        <w:gridCol w:w="1517"/>
      </w:tblGrid>
      <w:tr>
        <w:trPr>
          <w:cantSplit/>
          <w:trHeight w:hRule="exact" w:val="567"/>
          <w:jc w:val="center"/>
        </w:trPr>
        <w:tc>
          <w:tcPr>
            <w:tcW w:w="3408" w:type="dxa"/>
            <w:vMerge w:val="restart"/>
            <w:tcBorders>
              <w:top w:val="single" w:sz="4" w:space="0" w:color="auto"/>
            </w:tcBorders>
            <w:vAlign w:val="bottom"/>
          </w:tcPr>
          <w:p>
            <w:pPr>
              <w:spacing w:after="120"/>
              <w:rPr>
                <w:b/>
                <w:sz w:val="20"/>
              </w:rPr>
            </w:pPr>
            <w:r>
              <w:rPr>
                <w:b/>
                <w:sz w:val="20"/>
              </w:rPr>
              <w:t xml:space="preserve">Date de </w:t>
            </w:r>
            <w:r>
              <w:rPr>
                <w:b/>
                <w:sz w:val="20"/>
                <w:u w:val="single"/>
              </w:rPr>
              <w:t>1</w:t>
            </w:r>
            <w:r>
              <w:rPr>
                <w:b/>
                <w:sz w:val="20"/>
                <w:u w:val="single"/>
                <w:vertAlign w:val="superscript"/>
              </w:rPr>
              <w:t>ère</w:t>
            </w:r>
            <w:r>
              <w:rPr>
                <w:b/>
                <w:sz w:val="20"/>
                <w:u w:val="single"/>
              </w:rPr>
              <w:t xml:space="preserve"> inscription</w:t>
            </w:r>
            <w:r>
              <w:rPr>
                <w:b/>
                <w:sz w:val="20"/>
              </w:rPr>
              <w:t xml:space="preserve"> de </w:t>
            </w:r>
            <w:r>
              <w:rPr>
                <w:b/>
                <w:sz w:val="20"/>
                <w:u w:val="single"/>
              </w:rPr>
              <w:t xml:space="preserve">l’élève </w:t>
            </w:r>
            <w:r>
              <w:rPr>
                <w:b/>
                <w:sz w:val="20"/>
              </w:rPr>
              <w:t xml:space="preserve">dans une école de </w:t>
            </w:r>
            <w:smartTag w:uri="urn:schemas-microsoft-com:office:smarttags" w:element="PersonName">
              <w:smartTagPr>
                <w:attr w:name="ProductID" w:val="la FWB"/>
              </w:smartTagPr>
              <w:r>
                <w:rPr>
                  <w:b/>
                  <w:sz w:val="20"/>
                </w:rPr>
                <w:t>la FWB</w:t>
              </w:r>
            </w:smartTag>
          </w:p>
          <w:p>
            <w:pPr>
              <w:spacing w:after="120"/>
              <w:rPr>
                <w:sz w:val="20"/>
              </w:rPr>
            </w:pPr>
          </w:p>
        </w:tc>
        <w:tc>
          <w:tcPr>
            <w:tcW w:w="6524" w:type="dxa"/>
            <w:gridSpan w:val="4"/>
            <w:tcBorders>
              <w:top w:val="single" w:sz="4" w:space="0" w:color="auto"/>
            </w:tcBorders>
            <w:vAlign w:val="center"/>
          </w:tcPr>
          <w:p>
            <w:pPr>
              <w:jc w:val="center"/>
              <w:rPr>
                <w:b/>
                <w:sz w:val="20"/>
              </w:rPr>
            </w:pPr>
            <w:r>
              <w:rPr>
                <w:b/>
                <w:sz w:val="20"/>
              </w:rPr>
              <w:t>Années scolaires</w:t>
            </w:r>
          </w:p>
        </w:tc>
      </w:tr>
      <w:tr>
        <w:trPr>
          <w:cantSplit/>
          <w:trHeight w:hRule="exact" w:val="340"/>
          <w:jc w:val="center"/>
        </w:trPr>
        <w:tc>
          <w:tcPr>
            <w:tcW w:w="3408" w:type="dxa"/>
            <w:vMerge/>
            <w:vAlign w:val="center"/>
          </w:tcPr>
          <w:p>
            <w:pPr>
              <w:jc w:val="center"/>
              <w:rPr>
                <w:b/>
                <w:sz w:val="20"/>
              </w:rPr>
            </w:pPr>
          </w:p>
        </w:tc>
        <w:tc>
          <w:tcPr>
            <w:tcW w:w="1559" w:type="dxa"/>
            <w:vAlign w:val="center"/>
          </w:tcPr>
          <w:p>
            <w:pPr>
              <w:jc w:val="center"/>
              <w:rPr>
                <w:b/>
                <w:sz w:val="20"/>
              </w:rPr>
            </w:pPr>
            <w:r>
              <w:rPr>
                <w:b/>
                <w:sz w:val="20"/>
              </w:rPr>
              <w:t>30-09-2017</w:t>
            </w:r>
          </w:p>
        </w:tc>
        <w:tc>
          <w:tcPr>
            <w:tcW w:w="1863" w:type="dxa"/>
            <w:tcBorders>
              <w:bottom w:val="single" w:sz="4" w:space="0" w:color="auto"/>
            </w:tcBorders>
            <w:vAlign w:val="center"/>
          </w:tcPr>
          <w:p>
            <w:pPr>
              <w:jc w:val="center"/>
              <w:rPr>
                <w:b/>
                <w:sz w:val="20"/>
              </w:rPr>
            </w:pPr>
            <w:r>
              <w:rPr>
                <w:b/>
                <w:sz w:val="20"/>
              </w:rPr>
              <w:t>30-09-2018</w:t>
            </w:r>
          </w:p>
        </w:tc>
        <w:tc>
          <w:tcPr>
            <w:tcW w:w="1585" w:type="dxa"/>
            <w:tcBorders>
              <w:bottom w:val="single" w:sz="4" w:space="0" w:color="auto"/>
            </w:tcBorders>
            <w:vAlign w:val="center"/>
          </w:tcPr>
          <w:p>
            <w:pPr>
              <w:jc w:val="center"/>
              <w:rPr>
                <w:b/>
                <w:sz w:val="20"/>
              </w:rPr>
            </w:pPr>
            <w:r>
              <w:rPr>
                <w:b/>
                <w:sz w:val="20"/>
              </w:rPr>
              <w:t>30-09-2019</w:t>
            </w:r>
          </w:p>
        </w:tc>
        <w:tc>
          <w:tcPr>
            <w:tcW w:w="1517" w:type="dxa"/>
            <w:tcBorders>
              <w:bottom w:val="single" w:sz="4" w:space="0" w:color="auto"/>
            </w:tcBorders>
            <w:vAlign w:val="center"/>
          </w:tcPr>
          <w:p>
            <w:pPr>
              <w:jc w:val="center"/>
              <w:rPr>
                <w:b/>
                <w:sz w:val="20"/>
              </w:rPr>
            </w:pPr>
            <w:r>
              <w:rPr>
                <w:b/>
                <w:sz w:val="20"/>
              </w:rPr>
              <w:t>30-09-2020</w:t>
            </w:r>
          </w:p>
        </w:tc>
      </w:tr>
      <w:tr>
        <w:trPr>
          <w:trHeight w:hRule="exact" w:val="567"/>
          <w:jc w:val="center"/>
        </w:trPr>
        <w:tc>
          <w:tcPr>
            <w:tcW w:w="3408" w:type="dxa"/>
            <w:vAlign w:val="center"/>
          </w:tcPr>
          <w:p>
            <w:pPr>
              <w:jc w:val="center"/>
              <w:rPr>
                <w:sz w:val="20"/>
              </w:rPr>
            </w:pPr>
            <w:r>
              <w:rPr>
                <w:sz w:val="20"/>
              </w:rPr>
              <w:t>Entre le 1/10/2014 et le 30/09/2015</w:t>
            </w:r>
          </w:p>
        </w:tc>
        <w:tc>
          <w:tcPr>
            <w:tcW w:w="1559" w:type="dxa"/>
            <w:vAlign w:val="center"/>
          </w:tcPr>
          <w:p>
            <w:pPr>
              <w:rPr>
                <w:b/>
                <w:sz w:val="20"/>
              </w:rPr>
            </w:pPr>
            <w:r>
              <w:rPr>
                <w:b/>
                <w:sz w:val="20"/>
              </w:rPr>
              <w:t xml:space="preserve">2 </w:t>
            </w:r>
            <w:r>
              <w:rPr>
                <w:sz w:val="20"/>
              </w:rPr>
              <w:t>(</w:t>
            </w:r>
            <w:r>
              <w:rPr>
                <w:sz w:val="18"/>
                <w:szCs w:val="18"/>
              </w:rPr>
              <w:t>coef préf. PA</w:t>
            </w:r>
            <w:r>
              <w:rPr>
                <w:sz w:val="20"/>
              </w:rPr>
              <w:t>)*</w:t>
            </w:r>
          </w:p>
          <w:p>
            <w:pPr>
              <w:rPr>
                <w:b/>
                <w:sz w:val="20"/>
              </w:rPr>
            </w:pPr>
            <w:r>
              <w:rPr>
                <w:b/>
                <w:sz w:val="20"/>
              </w:rPr>
              <w:t xml:space="preserve">1 </w:t>
            </w:r>
          </w:p>
        </w:tc>
        <w:tc>
          <w:tcPr>
            <w:tcW w:w="1863" w:type="dxa"/>
            <w:shd w:val="thinDiagStripe" w:color="auto" w:fill="auto"/>
            <w:vAlign w:val="center"/>
          </w:tcPr>
          <w:p>
            <w:pPr>
              <w:jc w:val="center"/>
              <w:rPr>
                <w:sz w:val="20"/>
              </w:rPr>
            </w:pPr>
          </w:p>
        </w:tc>
        <w:tc>
          <w:tcPr>
            <w:tcW w:w="1585" w:type="dxa"/>
            <w:tcBorders>
              <w:bottom w:val="single" w:sz="4" w:space="0" w:color="auto"/>
            </w:tcBorders>
            <w:shd w:val="thinDiagStripe" w:color="auto" w:fill="auto"/>
            <w:vAlign w:val="center"/>
          </w:tcPr>
          <w:p>
            <w:pPr>
              <w:jc w:val="center"/>
              <w:rPr>
                <w:sz w:val="20"/>
              </w:rPr>
            </w:pPr>
          </w:p>
        </w:tc>
        <w:tc>
          <w:tcPr>
            <w:tcW w:w="1517" w:type="dxa"/>
            <w:tcBorders>
              <w:bottom w:val="single" w:sz="4" w:space="0" w:color="auto"/>
            </w:tcBorders>
            <w:shd w:val="thinDiagStripe" w:color="auto" w:fill="auto"/>
            <w:vAlign w:val="center"/>
          </w:tcPr>
          <w:p>
            <w:pPr>
              <w:jc w:val="center"/>
              <w:rPr>
                <w:sz w:val="20"/>
              </w:rPr>
            </w:pPr>
          </w:p>
        </w:tc>
      </w:tr>
      <w:tr>
        <w:trPr>
          <w:trHeight w:hRule="exact" w:val="567"/>
          <w:jc w:val="center"/>
        </w:trPr>
        <w:tc>
          <w:tcPr>
            <w:tcW w:w="3408" w:type="dxa"/>
            <w:vAlign w:val="center"/>
          </w:tcPr>
          <w:p>
            <w:pPr>
              <w:jc w:val="center"/>
              <w:rPr>
                <w:sz w:val="20"/>
              </w:rPr>
            </w:pPr>
            <w:r>
              <w:rPr>
                <w:sz w:val="20"/>
              </w:rPr>
              <w:t>Entre le 1/10/2015 et le 30/09/2016</w:t>
            </w:r>
          </w:p>
        </w:tc>
        <w:tc>
          <w:tcPr>
            <w:tcW w:w="1559" w:type="dxa"/>
            <w:vAlign w:val="center"/>
          </w:tcPr>
          <w:p>
            <w:pPr>
              <w:rPr>
                <w:b/>
                <w:sz w:val="20"/>
              </w:rPr>
            </w:pPr>
            <w:r>
              <w:rPr>
                <w:b/>
                <w:sz w:val="20"/>
              </w:rPr>
              <w:t xml:space="preserve">3 </w:t>
            </w:r>
            <w:r>
              <w:rPr>
                <w:sz w:val="20"/>
              </w:rPr>
              <w:t>(</w:t>
            </w:r>
            <w:r>
              <w:rPr>
                <w:sz w:val="18"/>
                <w:szCs w:val="18"/>
              </w:rPr>
              <w:t>coef préf. PA</w:t>
            </w:r>
            <w:r>
              <w:rPr>
                <w:sz w:val="20"/>
              </w:rPr>
              <w:t>)</w:t>
            </w:r>
          </w:p>
          <w:p>
            <w:pPr>
              <w:rPr>
                <w:b/>
                <w:sz w:val="20"/>
              </w:rPr>
            </w:pPr>
            <w:r>
              <w:rPr>
                <w:b/>
                <w:sz w:val="20"/>
              </w:rPr>
              <w:t xml:space="preserve">1 </w:t>
            </w:r>
          </w:p>
        </w:tc>
        <w:tc>
          <w:tcPr>
            <w:tcW w:w="1863" w:type="dxa"/>
            <w:vAlign w:val="center"/>
          </w:tcPr>
          <w:p>
            <w:pPr>
              <w:rPr>
                <w:b/>
                <w:sz w:val="20"/>
              </w:rPr>
            </w:pPr>
            <w:r>
              <w:rPr>
                <w:b/>
                <w:sz w:val="20"/>
              </w:rPr>
              <w:t xml:space="preserve">2 </w:t>
            </w:r>
            <w:r>
              <w:rPr>
                <w:sz w:val="20"/>
              </w:rPr>
              <w:t>(</w:t>
            </w:r>
            <w:r>
              <w:rPr>
                <w:sz w:val="18"/>
                <w:szCs w:val="18"/>
              </w:rPr>
              <w:t>coef préf. PA</w:t>
            </w:r>
            <w:r>
              <w:rPr>
                <w:sz w:val="20"/>
              </w:rPr>
              <w:t>)</w:t>
            </w:r>
          </w:p>
          <w:p>
            <w:pPr>
              <w:rPr>
                <w:b/>
                <w:sz w:val="20"/>
              </w:rPr>
            </w:pPr>
            <w:r>
              <w:rPr>
                <w:b/>
                <w:sz w:val="20"/>
              </w:rPr>
              <w:t xml:space="preserve">1 </w:t>
            </w:r>
          </w:p>
        </w:tc>
        <w:tc>
          <w:tcPr>
            <w:tcW w:w="1585" w:type="dxa"/>
            <w:shd w:val="thinDiagStripe" w:color="auto" w:fill="auto"/>
            <w:vAlign w:val="center"/>
          </w:tcPr>
          <w:p>
            <w:pPr>
              <w:jc w:val="center"/>
              <w:rPr>
                <w:sz w:val="20"/>
              </w:rPr>
            </w:pPr>
          </w:p>
        </w:tc>
        <w:tc>
          <w:tcPr>
            <w:tcW w:w="1517" w:type="dxa"/>
            <w:tcBorders>
              <w:bottom w:val="single" w:sz="4" w:space="0" w:color="auto"/>
            </w:tcBorders>
            <w:shd w:val="thinDiagStripe" w:color="auto" w:fill="auto"/>
            <w:vAlign w:val="center"/>
          </w:tcPr>
          <w:p>
            <w:pPr>
              <w:jc w:val="center"/>
              <w:rPr>
                <w:sz w:val="20"/>
              </w:rPr>
            </w:pPr>
          </w:p>
        </w:tc>
      </w:tr>
      <w:tr>
        <w:trPr>
          <w:trHeight w:hRule="exact" w:val="933"/>
          <w:jc w:val="center"/>
        </w:trPr>
        <w:tc>
          <w:tcPr>
            <w:tcW w:w="3408" w:type="dxa"/>
            <w:vAlign w:val="center"/>
          </w:tcPr>
          <w:p>
            <w:pPr>
              <w:jc w:val="center"/>
              <w:rPr>
                <w:sz w:val="20"/>
              </w:rPr>
            </w:pPr>
            <w:r>
              <w:rPr>
                <w:sz w:val="20"/>
              </w:rPr>
              <w:t>Entre le 1/10/2016 et le 30/09/2017</w:t>
            </w:r>
          </w:p>
        </w:tc>
        <w:tc>
          <w:tcPr>
            <w:tcW w:w="1559" w:type="dxa"/>
            <w:tcBorders>
              <w:bottom w:val="single" w:sz="4" w:space="0" w:color="auto"/>
            </w:tcBorders>
            <w:vAlign w:val="center"/>
          </w:tcPr>
          <w:p>
            <w:pPr>
              <w:ind w:right="-133"/>
              <w:rPr>
                <w:b/>
                <w:sz w:val="18"/>
                <w:szCs w:val="18"/>
              </w:rPr>
            </w:pPr>
            <w:r>
              <w:rPr>
                <w:b/>
                <w:sz w:val="20"/>
              </w:rPr>
              <w:t>3</w:t>
            </w:r>
            <w:r>
              <w:rPr>
                <w:sz w:val="20"/>
              </w:rPr>
              <w:t>(</w:t>
            </w:r>
            <w:r>
              <w:rPr>
                <w:sz w:val="18"/>
                <w:szCs w:val="18"/>
              </w:rPr>
              <w:t>coef préf. PA</w:t>
            </w:r>
            <w:r>
              <w:rPr>
                <w:b/>
                <w:sz w:val="18"/>
                <w:szCs w:val="18"/>
              </w:rPr>
              <w:t>)</w:t>
            </w:r>
          </w:p>
          <w:p>
            <w:pPr>
              <w:ind w:right="-133"/>
              <w:rPr>
                <w:b/>
                <w:sz w:val="16"/>
              </w:rPr>
            </w:pPr>
            <w:r>
              <w:rPr>
                <w:b/>
                <w:sz w:val="20"/>
              </w:rPr>
              <w:t>1</w:t>
            </w:r>
            <w:r>
              <w:rPr>
                <w:sz w:val="18"/>
                <w:szCs w:val="18"/>
              </w:rPr>
              <w:t>(Primo-A en Daspa</w:t>
            </w:r>
            <w:r>
              <w:rPr>
                <w:b/>
                <w:sz w:val="16"/>
              </w:rPr>
              <w:t>)</w:t>
            </w:r>
            <w:r>
              <w:rPr>
                <w:rStyle w:val="Appelnotedebasdep"/>
                <w:b/>
                <w:sz w:val="16"/>
              </w:rPr>
              <w:footnoteReference w:id="51"/>
            </w:r>
          </w:p>
          <w:p>
            <w:pPr>
              <w:rPr>
                <w:b/>
                <w:sz w:val="16"/>
              </w:rPr>
            </w:pPr>
            <w:r>
              <w:rPr>
                <w:b/>
                <w:sz w:val="20"/>
              </w:rPr>
              <w:t>1</w:t>
            </w:r>
          </w:p>
        </w:tc>
        <w:tc>
          <w:tcPr>
            <w:tcW w:w="1863" w:type="dxa"/>
            <w:vAlign w:val="center"/>
          </w:tcPr>
          <w:p>
            <w:pPr>
              <w:rPr>
                <w:b/>
                <w:sz w:val="20"/>
              </w:rPr>
            </w:pPr>
            <w:r>
              <w:rPr>
                <w:b/>
                <w:sz w:val="20"/>
              </w:rPr>
              <w:t xml:space="preserve">3 </w:t>
            </w:r>
            <w:r>
              <w:rPr>
                <w:sz w:val="20"/>
              </w:rPr>
              <w:t>(</w:t>
            </w:r>
            <w:r>
              <w:rPr>
                <w:sz w:val="18"/>
                <w:szCs w:val="18"/>
              </w:rPr>
              <w:t>coef préf. PA</w:t>
            </w:r>
            <w:r>
              <w:rPr>
                <w:sz w:val="20"/>
              </w:rPr>
              <w:t>)</w:t>
            </w:r>
          </w:p>
          <w:p>
            <w:pPr>
              <w:rPr>
                <w:b/>
                <w:sz w:val="20"/>
              </w:rPr>
            </w:pPr>
            <w:r>
              <w:rPr>
                <w:b/>
                <w:sz w:val="20"/>
              </w:rPr>
              <w:t xml:space="preserve">1 </w:t>
            </w:r>
          </w:p>
        </w:tc>
        <w:tc>
          <w:tcPr>
            <w:tcW w:w="1585" w:type="dxa"/>
            <w:vAlign w:val="center"/>
          </w:tcPr>
          <w:p>
            <w:pPr>
              <w:rPr>
                <w:b/>
                <w:sz w:val="20"/>
              </w:rPr>
            </w:pPr>
            <w:r>
              <w:rPr>
                <w:b/>
                <w:sz w:val="20"/>
              </w:rPr>
              <w:t xml:space="preserve">2 </w:t>
            </w:r>
            <w:r>
              <w:rPr>
                <w:sz w:val="20"/>
              </w:rPr>
              <w:t>(</w:t>
            </w:r>
            <w:r>
              <w:rPr>
                <w:sz w:val="18"/>
                <w:szCs w:val="18"/>
              </w:rPr>
              <w:t>coef préf. PA</w:t>
            </w:r>
            <w:r>
              <w:rPr>
                <w:sz w:val="20"/>
              </w:rPr>
              <w:t>)</w:t>
            </w:r>
          </w:p>
          <w:p>
            <w:pPr>
              <w:rPr>
                <w:b/>
                <w:sz w:val="20"/>
              </w:rPr>
            </w:pPr>
            <w:r>
              <w:rPr>
                <w:b/>
                <w:sz w:val="20"/>
              </w:rPr>
              <w:t xml:space="preserve">1 </w:t>
            </w:r>
          </w:p>
        </w:tc>
        <w:tc>
          <w:tcPr>
            <w:tcW w:w="1517" w:type="dxa"/>
            <w:shd w:val="thinDiagStripe" w:color="auto" w:fill="auto"/>
            <w:vAlign w:val="center"/>
          </w:tcPr>
          <w:p>
            <w:pPr>
              <w:jc w:val="center"/>
              <w:rPr>
                <w:sz w:val="20"/>
              </w:rPr>
            </w:pPr>
          </w:p>
        </w:tc>
      </w:tr>
      <w:tr>
        <w:trPr>
          <w:trHeight w:hRule="exact" w:val="821"/>
          <w:jc w:val="center"/>
        </w:trPr>
        <w:tc>
          <w:tcPr>
            <w:tcW w:w="3408" w:type="dxa"/>
            <w:vAlign w:val="center"/>
          </w:tcPr>
          <w:p>
            <w:pPr>
              <w:jc w:val="center"/>
              <w:rPr>
                <w:sz w:val="20"/>
              </w:rPr>
            </w:pPr>
            <w:r>
              <w:rPr>
                <w:sz w:val="20"/>
              </w:rPr>
              <w:t>Entre le 1/10/2017 et le 30/09/2018</w:t>
            </w:r>
          </w:p>
        </w:tc>
        <w:tc>
          <w:tcPr>
            <w:tcW w:w="1559" w:type="dxa"/>
            <w:shd w:val="thinDiagStripe" w:color="auto" w:fill="auto"/>
            <w:vAlign w:val="center"/>
          </w:tcPr>
          <w:p>
            <w:pPr>
              <w:jc w:val="center"/>
              <w:rPr>
                <w:sz w:val="20"/>
              </w:rPr>
            </w:pPr>
          </w:p>
        </w:tc>
        <w:tc>
          <w:tcPr>
            <w:tcW w:w="1863" w:type="dxa"/>
            <w:vAlign w:val="center"/>
          </w:tcPr>
          <w:p>
            <w:pPr>
              <w:ind w:right="-133"/>
              <w:rPr>
                <w:b/>
                <w:sz w:val="18"/>
                <w:szCs w:val="18"/>
              </w:rPr>
            </w:pPr>
            <w:r>
              <w:rPr>
                <w:b/>
                <w:sz w:val="20"/>
              </w:rPr>
              <w:t>3</w:t>
            </w:r>
            <w:r>
              <w:rPr>
                <w:sz w:val="20"/>
              </w:rPr>
              <w:t>(</w:t>
            </w:r>
            <w:r>
              <w:rPr>
                <w:sz w:val="18"/>
                <w:szCs w:val="18"/>
              </w:rPr>
              <w:t>coef préf. PA</w:t>
            </w:r>
            <w:r>
              <w:rPr>
                <w:b/>
                <w:sz w:val="18"/>
                <w:szCs w:val="18"/>
              </w:rPr>
              <w:t>)</w:t>
            </w:r>
          </w:p>
          <w:p>
            <w:pPr>
              <w:ind w:right="-133"/>
              <w:rPr>
                <w:b/>
                <w:sz w:val="16"/>
              </w:rPr>
            </w:pPr>
            <w:r>
              <w:rPr>
                <w:b/>
                <w:sz w:val="20"/>
              </w:rPr>
              <w:t>1</w:t>
            </w:r>
            <w:r>
              <w:rPr>
                <w:sz w:val="18"/>
                <w:szCs w:val="18"/>
              </w:rPr>
              <w:t>(Primo-A en Daspa</w:t>
            </w:r>
            <w:r>
              <w:rPr>
                <w:b/>
                <w:sz w:val="16"/>
              </w:rPr>
              <w:t>)</w:t>
            </w:r>
            <w:r>
              <w:rPr>
                <w:rStyle w:val="Appelnotedebasdep"/>
                <w:b/>
                <w:sz w:val="16"/>
              </w:rPr>
              <w:footnoteReference w:id="52"/>
            </w:r>
          </w:p>
          <w:p>
            <w:pPr>
              <w:ind w:right="-70"/>
              <w:rPr>
                <w:b/>
                <w:sz w:val="20"/>
              </w:rPr>
            </w:pPr>
            <w:r>
              <w:rPr>
                <w:b/>
                <w:sz w:val="20"/>
              </w:rPr>
              <w:t>1</w:t>
            </w:r>
          </w:p>
        </w:tc>
        <w:tc>
          <w:tcPr>
            <w:tcW w:w="1585" w:type="dxa"/>
            <w:vAlign w:val="center"/>
          </w:tcPr>
          <w:p>
            <w:pPr>
              <w:rPr>
                <w:b/>
                <w:sz w:val="20"/>
              </w:rPr>
            </w:pPr>
            <w:r>
              <w:rPr>
                <w:b/>
                <w:sz w:val="20"/>
              </w:rPr>
              <w:t xml:space="preserve">3 </w:t>
            </w:r>
            <w:r>
              <w:rPr>
                <w:sz w:val="20"/>
              </w:rPr>
              <w:t>(</w:t>
            </w:r>
            <w:r>
              <w:rPr>
                <w:sz w:val="18"/>
                <w:szCs w:val="18"/>
              </w:rPr>
              <w:t>coef préf. PA</w:t>
            </w:r>
            <w:r>
              <w:rPr>
                <w:sz w:val="20"/>
              </w:rPr>
              <w:t>)</w:t>
            </w:r>
          </w:p>
          <w:p>
            <w:pPr>
              <w:rPr>
                <w:b/>
                <w:sz w:val="20"/>
              </w:rPr>
            </w:pPr>
            <w:r>
              <w:rPr>
                <w:b/>
                <w:sz w:val="20"/>
              </w:rPr>
              <w:t xml:space="preserve">1 </w:t>
            </w:r>
          </w:p>
        </w:tc>
        <w:tc>
          <w:tcPr>
            <w:tcW w:w="1517" w:type="dxa"/>
            <w:vAlign w:val="center"/>
          </w:tcPr>
          <w:p>
            <w:pPr>
              <w:rPr>
                <w:b/>
                <w:sz w:val="20"/>
              </w:rPr>
            </w:pPr>
            <w:r>
              <w:rPr>
                <w:b/>
                <w:sz w:val="20"/>
              </w:rPr>
              <w:t xml:space="preserve">2 </w:t>
            </w:r>
            <w:r>
              <w:rPr>
                <w:sz w:val="20"/>
              </w:rPr>
              <w:t>(</w:t>
            </w:r>
            <w:r>
              <w:rPr>
                <w:sz w:val="18"/>
                <w:szCs w:val="18"/>
              </w:rPr>
              <w:t>coef préf. PA</w:t>
            </w:r>
            <w:r>
              <w:rPr>
                <w:sz w:val="20"/>
              </w:rPr>
              <w:t>)</w:t>
            </w:r>
          </w:p>
          <w:p>
            <w:pPr>
              <w:rPr>
                <w:b/>
                <w:sz w:val="20"/>
              </w:rPr>
            </w:pPr>
            <w:r>
              <w:rPr>
                <w:b/>
                <w:sz w:val="20"/>
              </w:rPr>
              <w:t xml:space="preserve">1 </w:t>
            </w:r>
          </w:p>
        </w:tc>
      </w:tr>
    </w:tbl>
    <w:p>
      <w:pPr>
        <w:pStyle w:val="Corpsdetexte2"/>
        <w:ind w:left="708"/>
        <w:rPr>
          <w:b/>
          <w:sz w:val="20"/>
          <w:szCs w:val="20"/>
        </w:rPr>
      </w:pPr>
      <w:r>
        <w:rPr>
          <w:b/>
          <w:sz w:val="20"/>
          <w:szCs w:val="20"/>
        </w:rPr>
        <w:t>* coefficient préférentiel lié à la qualité (</w:t>
      </w:r>
      <w:r>
        <w:rPr>
          <w:b/>
          <w:sz w:val="20"/>
          <w:szCs w:val="20"/>
          <w:u w:val="single"/>
        </w:rPr>
        <w:t>ou l’ancienne qualité</w:t>
      </w:r>
      <w:r>
        <w:rPr>
          <w:b/>
          <w:sz w:val="20"/>
          <w:szCs w:val="20"/>
        </w:rPr>
        <w:t xml:space="preserve">) de Primo-Arrivant d’un élève lors de sa première inscription dans une école de </w:t>
      </w:r>
      <w:smartTag w:uri="urn:schemas-microsoft-com:office:smarttags" w:element="PersonName">
        <w:smartTagPr>
          <w:attr w:name="ProductID" w:val="la FWB."/>
        </w:smartTagPr>
        <w:r>
          <w:rPr>
            <w:b/>
            <w:sz w:val="20"/>
            <w:szCs w:val="20"/>
          </w:rPr>
          <w:t>la FWB.</w:t>
        </w:r>
      </w:smartTag>
    </w:p>
    <w:p>
      <w:pPr>
        <w:pStyle w:val="Corpsdetexte2"/>
        <w:ind w:left="708"/>
        <w:rPr>
          <w:sz w:val="20"/>
          <w:szCs w:val="20"/>
        </w:rPr>
      </w:pPr>
    </w:p>
    <w:p>
      <w:pPr>
        <w:pStyle w:val="Titre4"/>
      </w:pPr>
      <w:bookmarkStart w:id="1027" w:name="_Toc423420057"/>
      <w:bookmarkStart w:id="1028" w:name="_Toc450645264"/>
      <w:bookmarkStart w:id="1029" w:name="_Toc453942500"/>
      <w:bookmarkStart w:id="1030" w:name="_Toc454888117"/>
      <w:bookmarkStart w:id="1031" w:name="_Toc486241779"/>
      <w:r>
        <w:t>3.2.5.6. Exemples</w:t>
      </w:r>
      <w:bookmarkEnd w:id="1027"/>
      <w:bookmarkEnd w:id="1028"/>
      <w:bookmarkEnd w:id="1029"/>
      <w:bookmarkEnd w:id="1030"/>
      <w:bookmarkEnd w:id="1031"/>
    </w:p>
    <w:p>
      <w:pPr>
        <w:pStyle w:val="Corpsdetexte2"/>
      </w:pPr>
    </w:p>
    <w:p>
      <w:pPr>
        <w:pStyle w:val="Corpsdetexte2"/>
      </w:pPr>
      <w:r>
        <w:t>1/ Un enfant brésilien, né le 06/06/2011 à Brasilia, arrive en Belgique le 31/05/2017 et ne parle pas suffisamment le français pour s’adapter aux activités de la classe. .</w:t>
      </w:r>
    </w:p>
    <w:p>
      <w:pPr>
        <w:pStyle w:val="Corpsdetexte2"/>
      </w:pPr>
      <w:r>
        <w:t>Il est inscrit en 1</w:t>
      </w:r>
      <w:r>
        <w:rPr>
          <w:vertAlign w:val="superscript"/>
        </w:rPr>
        <w:t>ère</w:t>
      </w:r>
      <w:r>
        <w:t xml:space="preserve"> primaire dans une école de la FWB le 01/09/2017. Cette école organise un DASPA et cet élève primo-arrivant, intègre le DASPA.</w:t>
      </w:r>
    </w:p>
    <w:p>
      <w:pPr>
        <w:pStyle w:val="Corpsdetexte2"/>
        <w:numPr>
          <w:ilvl w:val="0"/>
          <w:numId w:val="135"/>
        </w:numPr>
        <w:ind w:left="719"/>
      </w:pPr>
      <w:r>
        <w:t>Le 30/09/2017, il comptera pour 1 en ALE</w:t>
      </w:r>
    </w:p>
    <w:p>
      <w:pPr>
        <w:pStyle w:val="Corpsdetexte2"/>
        <w:numPr>
          <w:ilvl w:val="0"/>
          <w:numId w:val="135"/>
        </w:numPr>
        <w:ind w:left="719"/>
      </w:pPr>
      <w:r>
        <w:t>Le 30/09/2018, il comptera pour 3 en ALE</w:t>
      </w:r>
    </w:p>
    <w:p>
      <w:pPr>
        <w:pStyle w:val="Corpsdetexte2"/>
        <w:numPr>
          <w:ilvl w:val="0"/>
          <w:numId w:val="135"/>
        </w:numPr>
        <w:ind w:left="719"/>
      </w:pPr>
      <w:r>
        <w:t>Le 30/09/2019, il comptera pour 2 en ALE</w:t>
      </w:r>
    </w:p>
    <w:p>
      <w:pPr>
        <w:pStyle w:val="Corpsdetexte2"/>
        <w:rPr>
          <w:szCs w:val="22"/>
        </w:rPr>
      </w:pPr>
    </w:p>
    <w:p>
      <w:pPr>
        <w:pStyle w:val="Corpsdetexte2"/>
        <w:rPr>
          <w:szCs w:val="22"/>
        </w:rPr>
      </w:pPr>
      <w:r>
        <w:rPr>
          <w:szCs w:val="22"/>
        </w:rPr>
        <w:t>2/ Un enfant Ukrainien, né le 01/08/2008 à Kiev, arrive en Belgique le 01/10/2017 et ne parle pas suffisamment le français pour s’adapter aux activités de la classe. Il est inscrit en 4</w:t>
      </w:r>
      <w:r>
        <w:rPr>
          <w:szCs w:val="22"/>
          <w:vertAlign w:val="superscript"/>
        </w:rPr>
        <w:t>ème</w:t>
      </w:r>
      <w:r>
        <w:rPr>
          <w:szCs w:val="22"/>
        </w:rPr>
        <w:t xml:space="preserve"> primaire dans une école de la FWB le 15/10/2017. Cet élève est donc primo-arrivant.</w:t>
      </w:r>
    </w:p>
    <w:p>
      <w:pPr>
        <w:pStyle w:val="Corpsdetexte2"/>
        <w:numPr>
          <w:ilvl w:val="0"/>
          <w:numId w:val="136"/>
        </w:numPr>
        <w:ind w:left="719"/>
        <w:rPr>
          <w:szCs w:val="22"/>
        </w:rPr>
      </w:pPr>
      <w:r>
        <w:rPr>
          <w:szCs w:val="22"/>
        </w:rPr>
        <w:t>Le 30/09/2017, il ne peut pas compter puisqu’il n’est pas encore inscrit à cette date. Il peut intégrer le dispositif pédagogique des cours ALE dès le 15/10/2017 mais ne participera au mécanisme de calcul des périodes qu’à partir du 30/09/2018.</w:t>
      </w:r>
    </w:p>
    <w:p>
      <w:pPr>
        <w:pStyle w:val="Corpsdetexte2"/>
        <w:numPr>
          <w:ilvl w:val="0"/>
          <w:numId w:val="136"/>
        </w:numPr>
        <w:ind w:left="719"/>
        <w:rPr>
          <w:szCs w:val="22"/>
        </w:rPr>
      </w:pPr>
      <w:r>
        <w:rPr>
          <w:szCs w:val="22"/>
        </w:rPr>
        <w:t>Le 30/09/2018, il comptera pour 3 en ALE</w:t>
      </w:r>
    </w:p>
    <w:p>
      <w:pPr>
        <w:pStyle w:val="Corpsdetexte2"/>
        <w:numPr>
          <w:ilvl w:val="0"/>
          <w:numId w:val="136"/>
        </w:numPr>
        <w:ind w:left="719"/>
        <w:rPr>
          <w:szCs w:val="22"/>
        </w:rPr>
      </w:pPr>
      <w:r>
        <w:rPr>
          <w:szCs w:val="22"/>
        </w:rPr>
        <w:t>Le 30/09/2019, il comptera pour 3 en ALE</w:t>
      </w:r>
    </w:p>
    <w:p>
      <w:pPr>
        <w:pStyle w:val="Corpsdetexte2"/>
        <w:numPr>
          <w:ilvl w:val="0"/>
          <w:numId w:val="136"/>
        </w:numPr>
        <w:ind w:left="719"/>
        <w:rPr>
          <w:szCs w:val="22"/>
        </w:rPr>
      </w:pPr>
      <w:r>
        <w:rPr>
          <w:szCs w:val="22"/>
        </w:rPr>
        <w:t>Le 30/09/2020, il comptera pour 2 en ALE</w:t>
      </w:r>
    </w:p>
    <w:p>
      <w:pPr>
        <w:pStyle w:val="Corpsdetexte2"/>
        <w:rPr>
          <w:szCs w:val="22"/>
        </w:rPr>
      </w:pPr>
    </w:p>
    <w:p>
      <w:pPr>
        <w:pStyle w:val="Corpsdetexte2"/>
        <w:rPr>
          <w:szCs w:val="22"/>
        </w:rPr>
      </w:pPr>
      <w:r>
        <w:rPr>
          <w:szCs w:val="22"/>
        </w:rPr>
        <w:t>3/ Un enfant équatorien, né le 5/11/2011 à Quito, arrive en Belgique le 01/01/2016 et ne parle pas suffisamment le français pour s’adapter aux activités de la classe. Il fréquente une école de la Communauté flamande du 01/02/2016 au 30/06/2017. Le 01/09/2017, il est inscrit en 1</w:t>
      </w:r>
      <w:r>
        <w:rPr>
          <w:szCs w:val="22"/>
          <w:vertAlign w:val="superscript"/>
        </w:rPr>
        <w:t>ère</w:t>
      </w:r>
      <w:r>
        <w:rPr>
          <w:szCs w:val="22"/>
        </w:rPr>
        <w:t xml:space="preserve"> primaire dans une école de la FWB. A cette date, cet élève n’est plus primo-arrivant puisqu’il y a plus d’un an qu’il est sur le territoire belge. Cet élève ne bénéficiera donc pas de coefficient préférentiel pour l’ALE:</w:t>
      </w:r>
    </w:p>
    <w:p>
      <w:pPr>
        <w:pStyle w:val="Corpsdetexte2"/>
        <w:numPr>
          <w:ilvl w:val="0"/>
          <w:numId w:val="137"/>
        </w:numPr>
        <w:ind w:left="719"/>
        <w:rPr>
          <w:szCs w:val="22"/>
        </w:rPr>
      </w:pPr>
      <w:r>
        <w:rPr>
          <w:szCs w:val="22"/>
        </w:rPr>
        <w:t>Le 30/09/2017, il comptera pour 1 en ALE</w:t>
      </w:r>
    </w:p>
    <w:p>
      <w:pPr>
        <w:pStyle w:val="Corpsdetexte2"/>
        <w:numPr>
          <w:ilvl w:val="0"/>
          <w:numId w:val="137"/>
        </w:numPr>
        <w:ind w:left="719"/>
        <w:rPr>
          <w:szCs w:val="22"/>
        </w:rPr>
      </w:pPr>
      <w:r>
        <w:rPr>
          <w:szCs w:val="22"/>
        </w:rPr>
        <w:t>Le 30/09/2018, il comptera pour 1 en ALE</w:t>
      </w:r>
    </w:p>
    <w:p>
      <w:pPr>
        <w:pStyle w:val="Corpsdetexte2"/>
        <w:numPr>
          <w:ilvl w:val="0"/>
          <w:numId w:val="137"/>
        </w:numPr>
        <w:ind w:left="719"/>
        <w:rPr>
          <w:szCs w:val="22"/>
        </w:rPr>
      </w:pPr>
      <w:r>
        <w:rPr>
          <w:szCs w:val="22"/>
        </w:rPr>
        <w:t>Le 30/09/2019, il comptera pour 1 en ALE</w:t>
      </w:r>
    </w:p>
    <w:p>
      <w:pPr>
        <w:pStyle w:val="Corpsdetexte2"/>
        <w:rPr>
          <w:szCs w:val="22"/>
        </w:rPr>
      </w:pPr>
    </w:p>
    <w:p>
      <w:pPr>
        <w:pStyle w:val="Corpsdetexte2"/>
        <w:rPr>
          <w:szCs w:val="22"/>
        </w:rPr>
      </w:pPr>
    </w:p>
    <w:p>
      <w:pPr>
        <w:pStyle w:val="Corpsdetexte2"/>
        <w:rPr>
          <w:szCs w:val="22"/>
        </w:rPr>
      </w:pPr>
    </w:p>
    <w:p>
      <w:pPr>
        <w:pStyle w:val="Corpsdetexte2"/>
      </w:pPr>
      <w:r>
        <w:rPr>
          <w:szCs w:val="22"/>
        </w:rPr>
        <w:t>4/ Un enfant marocain, né le 24/2/2010 à Casablanca, arrive en Belgique le 04/01/2017 et ne parle pas suffisamment le français pour s’adapter aux activités de la classe. Il est inscrit en 1</w:t>
      </w:r>
      <w:r>
        <w:rPr>
          <w:szCs w:val="22"/>
          <w:vertAlign w:val="superscript"/>
        </w:rPr>
        <w:t>ère</w:t>
      </w:r>
      <w:r>
        <w:rPr>
          <w:szCs w:val="22"/>
        </w:rPr>
        <w:t xml:space="preserve"> primaire dans une école de la FWB le 09/01/2017. Il est donc primo-arrivant au moment de son inscription. Le 30/05/2017, cet enfant acquiert</w:t>
      </w:r>
      <w:r>
        <w:t xml:space="preserve"> la nationalité belge.</w:t>
      </w:r>
    </w:p>
    <w:p>
      <w:pPr>
        <w:pStyle w:val="Corpsdetexte2"/>
        <w:numPr>
          <w:ilvl w:val="0"/>
          <w:numId w:val="138"/>
        </w:numPr>
        <w:ind w:left="719"/>
        <w:rPr>
          <w:szCs w:val="22"/>
        </w:rPr>
      </w:pPr>
      <w:r>
        <w:t xml:space="preserve">Le 30/09/2017, il comptera pour 3 en </w:t>
      </w:r>
      <w:r>
        <w:rPr>
          <w:szCs w:val="22"/>
        </w:rPr>
        <w:t>ALE (bien qu’il soit devenu belge depuis son inscription, il conserve le bénéfice de coefficient préférentiel en ALE)</w:t>
      </w:r>
    </w:p>
    <w:p>
      <w:pPr>
        <w:pStyle w:val="Corpsdetexte2"/>
        <w:numPr>
          <w:ilvl w:val="0"/>
          <w:numId w:val="138"/>
        </w:numPr>
        <w:ind w:left="719"/>
      </w:pPr>
      <w:r>
        <w:t>Le 30/09/2018, il comptera pour 3 en ALE.</w:t>
      </w:r>
    </w:p>
    <w:p>
      <w:pPr>
        <w:pStyle w:val="Corpsdetexte2"/>
        <w:numPr>
          <w:ilvl w:val="0"/>
          <w:numId w:val="138"/>
        </w:numPr>
        <w:ind w:left="719"/>
      </w:pPr>
      <w:r>
        <w:t>Le 30/09/2019, il comptera pour 2 en ALE</w:t>
      </w:r>
    </w:p>
    <w:p>
      <w:pPr>
        <w:pStyle w:val="Corpsdetexte2"/>
        <w:rPr>
          <w:szCs w:val="22"/>
        </w:rPr>
      </w:pPr>
    </w:p>
    <w:p>
      <w:pPr>
        <w:tabs>
          <w:tab w:val="left" w:pos="1260"/>
          <w:tab w:val="left" w:pos="3600"/>
          <w:tab w:val="left" w:pos="5940"/>
        </w:tabs>
        <w:jc w:val="both"/>
        <w:rPr>
          <w:rFonts w:cs="Arial"/>
          <w:szCs w:val="22"/>
        </w:rPr>
      </w:pPr>
      <w:r>
        <w:rPr>
          <w:rFonts w:cs="Arial"/>
          <w:szCs w:val="22"/>
        </w:rPr>
        <w:t>5/ Un enfant, réfugié de nationalité russe est né le 31-03-2009. Il est arrivé en Belgique le 15-09-2016. Il est inscrit dans une école primaire de Gand dès le 01-10-2016. Suite à un déménagement de la famille en Région wallonne durant l’été 2017, il est inscrit le 01-09-2017 dans une école primaire de la FWB et ne parle pas suffisamment le français pour s’adapter aux activités de la classe.</w:t>
      </w:r>
    </w:p>
    <w:p>
      <w:pPr>
        <w:pStyle w:val="Corpsdetexte2"/>
        <w:numPr>
          <w:ilvl w:val="0"/>
          <w:numId w:val="138"/>
        </w:numPr>
        <w:ind w:left="719"/>
        <w:rPr>
          <w:szCs w:val="22"/>
        </w:rPr>
      </w:pPr>
      <w:r>
        <w:rPr>
          <w:szCs w:val="22"/>
        </w:rPr>
        <w:t>Le 30/09/2017, il comptera pour 3 en ALE (bien qu’il ait été scolarisé en Flandres en 2016-2017, il y a moins d’un an le 01/09/2017, lors de son inscription en FWB que cet élève est en Belgique. Bien qu’il soit russe, il a par ailleurs bien le statut de réfugié et peut donc être considéré comme primo)</w:t>
      </w:r>
    </w:p>
    <w:p>
      <w:pPr>
        <w:pStyle w:val="Corpsdetexte2"/>
        <w:numPr>
          <w:ilvl w:val="0"/>
          <w:numId w:val="138"/>
        </w:numPr>
        <w:ind w:left="719"/>
        <w:rPr>
          <w:szCs w:val="22"/>
        </w:rPr>
      </w:pPr>
      <w:r>
        <w:rPr>
          <w:szCs w:val="22"/>
        </w:rPr>
        <w:t>Le 30/09/2018, il comptera pour 3 en ALE.</w:t>
      </w:r>
    </w:p>
    <w:p>
      <w:pPr>
        <w:pStyle w:val="Corpsdetexte2"/>
        <w:numPr>
          <w:ilvl w:val="0"/>
          <w:numId w:val="138"/>
        </w:numPr>
        <w:ind w:left="719"/>
        <w:rPr>
          <w:szCs w:val="22"/>
        </w:rPr>
      </w:pPr>
      <w:r>
        <w:rPr>
          <w:szCs w:val="22"/>
        </w:rPr>
        <w:t>Le 30/09/2019, il comptera pour 2 en ALE</w:t>
      </w:r>
    </w:p>
    <w:p>
      <w:pPr>
        <w:tabs>
          <w:tab w:val="left" w:pos="1260"/>
          <w:tab w:val="left" w:pos="3600"/>
          <w:tab w:val="left" w:pos="5940"/>
        </w:tabs>
        <w:jc w:val="both"/>
        <w:rPr>
          <w:rFonts w:cs="Arial"/>
          <w:szCs w:val="22"/>
        </w:rPr>
      </w:pPr>
    </w:p>
    <w:p>
      <w:pPr>
        <w:tabs>
          <w:tab w:val="left" w:pos="1260"/>
          <w:tab w:val="left" w:pos="3600"/>
          <w:tab w:val="left" w:pos="5940"/>
        </w:tabs>
        <w:jc w:val="both"/>
        <w:rPr>
          <w:rFonts w:cs="Arial"/>
          <w:szCs w:val="22"/>
        </w:rPr>
      </w:pPr>
      <w:r>
        <w:rPr>
          <w:rFonts w:cs="Arial"/>
          <w:szCs w:val="22"/>
        </w:rPr>
        <w:t>6/ Un enfant philippin, né le 03-02-2012 à Manille est arrivé en Belgique le 18-03-2017. Il est inscrit dans une école maternelle de la FWB le 01-04-2017 et ne parle pas suffisamment le français pour s’adapter aux activités de la classe.</w:t>
      </w:r>
    </w:p>
    <w:p>
      <w:pPr>
        <w:pStyle w:val="Corpsdetexte2"/>
        <w:numPr>
          <w:ilvl w:val="0"/>
          <w:numId w:val="138"/>
        </w:numPr>
        <w:ind w:left="719"/>
        <w:rPr>
          <w:szCs w:val="22"/>
        </w:rPr>
      </w:pPr>
      <w:r>
        <w:rPr>
          <w:szCs w:val="22"/>
        </w:rPr>
        <w:t>Le 02/05/2017, il a compté à 1,5 pour l’augmentation de cadre maternel du 03/05/2017.</w:t>
      </w:r>
    </w:p>
    <w:p>
      <w:pPr>
        <w:pStyle w:val="Corpsdetexte2"/>
        <w:numPr>
          <w:ilvl w:val="0"/>
          <w:numId w:val="138"/>
        </w:numPr>
        <w:ind w:left="719"/>
        <w:rPr>
          <w:szCs w:val="22"/>
        </w:rPr>
      </w:pPr>
      <w:r>
        <w:rPr>
          <w:szCs w:val="22"/>
        </w:rPr>
        <w:t>Le 30/09/2017 et à toutes les dates d’augmentation de cadre maternel de 2017-2018, il compte pour 1,5 (bénéfice 1ière année scolaire lié à la qualité de primo-arrivant)</w:t>
      </w:r>
    </w:p>
    <w:p>
      <w:pPr>
        <w:pStyle w:val="Corpsdetexte2"/>
        <w:numPr>
          <w:ilvl w:val="0"/>
          <w:numId w:val="138"/>
        </w:numPr>
        <w:ind w:left="719"/>
        <w:rPr>
          <w:szCs w:val="22"/>
        </w:rPr>
      </w:pPr>
      <w:r>
        <w:rPr>
          <w:szCs w:val="22"/>
        </w:rPr>
        <w:t>Le 30/09/2018, il comptera pour 3 en ALE (L’élève conserve le bénéfice d’un comptage préférentiel du fait qu’il a été inscrit en maternel comme élève primo-arrivant. Il bénéficie donc du coefficient ALE d’une 2ième année scolaire lié à la qualité de primo-arrivant)</w:t>
      </w:r>
    </w:p>
    <w:p>
      <w:pPr>
        <w:pStyle w:val="Corpsdetexte2"/>
        <w:numPr>
          <w:ilvl w:val="0"/>
          <w:numId w:val="138"/>
        </w:numPr>
        <w:ind w:left="719"/>
        <w:rPr>
          <w:szCs w:val="22"/>
        </w:rPr>
      </w:pPr>
      <w:r>
        <w:rPr>
          <w:szCs w:val="22"/>
        </w:rPr>
        <w:t>Le 30/09/2019, il comptera pour 2 en ALE (bénéfice 3ième année scolaire lié à la qualité de primo-arrivant)</w:t>
      </w:r>
    </w:p>
    <w:p>
      <w:pPr>
        <w:pStyle w:val="Corpsdetexte2"/>
        <w:numPr>
          <w:ilvl w:val="0"/>
          <w:numId w:val="138"/>
        </w:numPr>
        <w:ind w:left="719"/>
        <w:rPr>
          <w:szCs w:val="22"/>
        </w:rPr>
      </w:pPr>
      <w:r>
        <w:rPr>
          <w:szCs w:val="22"/>
        </w:rPr>
        <w:t>Le 30/09/2020, il comptera pour 1 en ALE (3ième comptage ALE mais plus de coefficient préférentiel)</w:t>
      </w:r>
      <w:bookmarkStart w:id="1032" w:name="_Toc295932036"/>
      <w:bookmarkStart w:id="1033" w:name="_Toc295913766"/>
    </w:p>
    <w:p>
      <w:pPr>
        <w:pStyle w:val="Corpsdetexte2"/>
        <w:rPr>
          <w:szCs w:val="22"/>
        </w:rPr>
      </w:pPr>
    </w:p>
    <w:p>
      <w:pPr>
        <w:pStyle w:val="Corpsdetexte2"/>
        <w:rPr>
          <w:szCs w:val="22"/>
        </w:rPr>
      </w:pPr>
      <w:r>
        <w:rPr>
          <w:szCs w:val="22"/>
        </w:rPr>
        <w:t xml:space="preserve">7/ Un enfant belge, né le 01/03/2011 à Bruxelles, vit avec sa maman qui est belge et avec son père qui est de nationalité turque. L’enfant ne parle pas suffisamment le français pour s’adapter à la langue de notre enseignement car la langue parlée à la maison est le turc. </w:t>
      </w:r>
    </w:p>
    <w:p>
      <w:pPr>
        <w:pStyle w:val="Corpsdetexte2"/>
        <w:numPr>
          <w:ilvl w:val="0"/>
          <w:numId w:val="172"/>
        </w:numPr>
        <w:rPr>
          <w:szCs w:val="22"/>
        </w:rPr>
      </w:pPr>
      <w:r>
        <w:rPr>
          <w:szCs w:val="22"/>
        </w:rPr>
        <w:t>Le 30/09/2017, il comptera pour 1 en ALE.</w:t>
      </w:r>
    </w:p>
    <w:p>
      <w:pPr>
        <w:pStyle w:val="Corpsdetexte2"/>
        <w:numPr>
          <w:ilvl w:val="0"/>
          <w:numId w:val="172"/>
        </w:numPr>
        <w:rPr>
          <w:szCs w:val="22"/>
        </w:rPr>
      </w:pPr>
      <w:r>
        <w:rPr>
          <w:szCs w:val="22"/>
        </w:rPr>
        <w:t>Le 30/09/2018, il comptera pour 1 en ALE.</w:t>
      </w:r>
    </w:p>
    <w:p>
      <w:pPr>
        <w:pStyle w:val="Corpsdetexte2"/>
        <w:numPr>
          <w:ilvl w:val="0"/>
          <w:numId w:val="172"/>
        </w:numPr>
        <w:rPr>
          <w:szCs w:val="22"/>
        </w:rPr>
      </w:pPr>
      <w:r>
        <w:rPr>
          <w:szCs w:val="22"/>
        </w:rPr>
        <w:t>Le 30/09/2019, il comptera pour 1 en ALE.</w:t>
      </w:r>
    </w:p>
    <w:p>
      <w:pPr>
        <w:pStyle w:val="Corpsdetexte2"/>
        <w:rPr>
          <w:szCs w:val="22"/>
        </w:rPr>
      </w:pPr>
      <w:r>
        <w:rPr>
          <w:szCs w:val="22"/>
        </w:rPr>
        <w:t xml:space="preserve">La direction d’école devra néanmoins démontrer que le papa est de nationalité turque en présentant un document probant datant de moins de 3 ans (par exemple une composition de ménage). </w:t>
      </w:r>
    </w:p>
    <w:p>
      <w:pPr>
        <w:pStyle w:val="Corpsdetexte2"/>
        <w:ind w:left="359"/>
        <w:rPr>
          <w:szCs w:val="22"/>
        </w:rPr>
      </w:pPr>
    </w:p>
    <w:p>
      <w:pPr>
        <w:pStyle w:val="Corpsdetexte2"/>
        <w:ind w:left="359"/>
        <w:rPr>
          <w:szCs w:val="22"/>
        </w:rPr>
      </w:pPr>
    </w:p>
    <w:p>
      <w:pPr>
        <w:pStyle w:val="Titre3"/>
      </w:pPr>
      <w:bookmarkStart w:id="1034" w:name="_3.2.6._Direction_d'école_"/>
      <w:bookmarkStart w:id="1035" w:name="_Toc423420058"/>
      <w:bookmarkStart w:id="1036" w:name="_Toc450645265"/>
      <w:bookmarkStart w:id="1037" w:name="_Toc453942501"/>
      <w:bookmarkStart w:id="1038" w:name="_Toc454888118"/>
      <w:bookmarkStart w:id="1039" w:name="_Toc486241780"/>
      <w:bookmarkEnd w:id="1034"/>
      <w:r>
        <w:t>3.2.6. Direction d'école dans les écoles primaires ou fondamentales</w:t>
      </w:r>
      <w:bookmarkEnd w:id="1032"/>
      <w:bookmarkEnd w:id="1033"/>
      <w:bookmarkEnd w:id="1035"/>
      <w:bookmarkEnd w:id="1036"/>
      <w:bookmarkEnd w:id="1037"/>
      <w:bookmarkEnd w:id="1038"/>
      <w:bookmarkEnd w:id="1039"/>
    </w:p>
    <w:p>
      <w:pPr>
        <w:jc w:val="both"/>
        <w:rPr>
          <w:szCs w:val="22"/>
        </w:rPr>
      </w:pPr>
    </w:p>
    <w:p>
      <w:pPr>
        <w:spacing w:after="40"/>
        <w:jc w:val="both"/>
      </w:pPr>
      <w:r>
        <w:rPr>
          <w:u w:val="single"/>
        </w:rPr>
        <w:t>Dans les écoles primaires</w:t>
      </w:r>
      <w:r>
        <w:t xml:space="preserve"> et </w:t>
      </w:r>
      <w:r>
        <w:rPr>
          <w:u w:val="single"/>
        </w:rPr>
        <w:t>dans les écoles fondamentales où la direction est attachée au niveau primaire</w:t>
      </w:r>
      <w:r>
        <w:t xml:space="preserve">, un </w:t>
      </w:r>
      <w:r>
        <w:rPr>
          <w:b/>
        </w:rPr>
        <w:t>complément de direction</w:t>
      </w:r>
      <w:r>
        <w:t xml:space="preserve"> est ajouté au </w:t>
      </w:r>
      <w:r>
        <w:rPr>
          <w:b/>
        </w:rPr>
        <w:t>niveau primaire</w:t>
      </w:r>
      <w:r>
        <w:t>, à raison de:</w:t>
      </w:r>
    </w:p>
    <w:p>
      <w:pPr>
        <w:numPr>
          <w:ilvl w:val="0"/>
          <w:numId w:val="29"/>
        </w:numPr>
        <w:tabs>
          <w:tab w:val="clear" w:pos="1440"/>
          <w:tab w:val="num" w:pos="1080"/>
        </w:tabs>
        <w:ind w:left="1079"/>
        <w:jc w:val="both"/>
      </w:pPr>
      <w:r>
        <w:t>6 périodes si l’école compte moins de 51 élèves;</w:t>
      </w:r>
    </w:p>
    <w:p>
      <w:pPr>
        <w:numPr>
          <w:ilvl w:val="0"/>
          <w:numId w:val="29"/>
        </w:numPr>
        <w:tabs>
          <w:tab w:val="clear" w:pos="1440"/>
          <w:tab w:val="num" w:pos="1080"/>
        </w:tabs>
        <w:ind w:left="1079"/>
        <w:jc w:val="both"/>
      </w:pPr>
      <w:r>
        <w:t>12 périodes si l’école compte de 51 à 129 élèves;</w:t>
      </w:r>
    </w:p>
    <w:p>
      <w:pPr>
        <w:numPr>
          <w:ilvl w:val="0"/>
          <w:numId w:val="29"/>
        </w:numPr>
        <w:tabs>
          <w:tab w:val="clear" w:pos="1440"/>
          <w:tab w:val="num" w:pos="1080"/>
        </w:tabs>
        <w:ind w:left="1079"/>
        <w:jc w:val="both"/>
      </w:pPr>
      <w:r>
        <w:t>18 périodes si l’école compte de 130 à 179 élèves;</w:t>
      </w:r>
    </w:p>
    <w:p>
      <w:pPr>
        <w:numPr>
          <w:ilvl w:val="0"/>
          <w:numId w:val="29"/>
        </w:numPr>
        <w:tabs>
          <w:tab w:val="clear" w:pos="1440"/>
          <w:tab w:val="num" w:pos="1080"/>
        </w:tabs>
        <w:ind w:left="1079"/>
        <w:jc w:val="both"/>
      </w:pPr>
      <w:r>
        <w:t>24 périodes si l’école compte 180 élèves ou plus.</w:t>
      </w:r>
    </w:p>
    <w:p>
      <w:pPr>
        <w:jc w:val="both"/>
        <w:rPr>
          <w:sz w:val="16"/>
          <w:szCs w:val="16"/>
        </w:rPr>
      </w:pPr>
    </w:p>
    <w:p>
      <w:pPr>
        <w:jc w:val="both"/>
        <w:rPr>
          <w:sz w:val="16"/>
          <w:szCs w:val="16"/>
        </w:rPr>
      </w:pPr>
    </w:p>
    <w:p>
      <w:pPr>
        <w:spacing w:after="40"/>
        <w:jc w:val="both"/>
      </w:pPr>
      <w:r>
        <w:rPr>
          <w:u w:val="single"/>
        </w:rPr>
        <w:t>Dans les écoles fondamentales où la direction est attachée au niveau maternel</w:t>
      </w:r>
      <w:r>
        <w:t xml:space="preserve">, un </w:t>
      </w:r>
      <w:r>
        <w:rPr>
          <w:b/>
        </w:rPr>
        <w:t>complément de direction</w:t>
      </w:r>
      <w:r>
        <w:t xml:space="preserve"> est ajouté au niveau maternel (voir aussi </w:t>
      </w:r>
      <w:hyperlink w:anchor="_3.4.1._Nombre_d'emplois" w:history="1">
        <w:r>
          <w:rPr>
            <w:rStyle w:val="Lienhypertexte"/>
            <w:color w:val="auto"/>
          </w:rPr>
          <w:t>section 3.4.1.</w:t>
        </w:r>
      </w:hyperlink>
      <w:r>
        <w:t xml:space="preserve"> et </w:t>
      </w:r>
      <w:hyperlink w:anchor="_3.4.2._Direction_d'école" w:history="1">
        <w:r>
          <w:rPr>
            <w:rStyle w:val="Lienhypertexte"/>
            <w:color w:val="auto"/>
          </w:rPr>
          <w:t>section 3.4.2.</w:t>
        </w:r>
      </w:hyperlink>
      <w:r>
        <w:t>) , à raison de:</w:t>
      </w:r>
    </w:p>
    <w:p>
      <w:pPr>
        <w:numPr>
          <w:ilvl w:val="0"/>
          <w:numId w:val="30"/>
        </w:numPr>
        <w:tabs>
          <w:tab w:val="clear" w:pos="1440"/>
          <w:tab w:val="num" w:pos="1080"/>
        </w:tabs>
        <w:ind w:left="1079"/>
        <w:jc w:val="both"/>
      </w:pPr>
      <w:r>
        <w:t>un ¼ temps (7 périodes) si l’école compte moins de 51 élèves;</w:t>
      </w:r>
    </w:p>
    <w:p>
      <w:pPr>
        <w:numPr>
          <w:ilvl w:val="0"/>
          <w:numId w:val="30"/>
        </w:numPr>
        <w:tabs>
          <w:tab w:val="clear" w:pos="1440"/>
          <w:tab w:val="num" w:pos="1080"/>
        </w:tabs>
        <w:ind w:left="1079"/>
        <w:jc w:val="both"/>
      </w:pPr>
      <w:r>
        <w:t>un ½ temps (13 périodes) si l’école compte de 51 à 129 élèves;</w:t>
      </w:r>
    </w:p>
    <w:p>
      <w:pPr>
        <w:numPr>
          <w:ilvl w:val="0"/>
          <w:numId w:val="30"/>
        </w:numPr>
        <w:tabs>
          <w:tab w:val="clear" w:pos="1440"/>
          <w:tab w:val="num" w:pos="1080"/>
        </w:tabs>
        <w:ind w:left="1079"/>
        <w:jc w:val="both"/>
      </w:pPr>
      <w:r>
        <w:t>un ¾ temps (20 périodes) si l’école compte de 130 à 179 élèves;</w:t>
      </w:r>
    </w:p>
    <w:p>
      <w:pPr>
        <w:numPr>
          <w:ilvl w:val="0"/>
          <w:numId w:val="30"/>
        </w:numPr>
        <w:tabs>
          <w:tab w:val="clear" w:pos="1440"/>
          <w:tab w:val="num" w:pos="1080"/>
        </w:tabs>
        <w:ind w:left="1079"/>
        <w:jc w:val="both"/>
      </w:pPr>
      <w:r>
        <w:t>un temps plein (26 périodes) si l’école compte 180 élèves ou plus.</w:t>
      </w:r>
    </w:p>
    <w:p>
      <w:pPr>
        <w:jc w:val="both"/>
        <w:rPr>
          <w:bCs/>
          <w:iCs/>
          <w:spacing w:val="-4"/>
        </w:rPr>
      </w:pPr>
    </w:p>
    <w:p>
      <w:pPr>
        <w:jc w:val="both"/>
        <w:rPr>
          <w:bCs/>
          <w:iCs/>
        </w:rPr>
      </w:pPr>
      <w:r>
        <w:rPr>
          <w:bCs/>
          <w:iCs/>
          <w:spacing w:val="-4"/>
        </w:rPr>
        <w:t>Le complément de direction applicable du 1</w:t>
      </w:r>
      <w:r>
        <w:rPr>
          <w:bCs/>
          <w:iCs/>
          <w:spacing w:val="-4"/>
          <w:vertAlign w:val="superscript"/>
        </w:rPr>
        <w:t>er</w:t>
      </w:r>
      <w:r>
        <w:rPr>
          <w:bCs/>
          <w:iCs/>
          <w:spacing w:val="-4"/>
        </w:rPr>
        <w:t xml:space="preserve"> septembre au 31 août est calculé sur base du nombre d’élèves régulièrement inscrits </w:t>
      </w:r>
      <w:r>
        <w:rPr>
          <w:bCs/>
          <w:iCs/>
          <w:spacing w:val="-4"/>
          <w:u w:val="single"/>
        </w:rPr>
        <w:t>au 15 janvier précédent</w:t>
      </w:r>
      <w:r>
        <w:rPr>
          <w:bCs/>
          <w:iCs/>
          <w:spacing w:val="-4"/>
        </w:rPr>
        <w:t xml:space="preserve">, tant dans l’enseignement maternel que primaire. </w:t>
      </w:r>
      <w:r>
        <w:rPr>
          <w:bCs/>
          <w:iCs/>
        </w:rPr>
        <w:t>Les coefficients 1,5 sont d’application.</w:t>
      </w:r>
    </w:p>
    <w:p>
      <w:pPr>
        <w:jc w:val="both"/>
        <w:rPr>
          <w:b/>
          <w:bCs/>
          <w:i/>
          <w:iCs/>
          <w:sz w:val="8"/>
          <w:szCs w:val="8"/>
        </w:rPr>
      </w:pPr>
    </w:p>
    <w:p>
      <w:pPr>
        <w:jc w:val="both"/>
        <w:rPr>
          <w:bCs/>
          <w:i/>
          <w:iCs/>
        </w:rPr>
      </w:pPr>
      <w:r>
        <w:rPr>
          <w:bCs/>
          <w:i/>
          <w:iCs/>
        </w:rPr>
        <w:t xml:space="preserve">En cas de </w:t>
      </w:r>
      <w:r>
        <w:rPr>
          <w:bCs/>
          <w:i/>
          <w:iCs/>
          <w:u w:val="single"/>
        </w:rPr>
        <w:t>recomptage</w:t>
      </w:r>
      <w:r>
        <w:rPr>
          <w:bCs/>
          <w:i/>
          <w:iCs/>
        </w:rPr>
        <w:t xml:space="preserve"> où le capital-périodes primaire est calculé sur base de la population primaire au 30 septembre, le complément de direction applicable du 1</w:t>
      </w:r>
      <w:r>
        <w:rPr>
          <w:bCs/>
          <w:i/>
          <w:iCs/>
          <w:vertAlign w:val="superscript"/>
        </w:rPr>
        <w:t>er</w:t>
      </w:r>
      <w:r>
        <w:rPr>
          <w:bCs/>
          <w:i/>
          <w:iCs/>
        </w:rPr>
        <w:t xml:space="preserve"> octobre au 31 août est calculé sur base du nombre d’élèves du primaire régulièrement inscrits au 30 septembre, et du nombre d’élèves du maternel régulièrement inscrits au 15 janvier précédent.</w:t>
      </w:r>
    </w:p>
    <w:p>
      <w:pPr>
        <w:jc w:val="both"/>
        <w:rPr>
          <w:sz w:val="8"/>
          <w:szCs w:val="8"/>
        </w:rPr>
      </w:pPr>
    </w:p>
    <w:p>
      <w:pPr>
        <w:jc w:val="both"/>
      </w:pPr>
      <w:r>
        <w:t xml:space="preserve"> </w:t>
      </w:r>
    </w:p>
    <w:p>
      <w:pPr>
        <w:jc w:val="both"/>
      </w:pPr>
      <w:r>
        <w:rPr>
          <w:bCs/>
          <w:i/>
          <w:iCs/>
        </w:rPr>
        <w:t xml:space="preserve">En cas de </w:t>
      </w:r>
      <w:r>
        <w:rPr>
          <w:bCs/>
          <w:i/>
          <w:iCs/>
          <w:u w:val="single"/>
        </w:rPr>
        <w:t>programmation</w:t>
      </w:r>
      <w:r>
        <w:rPr>
          <w:bCs/>
          <w:i/>
          <w:iCs/>
        </w:rPr>
        <w:t>, le complément de direction applicable du 1</w:t>
      </w:r>
      <w:r>
        <w:rPr>
          <w:bCs/>
          <w:i/>
          <w:iCs/>
          <w:vertAlign w:val="superscript"/>
        </w:rPr>
        <w:t>er</w:t>
      </w:r>
      <w:r>
        <w:rPr>
          <w:bCs/>
          <w:i/>
          <w:iCs/>
        </w:rPr>
        <w:t xml:space="preserve"> septembre au 31 août suivant est calculé sur base du nombre d’élèves du primaire régulièrement inscrits au 30 septembre, et du nombre d'élèves du maternel régulièrement inscrits au 30 septembre.</w:t>
      </w:r>
    </w:p>
    <w:p>
      <w:pPr>
        <w:jc w:val="both"/>
      </w:pPr>
    </w:p>
    <w:p>
      <w:pPr>
        <w:jc w:val="both"/>
      </w:pPr>
      <w:r>
        <w:rPr>
          <w:u w:val="single"/>
        </w:rPr>
        <w:t xml:space="preserve">Restructurations </w:t>
      </w:r>
      <w:r>
        <w:t>: Suivant le cas de restructuration, l’administration notifiera à chaque école ou Pouvoir organisateur les populations scolaires à prendre en compte pour les calculs du complément de direction des écoles restructurées.</w:t>
      </w:r>
    </w:p>
    <w:p>
      <w:pPr>
        <w:jc w:val="both"/>
        <w:rPr>
          <w:sz w:val="8"/>
          <w:szCs w:val="8"/>
        </w:rPr>
      </w:pPr>
    </w:p>
    <w:p>
      <w:pPr>
        <w:pStyle w:val="Corpsdetexte"/>
        <w:rPr>
          <w:rFonts w:cs="Times New Roman"/>
          <w:spacing w:val="0"/>
        </w:rPr>
      </w:pPr>
      <w:r>
        <w:rPr>
          <w:rFonts w:cs="Times New Roman"/>
          <w:spacing w:val="0"/>
        </w:rPr>
        <w:t>En cas de fermeture d'école ou d'implantation, les élèves inscrits au 15 janvier précédent dans l'école ou l'implantation fermée ne peuvent être comptabilisés pour le complément de direction.</w:t>
      </w:r>
    </w:p>
    <w:p>
      <w:pPr>
        <w:pStyle w:val="Corpsdetexte"/>
        <w:rPr>
          <w:rFonts w:cs="Times New Roman"/>
          <w:spacing w:val="0"/>
        </w:rPr>
      </w:pPr>
    </w:p>
    <w:p>
      <w:pPr>
        <w:pStyle w:val="Corpsdetexte"/>
        <w:rPr>
          <w:rFonts w:cs="Times New Roman"/>
          <w:spacing w:val="0"/>
          <w:sz w:val="12"/>
          <w:szCs w:val="12"/>
        </w:rPr>
      </w:pPr>
    </w:p>
    <w:p>
      <w:pPr>
        <w:rPr>
          <w:b/>
          <w:u w:val="single"/>
        </w:rPr>
      </w:pPr>
      <w:r>
        <w:rPr>
          <w:b/>
          <w:u w:val="single"/>
        </w:rPr>
        <w:t>Echelles de traitement de directeur :</w:t>
      </w:r>
    </w:p>
    <w:p>
      <w:pPr>
        <w:rPr>
          <w:b/>
          <w:sz w:val="16"/>
          <w:szCs w:val="8"/>
          <w:u w:val="single"/>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80"/>
        <w:gridCol w:w="3600"/>
      </w:tblGrid>
      <w:tr>
        <w:trPr>
          <w:trHeight w:hRule="exact" w:val="284"/>
        </w:trPr>
        <w:tc>
          <w:tcPr>
            <w:tcW w:w="2880" w:type="dxa"/>
          </w:tcPr>
          <w:p>
            <w:pPr>
              <w:jc w:val="center"/>
              <w:rPr>
                <w:b/>
                <w:u w:val="single"/>
              </w:rPr>
            </w:pPr>
            <w:r>
              <w:rPr>
                <w:b/>
                <w:u w:val="single"/>
              </w:rPr>
              <w:t>Nombre d'élèves</w:t>
            </w:r>
          </w:p>
        </w:tc>
        <w:tc>
          <w:tcPr>
            <w:tcW w:w="3600" w:type="dxa"/>
          </w:tcPr>
          <w:p>
            <w:pPr>
              <w:jc w:val="center"/>
              <w:rPr>
                <w:b/>
                <w:u w:val="single"/>
              </w:rPr>
            </w:pPr>
            <w:r>
              <w:rPr>
                <w:b/>
                <w:u w:val="single"/>
              </w:rPr>
              <w:t>Echelle de traitement</w:t>
            </w:r>
          </w:p>
        </w:tc>
      </w:tr>
      <w:tr>
        <w:trPr>
          <w:trHeight w:hRule="exact" w:val="227"/>
        </w:trPr>
        <w:tc>
          <w:tcPr>
            <w:tcW w:w="2880" w:type="dxa"/>
          </w:tcPr>
          <w:p>
            <w:pPr>
              <w:jc w:val="center"/>
              <w:rPr>
                <w:sz w:val="20"/>
                <w:szCs w:val="20"/>
              </w:rPr>
            </w:pPr>
            <w:r>
              <w:rPr>
                <w:sz w:val="20"/>
                <w:szCs w:val="20"/>
              </w:rPr>
              <w:t>jusqu'à 71</w:t>
            </w:r>
          </w:p>
        </w:tc>
        <w:tc>
          <w:tcPr>
            <w:tcW w:w="3600" w:type="dxa"/>
          </w:tcPr>
          <w:p>
            <w:pPr>
              <w:jc w:val="center"/>
              <w:rPr>
                <w:sz w:val="20"/>
                <w:szCs w:val="20"/>
              </w:rPr>
            </w:pPr>
            <w:r>
              <w:rPr>
                <w:sz w:val="20"/>
                <w:szCs w:val="20"/>
              </w:rPr>
              <w:t xml:space="preserve">chef d'école de 1 à 3 classes </w:t>
            </w:r>
          </w:p>
        </w:tc>
      </w:tr>
      <w:tr>
        <w:trPr>
          <w:trHeight w:hRule="exact" w:val="227"/>
        </w:trPr>
        <w:tc>
          <w:tcPr>
            <w:tcW w:w="2880" w:type="dxa"/>
          </w:tcPr>
          <w:p>
            <w:pPr>
              <w:jc w:val="center"/>
              <w:rPr>
                <w:sz w:val="20"/>
                <w:szCs w:val="20"/>
              </w:rPr>
            </w:pPr>
            <w:r>
              <w:rPr>
                <w:sz w:val="20"/>
                <w:szCs w:val="20"/>
              </w:rPr>
              <w:t>de 72 à 140</w:t>
            </w:r>
          </w:p>
        </w:tc>
        <w:tc>
          <w:tcPr>
            <w:tcW w:w="3600" w:type="dxa"/>
          </w:tcPr>
          <w:p>
            <w:pPr>
              <w:jc w:val="center"/>
              <w:rPr>
                <w:sz w:val="20"/>
                <w:szCs w:val="20"/>
              </w:rPr>
            </w:pPr>
            <w:r>
              <w:rPr>
                <w:sz w:val="20"/>
                <w:szCs w:val="20"/>
              </w:rPr>
              <w:t>chef d'école de 4 à 6 classes</w:t>
            </w:r>
          </w:p>
        </w:tc>
      </w:tr>
      <w:tr>
        <w:trPr>
          <w:trHeight w:hRule="exact" w:val="227"/>
        </w:trPr>
        <w:tc>
          <w:tcPr>
            <w:tcW w:w="2880" w:type="dxa"/>
          </w:tcPr>
          <w:p>
            <w:pPr>
              <w:jc w:val="center"/>
              <w:rPr>
                <w:sz w:val="20"/>
                <w:szCs w:val="20"/>
              </w:rPr>
            </w:pPr>
            <w:r>
              <w:rPr>
                <w:sz w:val="20"/>
                <w:szCs w:val="20"/>
              </w:rPr>
              <w:t>de 141 à 209</w:t>
            </w:r>
          </w:p>
        </w:tc>
        <w:tc>
          <w:tcPr>
            <w:tcW w:w="3600" w:type="dxa"/>
          </w:tcPr>
          <w:p>
            <w:pPr>
              <w:jc w:val="center"/>
              <w:rPr>
                <w:sz w:val="20"/>
                <w:szCs w:val="20"/>
              </w:rPr>
            </w:pPr>
            <w:r>
              <w:rPr>
                <w:sz w:val="20"/>
                <w:szCs w:val="20"/>
              </w:rPr>
              <w:t>chef d'école de 7 à 9 classes</w:t>
            </w:r>
          </w:p>
        </w:tc>
      </w:tr>
      <w:tr>
        <w:trPr>
          <w:trHeight w:hRule="exact" w:val="227"/>
        </w:trPr>
        <w:tc>
          <w:tcPr>
            <w:tcW w:w="2880" w:type="dxa"/>
          </w:tcPr>
          <w:p>
            <w:pPr>
              <w:pStyle w:val="En-tte"/>
              <w:tabs>
                <w:tab w:val="clear" w:pos="4536"/>
                <w:tab w:val="clear" w:pos="9072"/>
              </w:tabs>
              <w:jc w:val="center"/>
              <w:rPr>
                <w:sz w:val="20"/>
                <w:szCs w:val="20"/>
              </w:rPr>
            </w:pPr>
            <w:r>
              <w:rPr>
                <w:sz w:val="20"/>
                <w:szCs w:val="20"/>
              </w:rPr>
              <w:t>210 et plus</w:t>
            </w:r>
          </w:p>
        </w:tc>
        <w:tc>
          <w:tcPr>
            <w:tcW w:w="3600" w:type="dxa"/>
          </w:tcPr>
          <w:p>
            <w:pPr>
              <w:jc w:val="center"/>
              <w:rPr>
                <w:sz w:val="20"/>
                <w:szCs w:val="20"/>
              </w:rPr>
            </w:pPr>
            <w:r>
              <w:rPr>
                <w:sz w:val="20"/>
                <w:szCs w:val="20"/>
              </w:rPr>
              <w:t>chef d'école de 10 classes et +</w:t>
            </w:r>
          </w:p>
        </w:tc>
      </w:tr>
    </w:tbl>
    <w:p>
      <w:pPr>
        <w:tabs>
          <w:tab w:val="left" w:pos="900"/>
        </w:tabs>
        <w:autoSpaceDE w:val="0"/>
        <w:autoSpaceDN w:val="0"/>
        <w:adjustRightInd w:val="0"/>
        <w:ind w:left="543"/>
        <w:jc w:val="both"/>
        <w:rPr>
          <w:szCs w:val="16"/>
        </w:rPr>
      </w:pPr>
      <w:bookmarkStart w:id="1040" w:name="_3.2.7._Reliquat_"/>
      <w:bookmarkEnd w:id="1040"/>
    </w:p>
    <w:p>
      <w:pPr>
        <w:tabs>
          <w:tab w:val="left" w:pos="900"/>
        </w:tabs>
        <w:autoSpaceDE w:val="0"/>
        <w:autoSpaceDN w:val="0"/>
        <w:adjustRightInd w:val="0"/>
        <w:ind w:left="543"/>
        <w:jc w:val="both"/>
        <w:rPr>
          <w:szCs w:val="16"/>
        </w:rPr>
      </w:pPr>
    </w:p>
    <w:p>
      <w:pPr>
        <w:pStyle w:val="Titre3"/>
      </w:pPr>
      <w:bookmarkStart w:id="1041" w:name="_3.2.7._Reliquat__"/>
      <w:bookmarkStart w:id="1042" w:name="_Toc295932037"/>
      <w:bookmarkStart w:id="1043" w:name="_Toc295913767"/>
      <w:bookmarkStart w:id="1044" w:name="_Toc423420059"/>
      <w:bookmarkStart w:id="1045" w:name="_Toc450645266"/>
      <w:bookmarkStart w:id="1046" w:name="_Toc453942502"/>
      <w:bookmarkStart w:id="1047" w:name="_Toc454888119"/>
      <w:bookmarkStart w:id="1048" w:name="_Toc486241781"/>
      <w:bookmarkEnd w:id="1041"/>
      <w:r>
        <w:t>3.2.7. Reliquat et % "article 36"</w:t>
      </w:r>
      <w:bookmarkEnd w:id="1042"/>
      <w:bookmarkEnd w:id="1043"/>
      <w:bookmarkEnd w:id="1044"/>
      <w:bookmarkEnd w:id="1045"/>
      <w:bookmarkEnd w:id="1046"/>
      <w:bookmarkEnd w:id="1047"/>
      <w:bookmarkEnd w:id="1048"/>
    </w:p>
    <w:p>
      <w:pPr>
        <w:jc w:val="both"/>
        <w:rPr>
          <w:sz w:val="16"/>
          <w:szCs w:val="16"/>
        </w:rPr>
      </w:pPr>
    </w:p>
    <w:p>
      <w:pPr>
        <w:jc w:val="both"/>
        <w:rPr>
          <w:b/>
          <w:u w:val="single"/>
        </w:rPr>
      </w:pPr>
      <w:r>
        <w:rPr>
          <w:b/>
          <w:u w:val="single"/>
        </w:rPr>
        <w:t>% "article 36"</w:t>
      </w:r>
    </w:p>
    <w:p>
      <w:pPr>
        <w:pStyle w:val="NormalWeb"/>
        <w:spacing w:before="0"/>
        <w:rPr>
          <w:rFonts w:ascii="Arial" w:hAnsi="Arial"/>
          <w:color w:val="auto"/>
          <w:sz w:val="8"/>
          <w:szCs w:val="8"/>
        </w:rPr>
      </w:pPr>
    </w:p>
    <w:p>
      <w:pPr>
        <w:pStyle w:val="NormalWeb"/>
        <w:spacing w:before="0"/>
        <w:rPr>
          <w:rFonts w:ascii="Arial" w:hAnsi="Arial"/>
          <w:color w:val="auto"/>
          <w:sz w:val="22"/>
          <w:szCs w:val="22"/>
        </w:rPr>
      </w:pPr>
      <w:r>
        <w:rPr>
          <w:rFonts w:ascii="Arial" w:hAnsi="Arial"/>
          <w:color w:val="auto"/>
          <w:sz w:val="22"/>
          <w:szCs w:val="22"/>
        </w:rPr>
        <w:t>L’article 36 du Décret-cadre permet de prélever, des périodes dont le nombre est égal ou inférieur à 1% (si le pourcentage déterminé est inférieur à 1, il comprend au maximum deux chiffres derrière la virgule). La décision de l’application de cette mesure à l'ensemble de ses écoles est du ressort du Gouvernement pour l'enseignement de la Fédération Wallonie-Bruxelles, de chaque Pouvoir organisateur pour l'enseignement officiel subventionné, de chaque Pouvoir organisateur ou groupe de pouvoirs organisateurs pour l'enseignement libre subventionné.  Elle est soumise à l'avis préalable de la Commission zonale d'affectation pour l'enseignement organisé par la FWB et de la Commission zonale de gestion des emplois dans l'enseignement subventionné.</w:t>
      </w:r>
    </w:p>
    <w:p>
      <w:pPr>
        <w:pStyle w:val="NormalWeb"/>
        <w:spacing w:before="0"/>
        <w:rPr>
          <w:rFonts w:ascii="Arial" w:hAnsi="Arial"/>
          <w:color w:val="auto"/>
          <w:sz w:val="22"/>
          <w:szCs w:val="22"/>
        </w:rPr>
      </w:pPr>
    </w:p>
    <w:p>
      <w:pPr>
        <w:pStyle w:val="NormalWeb"/>
        <w:spacing w:before="0"/>
        <w:rPr>
          <w:rFonts w:ascii="Arial" w:hAnsi="Arial"/>
          <w:color w:val="auto"/>
          <w:sz w:val="22"/>
          <w:szCs w:val="22"/>
        </w:rPr>
      </w:pPr>
      <w:r>
        <w:rPr>
          <w:rFonts w:ascii="Arial" w:hAnsi="Arial"/>
          <w:color w:val="auto"/>
          <w:sz w:val="22"/>
          <w:szCs w:val="22"/>
        </w:rPr>
        <w:t>Ces prélèvements, soit un nombre de périodes arrondis à l'unité supérieure, sont attribués à certains établissements, en vue de leur permettre un meilleur fonctionnement. En tout état de cause, la décision de prélever ce % est prise avant le 15 janvier. Les périodes prélevées sont donc imputées au capital-périodes avant la division par 26.</w:t>
      </w:r>
    </w:p>
    <w:p>
      <w:pPr>
        <w:jc w:val="both"/>
        <w:rPr>
          <w:sz w:val="8"/>
          <w:szCs w:val="8"/>
        </w:rPr>
      </w:pPr>
    </w:p>
    <w:p>
      <w:pPr>
        <w:jc w:val="both"/>
        <w:rPr>
          <w:u w:val="single"/>
        </w:rPr>
      </w:pPr>
      <w:r>
        <w:rPr>
          <w:u w:val="single"/>
        </w:rPr>
        <w:t xml:space="preserve">Deux exceptions: </w:t>
      </w:r>
    </w:p>
    <w:p>
      <w:pPr>
        <w:numPr>
          <w:ilvl w:val="0"/>
          <w:numId w:val="76"/>
        </w:numPr>
        <w:tabs>
          <w:tab w:val="clear" w:pos="1440"/>
          <w:tab w:val="num" w:pos="360"/>
        </w:tabs>
        <w:ind w:left="359"/>
        <w:jc w:val="both"/>
        <w:rPr>
          <w:spacing w:val="-4"/>
        </w:rPr>
      </w:pPr>
      <w:r>
        <w:rPr>
          <w:spacing w:val="-4"/>
        </w:rPr>
        <w:t>Ces dispositions ne s'appliquent pas aux implantations bénéficiaires de l’encadrement différencié de classe 1,2 et 3</w:t>
      </w:r>
      <w:r>
        <w:rPr>
          <w:color w:val="00B050"/>
          <w:spacing w:val="-4"/>
        </w:rPr>
        <w:t xml:space="preserve"> </w:t>
      </w:r>
      <w:r>
        <w:rPr>
          <w:spacing w:val="-4"/>
        </w:rPr>
        <w:t>;</w:t>
      </w:r>
    </w:p>
    <w:p>
      <w:pPr>
        <w:numPr>
          <w:ilvl w:val="0"/>
          <w:numId w:val="76"/>
        </w:numPr>
        <w:tabs>
          <w:tab w:val="clear" w:pos="1440"/>
          <w:tab w:val="num" w:pos="360"/>
        </w:tabs>
        <w:ind w:left="359"/>
        <w:jc w:val="both"/>
        <w:rPr>
          <w:spacing w:val="-4"/>
        </w:rPr>
      </w:pPr>
      <w:r>
        <w:rPr>
          <w:iCs/>
          <w:spacing w:val="-4"/>
        </w:rPr>
        <w:t>Ces dispositions ne s’appliquent pas aux écoles ou implantations à comptage séparé de moins de 51 élèves, où le capital-périodes est égal ou inférieur à 78 périodes.</w:t>
      </w:r>
    </w:p>
    <w:p>
      <w:pPr>
        <w:jc w:val="both"/>
        <w:rPr>
          <w:b/>
          <w:u w:val="single"/>
        </w:rPr>
      </w:pPr>
      <w:r>
        <w:rPr>
          <w:b/>
          <w:u w:val="single"/>
        </w:rPr>
        <w:t>Reliquat</w:t>
      </w:r>
    </w:p>
    <w:p>
      <w:pPr>
        <w:jc w:val="both"/>
        <w:rPr>
          <w:sz w:val="4"/>
          <w:szCs w:val="4"/>
        </w:rPr>
      </w:pPr>
    </w:p>
    <w:p>
      <w:pPr>
        <w:jc w:val="both"/>
        <w:rPr>
          <w:spacing w:val="-6"/>
          <w:sz w:val="8"/>
          <w:szCs w:val="8"/>
        </w:rPr>
      </w:pPr>
    </w:p>
    <w:p>
      <w:pPr>
        <w:jc w:val="both"/>
        <w:rPr>
          <w:spacing w:val="-6"/>
        </w:rPr>
      </w:pPr>
      <w:r>
        <w:rPr>
          <w:spacing w:val="-6"/>
        </w:rPr>
        <w:t xml:space="preserve">Le </w:t>
      </w:r>
      <w:r>
        <w:rPr>
          <w:spacing w:val="-6"/>
          <w:u w:val="single"/>
        </w:rPr>
        <w:t>reliquat</w:t>
      </w:r>
      <w:r>
        <w:rPr>
          <w:spacing w:val="-6"/>
        </w:rPr>
        <w:t xml:space="preserve"> est le reste de la division par 26 des périodes à réserver aux titulaires de classe, maîtres d'adaptation et maîtres d’éducation physique dont ont été soustraites les périodes d'adaptation et les éventuelles périodes prélevées en application de l'article 36, par école ou implantation à comptage séparé.</w:t>
      </w:r>
    </w:p>
    <w:p>
      <w:pPr>
        <w:jc w:val="both"/>
        <w:rPr>
          <w:sz w:val="8"/>
          <w:szCs w:val="8"/>
        </w:rPr>
      </w:pPr>
    </w:p>
    <w:p>
      <w:pPr>
        <w:jc w:val="both"/>
      </w:pPr>
      <w:r>
        <w:t xml:space="preserve">Il est possible d’imputer au capital-périodes des emplois de </w:t>
      </w:r>
      <w:r>
        <w:rPr>
          <w:b/>
        </w:rPr>
        <w:t xml:space="preserve">maître d’adaptation et de soutien pédagogique à temps plein ou à mi-temps. </w:t>
      </w:r>
      <w:r>
        <w:t>Après les différentes imputations au capital-périodes prévues à l’article 33 du décret-cadre, si le nombre de périodes constituant le reliquat est égal ou supérieur à 12 périodes, 12 périodes au moins ne constituent pas un reliquat transférable.</w:t>
      </w:r>
      <w:r>
        <w:rPr>
          <w:b/>
        </w:rPr>
        <w:t xml:space="preserve"> </w:t>
      </w:r>
      <w:r>
        <w:t xml:space="preserve">Le reliquat transféré au niveau de </w:t>
      </w:r>
      <w:smartTag w:uri="urn:schemas-microsoft-com:office:smarttags" w:element="PersonName">
        <w:smartTagPr>
          <w:attr w:name="ProductID" w:val="la Zone"/>
        </w:smartTagPr>
        <w:r>
          <w:t>la Zone</w:t>
        </w:r>
      </w:smartTag>
      <w:r>
        <w:t xml:space="preserve"> dans l’Enseignement organisé par </w:t>
      </w:r>
      <w:smartTag w:uri="urn:schemas-microsoft-com:office:smarttags" w:element="PersonName">
        <w:smartTagPr>
          <w:attr w:name="ProductID" w:val="la FWB.,"/>
        </w:smartTagPr>
        <w:r>
          <w:t>la FWB.,</w:t>
        </w:r>
      </w:smartTag>
      <w:r>
        <w:t xml:space="preserve"> du P.O. dans l’Enseignement officiel subventionné et de l’Entité dans l’Enseignement libre s’élève à un maximum de 11 périodes.</w:t>
      </w:r>
    </w:p>
    <w:p>
      <w:pPr>
        <w:jc w:val="both"/>
        <w:rPr>
          <w:sz w:val="8"/>
          <w:szCs w:val="8"/>
        </w:rPr>
      </w:pPr>
    </w:p>
    <w:p>
      <w:pPr>
        <w:pStyle w:val="Corpsdetexte"/>
        <w:rPr>
          <w:spacing w:val="0"/>
        </w:rPr>
      </w:pPr>
      <w:r>
        <w:rPr>
          <w:spacing w:val="0"/>
        </w:rPr>
        <w:t>Pour rappel, l’utilisation de ces périodes dites de "maître d’adaptation et de soutien pédagogique" peut permettre d’organiser de l’adaptation ou de la remédiation proprement dite, de l’éducation physique, de la langue seconde ou encore de dédoubler une classe.</w:t>
      </w:r>
    </w:p>
    <w:p>
      <w:pPr>
        <w:jc w:val="both"/>
        <w:rPr>
          <w:sz w:val="8"/>
          <w:szCs w:val="8"/>
        </w:rPr>
      </w:pPr>
    </w:p>
    <w:p>
      <w:pPr>
        <w:jc w:val="both"/>
        <w:rPr>
          <w:spacing w:val="-2"/>
        </w:rPr>
      </w:pPr>
      <w:r>
        <w:rPr>
          <w:spacing w:val="-2"/>
          <w:u w:val="single"/>
        </w:rPr>
        <w:t>Dans l’enseignement libre subventionné</w:t>
      </w:r>
      <w:r>
        <w:rPr>
          <w:spacing w:val="-2"/>
        </w:rPr>
        <w:t>, lorsqu’une école comprend une ou plusieurs implantations à comptage séparé, les reliquats sont additionnés et le résultat est divisé par 12. Le quotient entier reste dans l’école et/ou ses implantations. Le reste de la division constitue le reliquat transférable.</w:t>
      </w:r>
    </w:p>
    <w:p>
      <w:pPr>
        <w:jc w:val="both"/>
        <w:rPr>
          <w:sz w:val="8"/>
          <w:szCs w:val="8"/>
        </w:rPr>
      </w:pPr>
    </w:p>
    <w:p>
      <w:pPr>
        <w:jc w:val="both"/>
      </w:pPr>
      <w:r>
        <w:rPr>
          <w:spacing w:val="-2"/>
        </w:rPr>
        <w:t>Les reliquats des différentes écoles et implantations à comptage séparé sont globalisés au</w:t>
      </w:r>
      <w:r>
        <w:t xml:space="preserve"> niveau:</w:t>
      </w:r>
    </w:p>
    <w:p>
      <w:pPr>
        <w:numPr>
          <w:ilvl w:val="0"/>
          <w:numId w:val="32"/>
        </w:numPr>
        <w:tabs>
          <w:tab w:val="num" w:pos="720"/>
        </w:tabs>
        <w:ind w:left="719"/>
        <w:jc w:val="both"/>
      </w:pPr>
      <w:r>
        <w:t xml:space="preserve">de la zone dans l’enseignement organisé par </w:t>
      </w:r>
      <w:smartTag w:uri="urn:schemas-microsoft-com:office:smarttags" w:element="PersonName">
        <w:smartTagPr>
          <w:attr w:name="ProductID" w:val="la F￩d￩ration Wallonie-Bruxelles"/>
        </w:smartTagPr>
        <w:r>
          <w:t>la Fédération Wallonie-Bruxelles</w:t>
        </w:r>
      </w:smartTag>
      <w:r>
        <w:t>;</w:t>
      </w:r>
    </w:p>
    <w:p>
      <w:pPr>
        <w:numPr>
          <w:ilvl w:val="0"/>
          <w:numId w:val="32"/>
        </w:numPr>
        <w:tabs>
          <w:tab w:val="num" w:pos="720"/>
        </w:tabs>
        <w:ind w:left="719"/>
        <w:jc w:val="both"/>
      </w:pPr>
      <w:r>
        <w:t>de la commune dans l’enseignement officiel subventionné;</w:t>
      </w:r>
    </w:p>
    <w:p>
      <w:pPr>
        <w:numPr>
          <w:ilvl w:val="0"/>
          <w:numId w:val="32"/>
        </w:numPr>
        <w:tabs>
          <w:tab w:val="num" w:pos="720"/>
        </w:tabs>
        <w:ind w:left="719"/>
        <w:jc w:val="both"/>
      </w:pPr>
      <w:r>
        <w:t>de l’entité dans l’enseignement libre subventionné.</w:t>
      </w:r>
    </w:p>
    <w:p>
      <w:pPr>
        <w:jc w:val="both"/>
        <w:rPr>
          <w:sz w:val="8"/>
          <w:szCs w:val="8"/>
        </w:rPr>
      </w:pPr>
    </w:p>
    <w:p>
      <w:pPr>
        <w:jc w:val="both"/>
      </w:pPr>
      <w:r>
        <w:t xml:space="preserve">Sont ajoutées aux reliquats ainsi rassemblés, les périodes comptabilisées à raison de 1,2 par élève inscrit au 15 janvier de l’année scolaire précédente et dont l’école ou l’implantation (qu’elle soit à comptage séparé ou globalisé) sera fermée </w:t>
      </w:r>
      <w:r>
        <w:rPr>
          <w:u w:val="single"/>
        </w:rPr>
        <w:t>au plus tard le 1</w:t>
      </w:r>
      <w:r>
        <w:rPr>
          <w:u w:val="single"/>
          <w:vertAlign w:val="superscript"/>
        </w:rPr>
        <w:t>er</w:t>
      </w:r>
      <w:r>
        <w:rPr>
          <w:u w:val="single"/>
        </w:rPr>
        <w:t xml:space="preserve"> octobre suivant</w:t>
      </w:r>
      <w:r>
        <w:t xml:space="preserve">. Le total est arrondi à l'unité la plus proche. Pour l’enseignement libre, cet ajout bénéficie à l’entité dans laquelle l’école ou l’implantation fermée se trouvait. </w:t>
      </w:r>
    </w:p>
    <w:p>
      <w:pPr>
        <w:jc w:val="both"/>
        <w:rPr>
          <w:sz w:val="8"/>
          <w:szCs w:val="8"/>
        </w:rPr>
      </w:pPr>
    </w:p>
    <w:p>
      <w:pPr>
        <w:jc w:val="both"/>
      </w:pPr>
      <w:r>
        <w:t xml:space="preserve">Attention : en cas de recomptage au 30 septembre, cette règle n’est plus d’application (pas de transfert à la zone, à la commune ou à l’entité des périodes générées par l’école ou l’implantation fermée). </w:t>
      </w:r>
    </w:p>
    <w:p>
      <w:pPr>
        <w:jc w:val="both"/>
        <w:rPr>
          <w:sz w:val="8"/>
          <w:szCs w:val="8"/>
        </w:rPr>
      </w:pPr>
    </w:p>
    <w:p>
      <w:pPr>
        <w:jc w:val="both"/>
        <w:rPr>
          <w:sz w:val="2"/>
          <w:szCs w:val="2"/>
        </w:rPr>
      </w:pPr>
    </w:p>
    <w:p>
      <w:pPr>
        <w:spacing w:after="80"/>
        <w:jc w:val="both"/>
        <w:rPr>
          <w:spacing w:val="-2"/>
        </w:rPr>
      </w:pPr>
      <w:r>
        <w:rPr>
          <w:spacing w:val="-2"/>
        </w:rPr>
        <w:t xml:space="preserve">Après avoir pris l’avis de l’organe de concertation (voir </w:t>
      </w:r>
      <w:hyperlink w:anchor="chapitre3_5" w:history="1">
        <w:r>
          <w:rPr>
            <w:rStyle w:val="Lienhypertexte"/>
            <w:color w:val="auto"/>
            <w:spacing w:val="-2"/>
          </w:rPr>
          <w:t>chapitre 3.5.</w:t>
        </w:r>
      </w:hyperlink>
      <w:r>
        <w:rPr>
          <w:spacing w:val="-2"/>
        </w:rPr>
        <w:t>), les reliquats peuvent servir à :</w:t>
      </w:r>
    </w:p>
    <w:p>
      <w:pPr>
        <w:numPr>
          <w:ilvl w:val="0"/>
          <w:numId w:val="33"/>
        </w:numPr>
        <w:tabs>
          <w:tab w:val="num" w:pos="720"/>
        </w:tabs>
        <w:ind w:left="719"/>
        <w:jc w:val="both"/>
      </w:pPr>
      <w:r>
        <w:t>créer des classes supplémentaires (titulaires en plus);</w:t>
      </w:r>
    </w:p>
    <w:p>
      <w:pPr>
        <w:numPr>
          <w:ilvl w:val="0"/>
          <w:numId w:val="33"/>
        </w:numPr>
        <w:tabs>
          <w:tab w:val="num" w:pos="720"/>
        </w:tabs>
        <w:ind w:left="719"/>
        <w:jc w:val="both"/>
      </w:pPr>
      <w:r>
        <w:t>organiser l’adaptation;</w:t>
      </w:r>
    </w:p>
    <w:p>
      <w:pPr>
        <w:numPr>
          <w:ilvl w:val="0"/>
          <w:numId w:val="33"/>
        </w:numPr>
        <w:tabs>
          <w:tab w:val="num" w:pos="720"/>
        </w:tabs>
        <w:ind w:left="719"/>
        <w:jc w:val="both"/>
      </w:pPr>
      <w:r>
        <w:t>créer un complément de cours de langue moderne;</w:t>
      </w:r>
    </w:p>
    <w:p>
      <w:pPr>
        <w:numPr>
          <w:ilvl w:val="0"/>
          <w:numId w:val="33"/>
        </w:numPr>
        <w:tabs>
          <w:tab w:val="num" w:pos="720"/>
        </w:tabs>
        <w:ind w:left="719"/>
        <w:jc w:val="both"/>
      </w:pPr>
      <w:r>
        <w:t>créer un complément de cours d’éducation physique;</w:t>
      </w:r>
    </w:p>
    <w:p>
      <w:pPr>
        <w:numPr>
          <w:ilvl w:val="0"/>
          <w:numId w:val="33"/>
        </w:numPr>
        <w:tabs>
          <w:tab w:val="num" w:pos="720"/>
        </w:tabs>
        <w:ind w:left="719"/>
        <w:jc w:val="both"/>
      </w:pPr>
      <w:r>
        <w:t>constituer des groupes de taille réduite par des dédoublements partiels de classes;</w:t>
      </w:r>
    </w:p>
    <w:p>
      <w:pPr>
        <w:numPr>
          <w:ilvl w:val="0"/>
          <w:numId w:val="33"/>
        </w:numPr>
        <w:tabs>
          <w:tab w:val="num" w:pos="720"/>
        </w:tabs>
        <w:ind w:left="719"/>
        <w:jc w:val="both"/>
      </w:pPr>
      <w:r>
        <w:rPr>
          <w:spacing w:val="-6"/>
        </w:rPr>
        <w:t>créer une aide à la gestion pédagogique ou administrative, à concurrence de 12 ou 24 périodes </w:t>
      </w:r>
      <w:r>
        <w:t>;</w:t>
      </w:r>
    </w:p>
    <w:p>
      <w:pPr>
        <w:numPr>
          <w:ilvl w:val="0"/>
          <w:numId w:val="33"/>
        </w:numPr>
        <w:tabs>
          <w:tab w:val="num" w:pos="720"/>
        </w:tabs>
        <w:ind w:left="719"/>
        <w:jc w:val="both"/>
      </w:pPr>
      <w:r>
        <w:t>encadrer le cours commun de philosophie et de citoyenneté.</w:t>
      </w:r>
    </w:p>
    <w:p>
      <w:pPr>
        <w:jc w:val="both"/>
        <w:rPr>
          <w:sz w:val="8"/>
          <w:szCs w:val="8"/>
        </w:rPr>
      </w:pPr>
    </w:p>
    <w:p>
      <w:pPr>
        <w:jc w:val="both"/>
      </w:pPr>
      <w:r>
        <w:t>Les reliquats ne peuvent pas servir à créer un complément de périodes de cours philosophiques.</w:t>
      </w:r>
    </w:p>
    <w:p>
      <w:pPr>
        <w:jc w:val="both"/>
        <w:rPr>
          <w:sz w:val="8"/>
          <w:szCs w:val="8"/>
        </w:rPr>
      </w:pPr>
    </w:p>
    <w:p>
      <w:pPr>
        <w:jc w:val="both"/>
      </w:pPr>
      <w:r>
        <w:t xml:space="preserve">L’ensemble des implantations bénéficiaires de l’encadrement différencié (classes 1 à 5) de la zone pour l’enseignement de </w:t>
      </w:r>
      <w:smartTag w:uri="urn:schemas-microsoft-com:office:smarttags" w:element="PersonName">
        <w:smartTagPr>
          <w:attr w:name="ProductID" w:val="la F￩d￩ration Wallonie-Bruxelles"/>
        </w:smartTagPr>
        <w:r>
          <w:t>la Fédération Wallonie-Bruxelles</w:t>
        </w:r>
      </w:smartTag>
      <w:r>
        <w:t xml:space="preserve">, du Pouvoir organisateur pour l’enseignement officiel subventionné ou de l’entité pour l’enseignement libre subventionné, doit recevoir un nombre de périodes au moins équivalent à celui que constitue l’ensemble des reliquats de ces implantations. </w:t>
      </w:r>
    </w:p>
    <w:p>
      <w:pPr>
        <w:jc w:val="both"/>
        <w:rPr>
          <w:sz w:val="8"/>
          <w:szCs w:val="8"/>
        </w:rPr>
      </w:pPr>
    </w:p>
    <w:p>
      <w:pPr>
        <w:jc w:val="both"/>
        <w:rPr>
          <w:rFonts w:ascii="Verdana" w:hAnsi="Verdana"/>
        </w:rPr>
      </w:pPr>
      <w:r>
        <w:t xml:space="preserve">Par dérogation, le Gouvernement peut, à titre exceptionnel, autoriser des écoles ou implantations qui ne bénéficient pas de l’encadrement différencié à recevoir des périodes de reliquats générées par les écoles ou implantations bénéficiaires de l’encadrement différencié au sein de la zone, du Pouvoir organisateur ou de l’entité. La demande de dérogation motivée sera introduite par la zone, le Pouvoir organisateur ou l’entité, dans le respect des procédures définies à l’article 34 alinéas 3 et 4 du décret-cadre, auprès de </w:t>
      </w:r>
      <w:smartTag w:uri="urn:schemas-microsoft-com:office:smarttags" w:element="PersonName">
        <w:smartTagPr>
          <w:attr w:name="ProductID" w:val="la Direction"/>
        </w:smartTagPr>
        <w:r>
          <w:t>la Direction</w:t>
        </w:r>
      </w:smartTag>
      <w:r>
        <w:t xml:space="preserve"> générale de l'Enseignement obligatoire, Bureau 2F211, rue A. Lavallée, 1 – 1080 Bruxelles.</w:t>
      </w:r>
    </w:p>
    <w:p>
      <w:pPr>
        <w:jc w:val="both"/>
        <w:rPr>
          <w:sz w:val="8"/>
          <w:szCs w:val="8"/>
        </w:rPr>
      </w:pPr>
    </w:p>
    <w:p>
      <w:pPr>
        <w:pStyle w:val="Corpsdetexte"/>
        <w:rPr>
          <w:rFonts w:cs="Times New Roman"/>
          <w:spacing w:val="0"/>
        </w:rPr>
      </w:pPr>
      <w:r>
        <w:rPr>
          <w:rFonts w:cs="Times New Roman"/>
          <w:spacing w:val="0"/>
        </w:rPr>
        <w:t>Lorsqu’une école compte plusieurs implantations à comptage globalisé dont au moins une bénéficiaire de l’encadrement différencié, celle(s)-ci reçoit (reçoivent) un nombre de périodes au moins équivalent à une part du reliquat généré par l’ensemble des implantations à comptage globalisé. Cette part est proportionnelle au nombre d’élèves inscrits dans ladite implantation à la date du comptage, arrondie à l’unité supérieure.</w:t>
      </w:r>
    </w:p>
    <w:p>
      <w:pPr>
        <w:jc w:val="both"/>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21"/>
        <w:gridCol w:w="3222"/>
        <w:gridCol w:w="3222"/>
      </w:tblGrid>
      <w:tr>
        <w:trPr>
          <w:trHeight w:hRule="exact" w:val="340"/>
          <w:jc w:val="center"/>
        </w:trPr>
        <w:tc>
          <w:tcPr>
            <w:tcW w:w="9665" w:type="dxa"/>
            <w:gridSpan w:val="3"/>
            <w:tcBorders>
              <w:top w:val="single" w:sz="4" w:space="0" w:color="auto"/>
              <w:bottom w:val="nil"/>
            </w:tcBorders>
            <w:vAlign w:val="center"/>
          </w:tcPr>
          <w:p>
            <w:pPr>
              <w:jc w:val="center"/>
              <w:rPr>
                <w:b/>
                <w:sz w:val="20"/>
              </w:rPr>
            </w:pPr>
            <w:r>
              <w:rPr>
                <w:b/>
                <w:sz w:val="20"/>
                <w:u w:val="single"/>
              </w:rPr>
              <w:t>Exemple</w:t>
            </w:r>
            <w:r>
              <w:rPr>
                <w:b/>
                <w:sz w:val="20"/>
              </w:rPr>
              <w:t>: Ecole primaire composée de 3 implantations à comptage séparé</w:t>
            </w:r>
          </w:p>
        </w:tc>
      </w:tr>
      <w:tr>
        <w:trPr>
          <w:trHeight w:hRule="exact" w:val="340"/>
          <w:jc w:val="center"/>
        </w:trPr>
        <w:tc>
          <w:tcPr>
            <w:tcW w:w="9665" w:type="dxa"/>
            <w:gridSpan w:val="3"/>
            <w:tcBorders>
              <w:top w:val="single" w:sz="4" w:space="0" w:color="auto"/>
              <w:bottom w:val="nil"/>
            </w:tcBorders>
            <w:vAlign w:val="center"/>
          </w:tcPr>
          <w:p>
            <w:pPr>
              <w:jc w:val="center"/>
              <w:rPr>
                <w:b/>
                <w:sz w:val="18"/>
              </w:rPr>
            </w:pPr>
            <w:r>
              <w:rPr>
                <w:b/>
                <w:sz w:val="18"/>
              </w:rPr>
              <w:t>1.  Population scolaire de l'école</w:t>
            </w:r>
          </w:p>
        </w:tc>
      </w:tr>
      <w:tr>
        <w:trPr>
          <w:trHeight w:hRule="exact" w:val="340"/>
          <w:jc w:val="center"/>
        </w:trPr>
        <w:tc>
          <w:tcPr>
            <w:tcW w:w="3221" w:type="dxa"/>
            <w:tcBorders>
              <w:top w:val="nil"/>
              <w:bottom w:val="nil"/>
              <w:right w:val="nil"/>
            </w:tcBorders>
            <w:vAlign w:val="center"/>
          </w:tcPr>
          <w:p>
            <w:pPr>
              <w:jc w:val="center"/>
              <w:rPr>
                <w:sz w:val="18"/>
              </w:rPr>
            </w:pPr>
            <w:r>
              <w:rPr>
                <w:sz w:val="18"/>
              </w:rPr>
              <w:t>Implantation A: 70 élèves</w:t>
            </w:r>
          </w:p>
        </w:tc>
        <w:tc>
          <w:tcPr>
            <w:tcW w:w="3222" w:type="dxa"/>
            <w:tcBorders>
              <w:top w:val="nil"/>
              <w:left w:val="nil"/>
              <w:bottom w:val="nil"/>
              <w:right w:val="nil"/>
            </w:tcBorders>
            <w:vAlign w:val="center"/>
          </w:tcPr>
          <w:p>
            <w:pPr>
              <w:jc w:val="center"/>
              <w:rPr>
                <w:sz w:val="18"/>
              </w:rPr>
            </w:pPr>
            <w:r>
              <w:rPr>
                <w:sz w:val="18"/>
              </w:rPr>
              <w:t xml:space="preserve">Implantation B: 81 élèves </w:t>
            </w:r>
          </w:p>
        </w:tc>
        <w:tc>
          <w:tcPr>
            <w:tcW w:w="3222" w:type="dxa"/>
            <w:tcBorders>
              <w:top w:val="nil"/>
              <w:left w:val="nil"/>
              <w:bottom w:val="nil"/>
            </w:tcBorders>
            <w:vAlign w:val="center"/>
          </w:tcPr>
          <w:p>
            <w:pPr>
              <w:jc w:val="center"/>
              <w:rPr>
                <w:sz w:val="18"/>
              </w:rPr>
            </w:pPr>
            <w:r>
              <w:rPr>
                <w:sz w:val="18"/>
              </w:rPr>
              <w:t xml:space="preserve">Implantation C: 90 élèves </w:t>
            </w:r>
          </w:p>
        </w:tc>
      </w:tr>
      <w:tr>
        <w:trPr>
          <w:trHeight w:hRule="exact" w:val="340"/>
          <w:jc w:val="center"/>
        </w:trPr>
        <w:tc>
          <w:tcPr>
            <w:tcW w:w="9665" w:type="dxa"/>
            <w:gridSpan w:val="3"/>
            <w:tcBorders>
              <w:bottom w:val="nil"/>
            </w:tcBorders>
            <w:vAlign w:val="center"/>
          </w:tcPr>
          <w:p>
            <w:pPr>
              <w:jc w:val="center"/>
              <w:rPr>
                <w:b/>
                <w:sz w:val="18"/>
              </w:rPr>
            </w:pPr>
            <w:r>
              <w:rPr>
                <w:b/>
                <w:sz w:val="18"/>
              </w:rPr>
              <w:t>2.  Calcul des périodes de titulaires de classe, d'adaptation et d'éducation physique:</w:t>
            </w:r>
          </w:p>
        </w:tc>
      </w:tr>
      <w:tr>
        <w:trPr>
          <w:trHeight w:hRule="exact" w:val="340"/>
          <w:jc w:val="center"/>
        </w:trPr>
        <w:tc>
          <w:tcPr>
            <w:tcW w:w="3221" w:type="dxa"/>
            <w:tcBorders>
              <w:top w:val="nil"/>
              <w:bottom w:val="single" w:sz="4" w:space="0" w:color="auto"/>
              <w:right w:val="nil"/>
            </w:tcBorders>
            <w:vAlign w:val="center"/>
          </w:tcPr>
          <w:p>
            <w:pPr>
              <w:jc w:val="center"/>
              <w:rPr>
                <w:sz w:val="18"/>
              </w:rPr>
            </w:pPr>
            <w:r>
              <w:rPr>
                <w:sz w:val="18"/>
              </w:rPr>
              <w:t>Implantation A: 92 périodes</w:t>
            </w:r>
          </w:p>
        </w:tc>
        <w:tc>
          <w:tcPr>
            <w:tcW w:w="3222" w:type="dxa"/>
            <w:tcBorders>
              <w:top w:val="nil"/>
              <w:left w:val="nil"/>
              <w:bottom w:val="single" w:sz="4" w:space="0" w:color="auto"/>
              <w:right w:val="nil"/>
            </w:tcBorders>
            <w:vAlign w:val="center"/>
          </w:tcPr>
          <w:p>
            <w:pPr>
              <w:jc w:val="center"/>
              <w:rPr>
                <w:sz w:val="18"/>
              </w:rPr>
            </w:pPr>
            <w:r>
              <w:rPr>
                <w:sz w:val="18"/>
              </w:rPr>
              <w:t>Implantation B: 108 périodes</w:t>
            </w:r>
          </w:p>
        </w:tc>
        <w:tc>
          <w:tcPr>
            <w:tcW w:w="3222" w:type="dxa"/>
            <w:tcBorders>
              <w:top w:val="nil"/>
              <w:left w:val="nil"/>
              <w:bottom w:val="single" w:sz="4" w:space="0" w:color="auto"/>
            </w:tcBorders>
            <w:vAlign w:val="center"/>
          </w:tcPr>
          <w:p>
            <w:pPr>
              <w:ind w:right="-15"/>
              <w:jc w:val="center"/>
              <w:rPr>
                <w:sz w:val="18"/>
              </w:rPr>
            </w:pPr>
            <w:r>
              <w:rPr>
                <w:sz w:val="18"/>
              </w:rPr>
              <w:t>Implantation C: 114 périodes</w:t>
            </w:r>
          </w:p>
        </w:tc>
      </w:tr>
      <w:tr>
        <w:trPr>
          <w:trHeight w:val="340"/>
          <w:jc w:val="center"/>
        </w:trPr>
        <w:tc>
          <w:tcPr>
            <w:tcW w:w="9665" w:type="dxa"/>
            <w:gridSpan w:val="3"/>
            <w:tcBorders>
              <w:bottom w:val="nil"/>
            </w:tcBorders>
            <w:vAlign w:val="center"/>
          </w:tcPr>
          <w:p>
            <w:pPr>
              <w:jc w:val="center"/>
              <w:rPr>
                <w:b/>
                <w:sz w:val="18"/>
              </w:rPr>
            </w:pPr>
            <w:r>
              <w:rPr>
                <w:b/>
                <w:sz w:val="18"/>
              </w:rPr>
              <w:t>3.  Calcul du reliquat:</w:t>
            </w:r>
          </w:p>
        </w:tc>
      </w:tr>
      <w:tr>
        <w:trPr>
          <w:trHeight w:hRule="exact" w:val="2098"/>
          <w:jc w:val="center"/>
        </w:trPr>
        <w:tc>
          <w:tcPr>
            <w:tcW w:w="9665" w:type="dxa"/>
            <w:gridSpan w:val="3"/>
            <w:tcBorders>
              <w:top w:val="nil"/>
            </w:tcBorders>
            <w:vAlign w:val="center"/>
          </w:tcPr>
          <w:p>
            <w:pPr>
              <w:ind w:left="179"/>
              <w:rPr>
                <w:sz w:val="18"/>
              </w:rPr>
            </w:pPr>
            <w:r>
              <w:rPr>
                <w:sz w:val="18"/>
              </w:rPr>
              <w:t xml:space="preserve">L’école opte pour un maître d’adaptation et de soutien pédagogique dans l’implantation B mais pas dans les 2 autres. </w:t>
            </w:r>
          </w:p>
          <w:p>
            <w:pPr>
              <w:rPr>
                <w:sz w:val="4"/>
              </w:rPr>
            </w:pPr>
          </w:p>
          <w:p>
            <w:pPr>
              <w:tabs>
                <w:tab w:val="left" w:pos="3060"/>
              </w:tabs>
              <w:ind w:left="719"/>
              <w:rPr>
                <w:sz w:val="18"/>
              </w:rPr>
            </w:pPr>
            <w:r>
              <w:rPr>
                <w:sz w:val="18"/>
              </w:rPr>
              <w:t xml:space="preserve">- implantation A </w:t>
            </w:r>
            <w:r>
              <w:rPr>
                <w:sz w:val="18"/>
              </w:rPr>
              <w:sym w:font="Wingdings" w:char="F0E8"/>
            </w:r>
            <w:r>
              <w:rPr>
                <w:sz w:val="18"/>
              </w:rPr>
              <w:t xml:space="preserve">    92 </w:t>
            </w:r>
            <w:r>
              <w:rPr>
                <w:sz w:val="18"/>
              </w:rPr>
              <w:tab/>
              <w:t xml:space="preserve">: 26 = 3 </w:t>
            </w:r>
            <w:r>
              <w:rPr>
                <w:sz w:val="18"/>
              </w:rPr>
              <w:tab/>
              <w:t>reste 14 périodes dont 12 restent dans l’implantation A</w:t>
            </w:r>
          </w:p>
          <w:p>
            <w:pPr>
              <w:tabs>
                <w:tab w:val="left" w:pos="3060"/>
              </w:tabs>
              <w:ind w:left="719"/>
              <w:rPr>
                <w:sz w:val="18"/>
              </w:rPr>
            </w:pPr>
            <w:r>
              <w:rPr>
                <w:sz w:val="18"/>
              </w:rPr>
              <w:t xml:space="preserve">- implantation B </w:t>
            </w:r>
            <w:r>
              <w:rPr>
                <w:sz w:val="18"/>
              </w:rPr>
              <w:sym w:font="Wingdings" w:char="F0E8"/>
            </w:r>
            <w:r>
              <w:rPr>
                <w:sz w:val="18"/>
              </w:rPr>
              <w:t xml:space="preserve"> (108 - 24): 26 = 3 </w:t>
            </w:r>
            <w:r>
              <w:rPr>
                <w:sz w:val="18"/>
              </w:rPr>
              <w:tab/>
              <w:t>reste   6 périodes</w:t>
            </w:r>
          </w:p>
          <w:p>
            <w:pPr>
              <w:tabs>
                <w:tab w:val="left" w:pos="3060"/>
              </w:tabs>
              <w:ind w:left="719"/>
              <w:rPr>
                <w:sz w:val="18"/>
              </w:rPr>
            </w:pPr>
            <w:r>
              <w:rPr>
                <w:sz w:val="18"/>
              </w:rPr>
              <w:t xml:space="preserve">- implantation C </w:t>
            </w:r>
            <w:r>
              <w:rPr>
                <w:sz w:val="18"/>
              </w:rPr>
              <w:sym w:font="Wingdings" w:char="F0E8"/>
            </w:r>
            <w:r>
              <w:rPr>
                <w:sz w:val="18"/>
              </w:rPr>
              <w:t xml:space="preserve">  114 </w:t>
            </w:r>
            <w:r>
              <w:rPr>
                <w:sz w:val="18"/>
              </w:rPr>
              <w:tab/>
              <w:t>: 26 = 4</w:t>
            </w:r>
            <w:r>
              <w:rPr>
                <w:sz w:val="18"/>
              </w:rPr>
              <w:tab/>
              <w:t>reste 10 périodes</w:t>
            </w:r>
          </w:p>
          <w:p>
            <w:pPr>
              <w:spacing w:before="80"/>
              <w:ind w:left="180"/>
              <w:jc w:val="both"/>
              <w:rPr>
                <w:sz w:val="18"/>
              </w:rPr>
            </w:pPr>
            <w:r>
              <w:rPr>
                <w:sz w:val="18"/>
              </w:rPr>
              <w:t>S’il s’agit d’une école officielle, le reliquat est de 2+6+10=18 périodes. Il est transféré à la zone ou à la commune.</w:t>
            </w:r>
          </w:p>
          <w:p>
            <w:pPr>
              <w:spacing w:before="80"/>
              <w:ind w:left="180"/>
              <w:jc w:val="both"/>
              <w:rPr>
                <w:sz w:val="18"/>
              </w:rPr>
            </w:pPr>
            <w:r>
              <w:rPr>
                <w:sz w:val="18"/>
              </w:rPr>
              <w:t>S’il s’agit d’une école libre, les périodes restantes dans chaque implantation sont additionnées puis divisées par 12, soit dans l’exemple présent 18: 12 = 1 multiple de 12 + 6 périodes. Le multiple de 12 reste à la disposition de l’école. Le reste de 6 périodes constitue le reliquat à transférer à l’entité.</w:t>
            </w:r>
          </w:p>
        </w:tc>
      </w:tr>
    </w:tbl>
    <w:p>
      <w:pPr>
        <w:rPr>
          <w:sz w:val="12"/>
          <w:szCs w:val="12"/>
        </w:rPr>
      </w:pPr>
    </w:p>
    <w:p>
      <w:pPr>
        <w:jc w:val="both"/>
        <w:rPr>
          <w:b/>
          <w:spacing w:val="-2"/>
          <w:u w:val="single"/>
        </w:rPr>
      </w:pPr>
    </w:p>
    <w:p>
      <w:pPr>
        <w:jc w:val="both"/>
        <w:rPr>
          <w:b/>
          <w:spacing w:val="-2"/>
          <w:u w:val="single"/>
        </w:rPr>
      </w:pPr>
      <w:r>
        <w:rPr>
          <w:b/>
          <w:spacing w:val="-2"/>
          <w:u w:val="single"/>
        </w:rPr>
        <w:t>Situation particulière des écoles ou implantations à comptage séparé de moins de 51 élèves.</w:t>
      </w:r>
    </w:p>
    <w:p>
      <w:pPr>
        <w:pStyle w:val="Textedebulles"/>
        <w:rPr>
          <w:rFonts w:ascii="Arial" w:hAnsi="Arial"/>
          <w:sz w:val="4"/>
          <w:szCs w:val="4"/>
        </w:rPr>
      </w:pPr>
    </w:p>
    <w:p>
      <w:pPr>
        <w:pStyle w:val="Corpsdetexte"/>
        <w:autoSpaceDE w:val="0"/>
        <w:autoSpaceDN w:val="0"/>
        <w:adjustRightInd w:val="0"/>
        <w:rPr>
          <w:spacing w:val="0"/>
        </w:rPr>
      </w:pPr>
      <w:r>
        <w:rPr>
          <w:spacing w:val="0"/>
        </w:rPr>
        <w:t>Les écoles ou implantations à comptage séparé de moins de 51 élèves ne sont pas soumises aux dispositions de l’article 36 du décret-cadre: il ne peut être prélevé un pourcentage de leur capital-périodes.</w:t>
      </w:r>
    </w:p>
    <w:p>
      <w:pPr>
        <w:autoSpaceDE w:val="0"/>
        <w:autoSpaceDN w:val="0"/>
        <w:adjustRightInd w:val="0"/>
        <w:jc w:val="both"/>
        <w:rPr>
          <w:sz w:val="4"/>
          <w:szCs w:val="4"/>
        </w:rPr>
      </w:pPr>
    </w:p>
    <w:p>
      <w:pPr>
        <w:autoSpaceDE w:val="0"/>
        <w:autoSpaceDN w:val="0"/>
        <w:adjustRightInd w:val="0"/>
        <w:jc w:val="both"/>
      </w:pPr>
      <w:r>
        <w:t>En ce qui concerne le premier palier (jusqu’à 19 élèves), après la division par 26 du capital-périodes, les 6 périodes qui "restent" ne constituent en aucun cas un reliquat et doivent être utilisées par l’école ou l’implantation à comptage séparé qui les génère.</w:t>
      </w:r>
    </w:p>
    <w:p>
      <w:pPr>
        <w:autoSpaceDE w:val="0"/>
        <w:autoSpaceDN w:val="0"/>
        <w:adjustRightInd w:val="0"/>
        <w:jc w:val="both"/>
        <w:rPr>
          <w:sz w:val="4"/>
          <w:szCs w:val="4"/>
        </w:rPr>
      </w:pPr>
    </w:p>
    <w:p>
      <w:pPr>
        <w:autoSpaceDE w:val="0"/>
        <w:autoSpaceDN w:val="0"/>
        <w:adjustRightInd w:val="0"/>
        <w:jc w:val="both"/>
      </w:pPr>
      <w:r>
        <w:t>Pour les 2 autres paliers (de 20 à 25 élèves et de 31 à 44 élèves), les 12 périodes qui restent après la division par 26 sont converties en mi-temps "maître d’adaptation et de soutien pédagogique" comme le prévoit l'article 34 et doivent être utilisées par l’école ou l’implantation à comptage séparé qui les génère.</w:t>
      </w:r>
    </w:p>
    <w:p>
      <w:pPr>
        <w:tabs>
          <w:tab w:val="left" w:pos="900"/>
        </w:tabs>
        <w:autoSpaceDE w:val="0"/>
        <w:autoSpaceDN w:val="0"/>
        <w:adjustRightInd w:val="0"/>
        <w:ind w:left="543"/>
        <w:jc w:val="both"/>
        <w:rPr>
          <w:szCs w:val="16"/>
        </w:rPr>
      </w:pPr>
      <w:bookmarkStart w:id="1049" w:name="_3.2.7._Cours_de"/>
      <w:bookmarkEnd w:id="1049"/>
    </w:p>
    <w:p>
      <w:pPr>
        <w:pStyle w:val="Titre3"/>
      </w:pPr>
      <w:bookmarkStart w:id="1050" w:name="_3.2.8._Modification_éventuelle"/>
      <w:bookmarkStart w:id="1051" w:name="Section3_2_8"/>
      <w:bookmarkStart w:id="1052" w:name="_Toc161569469"/>
      <w:bookmarkStart w:id="1053" w:name="_Toc165786048"/>
      <w:bookmarkStart w:id="1054" w:name="_Toc170813458"/>
      <w:bookmarkStart w:id="1055" w:name="_Toc170903326"/>
      <w:bookmarkStart w:id="1056" w:name="_Toc172713859"/>
      <w:bookmarkStart w:id="1057" w:name="_Toc172714104"/>
      <w:bookmarkStart w:id="1058" w:name="_Toc295932038"/>
      <w:bookmarkStart w:id="1059" w:name="_Toc295913768"/>
      <w:bookmarkStart w:id="1060" w:name="_Toc423420060"/>
      <w:bookmarkStart w:id="1061" w:name="_Toc450645267"/>
      <w:bookmarkStart w:id="1062" w:name="_Toc453942503"/>
      <w:bookmarkStart w:id="1063" w:name="_Toc454888120"/>
      <w:bookmarkStart w:id="1064" w:name="_Toc486241782"/>
      <w:bookmarkEnd w:id="1050"/>
      <w:r>
        <w:t>3.2.8.</w:t>
      </w:r>
      <w:bookmarkEnd w:id="1051"/>
      <w:r>
        <w:t xml:space="preserve"> Modification éventuelle de la répartition des périodes (article 37 du Décret-Cadre)</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pPr>
        <w:pStyle w:val="Corpsdetexte3"/>
        <w:rPr>
          <w:b w:val="0"/>
          <w:sz w:val="12"/>
          <w:szCs w:val="12"/>
        </w:rPr>
      </w:pPr>
    </w:p>
    <w:p>
      <w:pPr>
        <w:pStyle w:val="Corpsdetexte3"/>
        <w:rPr>
          <w:b w:val="0"/>
          <w:szCs w:val="22"/>
        </w:rPr>
      </w:pPr>
      <w:r>
        <w:rPr>
          <w:b w:val="0"/>
          <w:szCs w:val="22"/>
        </w:rPr>
        <w:t xml:space="preserve">Pour des raisons pédagogiques, notamment en raison de modifications importantes du nombre d’élèves dans certaines écoles ou implantations à comptage séparé entre le 15 janvier et le 30 septembre sans atteindre les 5 %, la répartition des périodes entre ces écoles ou implantations peut être modifiée, après avoir pris l’avis de l’organe de concertation (voir </w:t>
      </w:r>
      <w:hyperlink w:anchor="chapitre3_5" w:history="1">
        <w:r>
          <w:rPr>
            <w:rStyle w:val="Lienhypertexte"/>
            <w:b w:val="0"/>
            <w:color w:val="auto"/>
            <w:szCs w:val="22"/>
          </w:rPr>
          <w:t>chapitre 3.5.</w:t>
        </w:r>
      </w:hyperlink>
      <w:r>
        <w:rPr>
          <w:b w:val="0"/>
          <w:szCs w:val="22"/>
        </w:rPr>
        <w:t>) :</w:t>
      </w:r>
    </w:p>
    <w:p>
      <w:pPr>
        <w:pStyle w:val="Corpsdetexte3"/>
        <w:rPr>
          <w:b w:val="0"/>
          <w:sz w:val="4"/>
          <w:szCs w:val="4"/>
        </w:rPr>
      </w:pPr>
    </w:p>
    <w:p>
      <w:pPr>
        <w:spacing w:after="80"/>
        <w:ind w:left="359" w:hanging="360"/>
        <w:jc w:val="both"/>
        <w:rPr>
          <w:spacing w:val="-4"/>
          <w:szCs w:val="22"/>
        </w:rPr>
      </w:pPr>
      <w:r>
        <w:rPr>
          <w:spacing w:val="-2"/>
          <w:szCs w:val="22"/>
        </w:rPr>
        <w:t>-</w:t>
      </w:r>
      <w:r>
        <w:rPr>
          <w:spacing w:val="-2"/>
          <w:szCs w:val="22"/>
        </w:rPr>
        <w:tab/>
      </w:r>
      <w:r>
        <w:rPr>
          <w:spacing w:val="-4"/>
          <w:szCs w:val="22"/>
        </w:rPr>
        <w:t xml:space="preserve">dans l’enseignement de </w:t>
      </w:r>
      <w:smartTag w:uri="urn:schemas-microsoft-com:office:smarttags" w:element="PersonName">
        <w:smartTagPr>
          <w:attr w:name="ProductID" w:val="la F￩d￩ration Wallonie-Bruxelles"/>
        </w:smartTagPr>
        <w:r>
          <w:rPr>
            <w:spacing w:val="-4"/>
            <w:szCs w:val="22"/>
          </w:rPr>
          <w:t>la Fédération Wallonie-Bruxelles</w:t>
        </w:r>
      </w:smartTag>
      <w:r>
        <w:rPr>
          <w:spacing w:val="-4"/>
          <w:szCs w:val="22"/>
        </w:rPr>
        <w:t>, par le chef d’établissement s'il s'agit d'un transfert entre implantations d'une même école, par le Gouvernement s'il s'agit d'un transfert entre écoles;</w:t>
      </w:r>
    </w:p>
    <w:p>
      <w:pPr>
        <w:spacing w:after="80"/>
        <w:ind w:left="359" w:hanging="360"/>
        <w:jc w:val="both"/>
      </w:pPr>
      <w:r>
        <w:t>-</w:t>
      </w:r>
      <w:r>
        <w:tab/>
        <w:t>dans l’enseignement officiel subventionné, par le Pouvoir organisateur;</w:t>
      </w:r>
    </w:p>
    <w:p>
      <w:pPr>
        <w:ind w:left="359" w:hanging="360"/>
        <w:jc w:val="both"/>
      </w:pPr>
      <w:r>
        <w:t>-</w:t>
      </w:r>
      <w:r>
        <w:tab/>
        <w:t>dans l’enseignement libre, par le Pouvoir organisateur ou le conseil d’entité.</w:t>
      </w:r>
    </w:p>
    <w:p>
      <w:pPr>
        <w:ind w:left="180" w:firstLine="357"/>
        <w:jc w:val="both"/>
        <w:rPr>
          <w:sz w:val="12"/>
          <w:szCs w:val="12"/>
        </w:rPr>
      </w:pPr>
    </w:p>
    <w:p>
      <w:pPr>
        <w:pStyle w:val="Corpsdetexte"/>
        <w:rPr>
          <w:spacing w:val="0"/>
          <w:szCs w:val="22"/>
        </w:rPr>
      </w:pPr>
      <w:r>
        <w:rPr>
          <w:spacing w:val="0"/>
          <w:szCs w:val="22"/>
        </w:rPr>
        <w:t>Les motivations relatives à l’application de l’article 37 ne pouvant être déterminées au 15 janvier, la modification de la répartition des périodes entre les écoles ou implantations concernées ne peut dès lors être effectuée qu’après le calcul du capital-périodes et du reliquat de ces écoles ou implantations.</w:t>
      </w:r>
    </w:p>
    <w:p>
      <w:pPr>
        <w:pStyle w:val="Corpsdetexte"/>
        <w:rPr>
          <w:spacing w:val="0"/>
          <w:sz w:val="12"/>
          <w:szCs w:val="12"/>
        </w:rPr>
      </w:pPr>
    </w:p>
    <w:p>
      <w:pPr>
        <w:pStyle w:val="Corpsdetexte"/>
        <w:rPr>
          <w:spacing w:val="0"/>
          <w:szCs w:val="22"/>
        </w:rPr>
      </w:pPr>
      <w:r>
        <w:rPr>
          <w:spacing w:val="0"/>
          <w:szCs w:val="22"/>
        </w:rPr>
        <w:t>Les périodes transférées le 1</w:t>
      </w:r>
      <w:r>
        <w:rPr>
          <w:spacing w:val="0"/>
          <w:szCs w:val="22"/>
          <w:vertAlign w:val="superscript"/>
        </w:rPr>
        <w:t>er</w:t>
      </w:r>
      <w:r>
        <w:rPr>
          <w:spacing w:val="0"/>
          <w:szCs w:val="22"/>
        </w:rPr>
        <w:t xml:space="preserve"> septembre en application de l’article 37 le sont jusqu’au 30 septembre de l’année scolaire en cours. Les périodes transférées le 1</w:t>
      </w:r>
      <w:r>
        <w:rPr>
          <w:spacing w:val="0"/>
          <w:szCs w:val="22"/>
          <w:vertAlign w:val="superscript"/>
        </w:rPr>
        <w:t>er</w:t>
      </w:r>
      <w:r>
        <w:rPr>
          <w:spacing w:val="0"/>
          <w:szCs w:val="22"/>
        </w:rPr>
        <w:t xml:space="preserve"> octobre le sont jusqu’au 30 juin. </w:t>
      </w:r>
    </w:p>
    <w:p>
      <w:pPr>
        <w:jc w:val="both"/>
        <w:rPr>
          <w:i/>
          <w:sz w:val="12"/>
          <w:szCs w:val="12"/>
        </w:rPr>
      </w:pPr>
    </w:p>
    <w:p>
      <w:pPr>
        <w:jc w:val="both"/>
      </w:pPr>
      <w:r>
        <w:t xml:space="preserve">Cette disposition ne s’applique pas aux implantations bénéficiaires de l’encadrement différencié de classe 1, 2 et 3, ni au complément de capital-périodes accordé aux implantations bénéficiaires de l’encadrement différencié de classe 4 et 5. Toutefois, sur proposition motivée de la zone dans l’enseignement de </w:t>
      </w:r>
      <w:smartTag w:uri="urn:schemas-microsoft-com:office:smarttags" w:element="PersonName">
        <w:smartTagPr>
          <w:attr w:name="ProductID" w:val="la F￩d￩ration Wallonie-Bruxelles"/>
        </w:smartTagPr>
        <w:r>
          <w:t>la Fédération Wallonie-Bruxelles</w:t>
        </w:r>
      </w:smartTag>
      <w:r>
        <w:t xml:space="preserve">, du Pouvoir organisateur dans l’enseignement officiel subventionné et de l’entité dans l’enseignement libre subventionné, le Gouvernement peut, à titre exceptionnel, autoriser la zone, le P.O. ou l’entité à déroger à cette disposition. La demande de dérogation doit être introduite auprès de </w:t>
      </w:r>
      <w:smartTag w:uri="urn:schemas-microsoft-com:office:smarttags" w:element="PersonName">
        <w:smartTagPr>
          <w:attr w:name="ProductID" w:val="la Direction"/>
        </w:smartTagPr>
        <w:r>
          <w:t>la Direction</w:t>
        </w:r>
      </w:smartTag>
      <w:r>
        <w:t xml:space="preserve"> générale de l’Enseignement obligatoire - Bureau 2F211, Rue A. Lavallée, 1 à 1080 BRUXELLES. </w:t>
      </w:r>
    </w:p>
    <w:p>
      <w:pPr>
        <w:jc w:val="both"/>
      </w:pPr>
    </w:p>
    <w:p>
      <w:pPr>
        <w:jc w:val="both"/>
      </w:pPr>
      <w:bookmarkStart w:id="1065" w:name="_3.2.9.__Utilisation"/>
      <w:bookmarkEnd w:id="1065"/>
    </w:p>
    <w:p>
      <w:pPr>
        <w:pStyle w:val="Titre3"/>
      </w:pPr>
      <w:bookmarkStart w:id="1066" w:name="_3.2.10._Cours_de"/>
      <w:bookmarkStart w:id="1067" w:name="section3_2_10"/>
      <w:bookmarkStart w:id="1068" w:name="section3_2_9"/>
      <w:bookmarkStart w:id="1069" w:name="_Toc295932040"/>
      <w:bookmarkStart w:id="1070" w:name="_Toc295913770"/>
      <w:bookmarkStart w:id="1071" w:name="_Toc423420062"/>
      <w:bookmarkStart w:id="1072" w:name="_Toc450645269"/>
      <w:bookmarkStart w:id="1073" w:name="_Toc453942505"/>
      <w:bookmarkStart w:id="1074" w:name="_Toc454888122"/>
      <w:bookmarkStart w:id="1075" w:name="_Toc486241783"/>
      <w:bookmarkEnd w:id="1066"/>
      <w:r>
        <w:t>3.2.</w:t>
      </w:r>
      <w:bookmarkEnd w:id="1067"/>
      <w:r>
        <w:t>9</w:t>
      </w:r>
      <w:bookmarkEnd w:id="1068"/>
      <w:r>
        <w:t>. Cours de morale non confessionnelle, de religion</w:t>
      </w:r>
      <w:bookmarkEnd w:id="1069"/>
      <w:bookmarkEnd w:id="1070"/>
      <w:bookmarkEnd w:id="1071"/>
      <w:bookmarkEnd w:id="1072"/>
      <w:r>
        <w:t>, et de philosophie et de citoyenneté</w:t>
      </w:r>
      <w:bookmarkEnd w:id="1073"/>
      <w:bookmarkEnd w:id="1074"/>
      <w:bookmarkEnd w:id="1075"/>
    </w:p>
    <w:p>
      <w:pPr>
        <w:jc w:val="both"/>
        <w:rPr>
          <w:szCs w:val="22"/>
        </w:rPr>
      </w:pPr>
    </w:p>
    <w:p>
      <w:pPr>
        <w:jc w:val="both"/>
        <w:rPr>
          <w:szCs w:val="22"/>
        </w:rPr>
      </w:pPr>
      <w:r>
        <w:rPr>
          <w:rFonts w:cs="Arial"/>
          <w:szCs w:val="22"/>
        </w:rPr>
        <w:t xml:space="preserve">Une circulaire dédiée au cours de philosophie et citoyenneté (calcul de l’encadrement et affectation du personnel) </w:t>
      </w:r>
      <w:r>
        <w:rPr>
          <w:rFonts w:cs="Arial"/>
          <w:b/>
          <w:szCs w:val="22"/>
          <w:u w:val="single"/>
          <w:lang w:eastAsia="fr-BE"/>
        </w:rPr>
        <w:t>d</w:t>
      </w:r>
      <w:r>
        <w:rPr>
          <w:rFonts w:cs="Arial"/>
          <w:b/>
          <w:szCs w:val="22"/>
          <w:u w:val="single"/>
          <w:lang w:val="fr-BE" w:eastAsia="fr-BE"/>
        </w:rPr>
        <w:t xml:space="preserve">ans les établissements de l'enseignement officiel organisé et subventionné, et </w:t>
      </w:r>
      <w:r>
        <w:rPr>
          <w:rFonts w:cs="Arial"/>
          <w:b/>
          <w:szCs w:val="22"/>
          <w:u w:val="single"/>
          <w:lang w:eastAsia="fr-BE"/>
        </w:rPr>
        <w:t>d</w:t>
      </w:r>
      <w:r>
        <w:rPr>
          <w:rFonts w:cs="Arial"/>
          <w:b/>
          <w:szCs w:val="22"/>
          <w:u w:val="single"/>
          <w:lang w:val="fr-BE" w:eastAsia="fr-BE"/>
        </w:rPr>
        <w:t>ans les établissements de l'enseignement libre non confessionnel subventionné qui offrent le choix entre les différents cours de religion ou de morale non confessionnelle</w:t>
      </w:r>
      <w:r>
        <w:rPr>
          <w:rFonts w:cs="Arial"/>
          <w:szCs w:val="22"/>
        </w:rPr>
        <w:t>, paraîtra ultérieurement. Cette circulaire spécifique remplacera la circulaire n° 5822 et complètera la circulaire n° 5821 du 20/07/2016.</w:t>
      </w:r>
    </w:p>
    <w:p>
      <w:pPr>
        <w:jc w:val="both"/>
        <w:rPr>
          <w:rFonts w:cs="Arial"/>
          <w:szCs w:val="22"/>
        </w:rPr>
      </w:pPr>
    </w:p>
    <w:p>
      <w:pPr>
        <w:jc w:val="both"/>
        <w:rPr>
          <w:szCs w:val="22"/>
        </w:rPr>
      </w:pPr>
      <w:r>
        <w:rPr>
          <w:b/>
          <w:szCs w:val="22"/>
          <w:u w:val="single"/>
        </w:rPr>
        <w:t>Dans les écoles du réseau libre confessionnel et du réseau libre non confessionnel organisant uniquement le cours de morale non confessionnelle</w:t>
      </w:r>
      <w:r>
        <w:rPr>
          <w:szCs w:val="22"/>
        </w:rPr>
        <w:t>, le nombre de périodes de cours de religion ou de morale se calcule séparément pour toutes les implantations, à comptage séparé ou non, sur base des élèves régulièrement inscrits admissibles au 30 septembre, et est fixé selon le tableau ci-dessous</w:t>
      </w:r>
      <w:r>
        <w:rPr>
          <w:rFonts w:cs="Arial"/>
          <w:szCs w:val="22"/>
        </w:rPr>
        <w:t xml:space="preserve">. </w:t>
      </w:r>
    </w:p>
    <w:p>
      <w:pPr>
        <w:jc w:val="both"/>
        <w:rPr>
          <w:rFonts w:cs="Arial"/>
          <w:szCs w:val="22"/>
        </w:rPr>
      </w:pPr>
    </w:p>
    <w:p>
      <w:pPr>
        <w:jc w:val="both"/>
        <w:rPr>
          <w:rFonts w:cs="Arial"/>
          <w:szCs w:val="22"/>
        </w:rPr>
      </w:pPr>
      <w:r>
        <w:rPr>
          <w:rFonts w:cs="Arial"/>
          <w:szCs w:val="22"/>
        </w:rPr>
        <w:t>L’encadrement obtenu est applicable du 1</w:t>
      </w:r>
      <w:r>
        <w:rPr>
          <w:rFonts w:cs="Arial"/>
          <w:szCs w:val="22"/>
          <w:vertAlign w:val="superscript"/>
        </w:rPr>
        <w:t>er</w:t>
      </w:r>
      <w:r>
        <w:rPr>
          <w:rFonts w:cs="Arial"/>
          <w:szCs w:val="22"/>
        </w:rPr>
        <w:t xml:space="preserve"> octobre au 30 septembre suivant. </w:t>
      </w:r>
    </w:p>
    <w:p>
      <w:pPr>
        <w:jc w:val="both"/>
        <w:rPr>
          <w:rFonts w:cs="Arial"/>
          <w:szCs w:val="22"/>
        </w:rPr>
      </w:pPr>
    </w:p>
    <w:p>
      <w:pPr>
        <w:jc w:val="both"/>
        <w:rPr>
          <w:rFonts w:cs="Arial"/>
          <w:spacing w:val="-6"/>
          <w:szCs w:val="22"/>
        </w:rPr>
      </w:pPr>
      <w:r>
        <w:rPr>
          <w:rFonts w:cs="Arial"/>
          <w:spacing w:val="-6"/>
          <w:szCs w:val="22"/>
        </w:rPr>
        <w:t>L’ensemble des élèves admissibles de l’implantation inscrits dans chaque cours est pris en compte pour la constitution des groupes. Un groupe comprend 2 périodes de cours, qui peuvent être groupées.</w:t>
      </w:r>
    </w:p>
    <w:p>
      <w:pPr>
        <w:jc w:val="both"/>
        <w:rPr>
          <w:rFonts w:cs="Arial"/>
          <w:szCs w:val="22"/>
        </w:rPr>
      </w:pPr>
    </w:p>
    <w:p>
      <w:pPr>
        <w:jc w:val="both"/>
      </w:pPr>
      <w:r>
        <w:rPr>
          <w:rFonts w:cs="Arial"/>
          <w:szCs w:val="22"/>
        </w:rPr>
        <w:t>Le Pouvoir organisateur peut faire le choix de confier les 2 périodes de religion au titulaire de classe</w:t>
      </w:r>
      <w:r>
        <w:t xml:space="preserve"> ou à un maître spécial de religion. </w:t>
      </w:r>
    </w:p>
    <w:p>
      <w:pPr>
        <w:jc w:val="both"/>
        <w:rPr>
          <w:sz w:val="8"/>
          <w:szCs w:val="12"/>
        </w:rPr>
      </w:pPr>
    </w:p>
    <w:p>
      <w:pPr>
        <w:pStyle w:val="Corpsdetexte"/>
        <w:rPr>
          <w:rFonts w:cs="Times New Roman"/>
          <w:strike/>
          <w:spacing w:val="0"/>
        </w:rPr>
      </w:pPr>
      <w:r>
        <w:rPr>
          <w:rFonts w:cs="Times New Roman"/>
          <w:spacing w:val="0"/>
        </w:rPr>
        <w:t xml:space="preserve">Dans le cas où le titulaire de classe preste lui-même le cours de religion, 2 périodes de la grille-horaire, hors cours d'éducation physique et cours obligatoire de seconde langue, doivent être confiées à un autre instituteur afin de porter la grille-horaire hebdomadaire des élèves à 28 périodes. Il s'agit des périodes dites de compensation. </w:t>
      </w:r>
    </w:p>
    <w:p>
      <w:pPr>
        <w:jc w:val="both"/>
        <w:rPr>
          <w:strike/>
          <w:sz w:val="12"/>
          <w:szCs w:val="16"/>
        </w:rPr>
      </w:pPr>
    </w:p>
    <w:p>
      <w:pPr>
        <w:rPr>
          <w:b/>
          <w:strike/>
          <w:u w:val="single"/>
        </w:rPr>
      </w:pPr>
      <w:r>
        <w:rPr>
          <w:b/>
          <w:u w:val="single"/>
        </w:rPr>
        <w:t>Tableau - Périodes à réserver au cours de religion ou de morale non confessionnelle</w:t>
      </w:r>
    </w:p>
    <w:p>
      <w:pPr>
        <w:autoSpaceDE w:val="0"/>
        <w:autoSpaceDN w:val="0"/>
        <w:adjustRightInd w:val="0"/>
        <w:rPr>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32"/>
        <w:gridCol w:w="1199"/>
        <w:gridCol w:w="1199"/>
      </w:tblGrid>
      <w:tr>
        <w:trPr>
          <w:trHeight w:hRule="exact" w:val="284"/>
          <w:jc w:val="center"/>
        </w:trPr>
        <w:tc>
          <w:tcPr>
            <w:tcW w:w="2932" w:type="dxa"/>
            <w:vAlign w:val="center"/>
          </w:tcPr>
          <w:p>
            <w:pPr>
              <w:autoSpaceDE w:val="0"/>
              <w:autoSpaceDN w:val="0"/>
              <w:adjustRightInd w:val="0"/>
              <w:jc w:val="center"/>
              <w:rPr>
                <w:b/>
                <w:sz w:val="20"/>
                <w:szCs w:val="20"/>
                <w:u w:val="single"/>
              </w:rPr>
            </w:pPr>
            <w:r>
              <w:rPr>
                <w:b/>
                <w:sz w:val="20"/>
                <w:szCs w:val="20"/>
                <w:u w:val="single"/>
              </w:rPr>
              <w:t>Elèves</w:t>
            </w:r>
          </w:p>
        </w:tc>
        <w:tc>
          <w:tcPr>
            <w:tcW w:w="1199" w:type="dxa"/>
            <w:vAlign w:val="center"/>
          </w:tcPr>
          <w:p>
            <w:pPr>
              <w:autoSpaceDE w:val="0"/>
              <w:autoSpaceDN w:val="0"/>
              <w:adjustRightInd w:val="0"/>
              <w:jc w:val="center"/>
              <w:rPr>
                <w:b/>
                <w:sz w:val="20"/>
                <w:szCs w:val="20"/>
                <w:u w:val="single"/>
              </w:rPr>
            </w:pPr>
            <w:r>
              <w:rPr>
                <w:b/>
                <w:sz w:val="20"/>
                <w:szCs w:val="20"/>
                <w:u w:val="single"/>
              </w:rPr>
              <w:t>Groupes</w:t>
            </w:r>
          </w:p>
        </w:tc>
        <w:tc>
          <w:tcPr>
            <w:tcW w:w="1199" w:type="dxa"/>
            <w:vAlign w:val="center"/>
          </w:tcPr>
          <w:p>
            <w:pPr>
              <w:autoSpaceDE w:val="0"/>
              <w:autoSpaceDN w:val="0"/>
              <w:adjustRightInd w:val="0"/>
              <w:jc w:val="center"/>
              <w:rPr>
                <w:b/>
                <w:sz w:val="20"/>
                <w:szCs w:val="20"/>
                <w:u w:val="single"/>
              </w:rPr>
            </w:pPr>
            <w:r>
              <w:rPr>
                <w:b/>
                <w:sz w:val="20"/>
                <w:szCs w:val="20"/>
                <w:u w:val="single"/>
              </w:rPr>
              <w:t>Périodes</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4 – 25</w:t>
            </w:r>
          </w:p>
        </w:tc>
        <w:tc>
          <w:tcPr>
            <w:tcW w:w="1199" w:type="dxa"/>
            <w:vAlign w:val="center"/>
          </w:tcPr>
          <w:p>
            <w:pPr>
              <w:autoSpaceDE w:val="0"/>
              <w:autoSpaceDN w:val="0"/>
              <w:adjustRightInd w:val="0"/>
              <w:jc w:val="center"/>
              <w:rPr>
                <w:sz w:val="20"/>
                <w:szCs w:val="20"/>
              </w:rPr>
            </w:pPr>
            <w:r>
              <w:rPr>
                <w:sz w:val="20"/>
                <w:szCs w:val="20"/>
              </w:rPr>
              <w:t>1</w:t>
            </w:r>
          </w:p>
        </w:tc>
        <w:tc>
          <w:tcPr>
            <w:tcW w:w="1199" w:type="dxa"/>
            <w:vAlign w:val="center"/>
          </w:tcPr>
          <w:p>
            <w:pPr>
              <w:autoSpaceDE w:val="0"/>
              <w:autoSpaceDN w:val="0"/>
              <w:adjustRightInd w:val="0"/>
              <w:jc w:val="center"/>
              <w:rPr>
                <w:sz w:val="20"/>
                <w:szCs w:val="20"/>
              </w:rPr>
            </w:pPr>
            <w:r>
              <w:rPr>
                <w:sz w:val="20"/>
                <w:szCs w:val="20"/>
              </w:rPr>
              <w:t>2</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26 – 44</w:t>
            </w:r>
          </w:p>
        </w:tc>
        <w:tc>
          <w:tcPr>
            <w:tcW w:w="1199" w:type="dxa"/>
            <w:vAlign w:val="center"/>
          </w:tcPr>
          <w:p>
            <w:pPr>
              <w:autoSpaceDE w:val="0"/>
              <w:autoSpaceDN w:val="0"/>
              <w:adjustRightInd w:val="0"/>
              <w:jc w:val="center"/>
              <w:rPr>
                <w:sz w:val="20"/>
                <w:szCs w:val="20"/>
              </w:rPr>
            </w:pPr>
            <w:r>
              <w:rPr>
                <w:sz w:val="20"/>
                <w:szCs w:val="20"/>
              </w:rPr>
              <w:t>2</w:t>
            </w:r>
          </w:p>
        </w:tc>
        <w:tc>
          <w:tcPr>
            <w:tcW w:w="1199" w:type="dxa"/>
            <w:vAlign w:val="center"/>
          </w:tcPr>
          <w:p>
            <w:pPr>
              <w:autoSpaceDE w:val="0"/>
              <w:autoSpaceDN w:val="0"/>
              <w:adjustRightInd w:val="0"/>
              <w:jc w:val="center"/>
              <w:rPr>
                <w:sz w:val="20"/>
                <w:szCs w:val="20"/>
              </w:rPr>
            </w:pPr>
            <w:r>
              <w:rPr>
                <w:sz w:val="20"/>
                <w:szCs w:val="20"/>
              </w:rPr>
              <w:t>4</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45 – 71</w:t>
            </w:r>
          </w:p>
        </w:tc>
        <w:tc>
          <w:tcPr>
            <w:tcW w:w="1199" w:type="dxa"/>
            <w:vAlign w:val="center"/>
          </w:tcPr>
          <w:p>
            <w:pPr>
              <w:autoSpaceDE w:val="0"/>
              <w:autoSpaceDN w:val="0"/>
              <w:adjustRightInd w:val="0"/>
              <w:jc w:val="center"/>
              <w:rPr>
                <w:sz w:val="20"/>
                <w:szCs w:val="20"/>
              </w:rPr>
            </w:pPr>
            <w:r>
              <w:rPr>
                <w:sz w:val="20"/>
                <w:szCs w:val="20"/>
              </w:rPr>
              <w:t>3</w:t>
            </w:r>
          </w:p>
        </w:tc>
        <w:tc>
          <w:tcPr>
            <w:tcW w:w="1199" w:type="dxa"/>
            <w:vAlign w:val="center"/>
          </w:tcPr>
          <w:p>
            <w:pPr>
              <w:autoSpaceDE w:val="0"/>
              <w:autoSpaceDN w:val="0"/>
              <w:adjustRightInd w:val="0"/>
              <w:jc w:val="center"/>
              <w:rPr>
                <w:sz w:val="20"/>
                <w:szCs w:val="20"/>
              </w:rPr>
            </w:pPr>
            <w:r>
              <w:rPr>
                <w:sz w:val="20"/>
                <w:szCs w:val="20"/>
              </w:rPr>
              <w:t>6</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72 – 92</w:t>
            </w:r>
          </w:p>
        </w:tc>
        <w:tc>
          <w:tcPr>
            <w:tcW w:w="1199" w:type="dxa"/>
            <w:vAlign w:val="center"/>
          </w:tcPr>
          <w:p>
            <w:pPr>
              <w:autoSpaceDE w:val="0"/>
              <w:autoSpaceDN w:val="0"/>
              <w:adjustRightInd w:val="0"/>
              <w:jc w:val="center"/>
              <w:rPr>
                <w:sz w:val="20"/>
                <w:szCs w:val="20"/>
              </w:rPr>
            </w:pPr>
            <w:r>
              <w:rPr>
                <w:sz w:val="20"/>
                <w:szCs w:val="20"/>
              </w:rPr>
              <w:t>4</w:t>
            </w:r>
          </w:p>
        </w:tc>
        <w:tc>
          <w:tcPr>
            <w:tcW w:w="1199" w:type="dxa"/>
            <w:vAlign w:val="center"/>
          </w:tcPr>
          <w:p>
            <w:pPr>
              <w:autoSpaceDE w:val="0"/>
              <w:autoSpaceDN w:val="0"/>
              <w:adjustRightInd w:val="0"/>
              <w:jc w:val="center"/>
              <w:rPr>
                <w:sz w:val="20"/>
                <w:szCs w:val="20"/>
              </w:rPr>
            </w:pPr>
            <w:r>
              <w:rPr>
                <w:sz w:val="20"/>
                <w:szCs w:val="20"/>
              </w:rPr>
              <w:t>8</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93 – 114</w:t>
            </w:r>
          </w:p>
        </w:tc>
        <w:tc>
          <w:tcPr>
            <w:tcW w:w="1199" w:type="dxa"/>
            <w:vAlign w:val="center"/>
          </w:tcPr>
          <w:p>
            <w:pPr>
              <w:autoSpaceDE w:val="0"/>
              <w:autoSpaceDN w:val="0"/>
              <w:adjustRightInd w:val="0"/>
              <w:jc w:val="center"/>
              <w:rPr>
                <w:sz w:val="20"/>
                <w:szCs w:val="20"/>
              </w:rPr>
            </w:pPr>
            <w:r>
              <w:rPr>
                <w:sz w:val="20"/>
                <w:szCs w:val="20"/>
              </w:rPr>
              <w:t>5</w:t>
            </w:r>
          </w:p>
        </w:tc>
        <w:tc>
          <w:tcPr>
            <w:tcW w:w="1199" w:type="dxa"/>
            <w:vAlign w:val="center"/>
          </w:tcPr>
          <w:p>
            <w:pPr>
              <w:autoSpaceDE w:val="0"/>
              <w:autoSpaceDN w:val="0"/>
              <w:adjustRightInd w:val="0"/>
              <w:jc w:val="center"/>
              <w:rPr>
                <w:sz w:val="20"/>
                <w:szCs w:val="20"/>
              </w:rPr>
            </w:pPr>
            <w:r>
              <w:rPr>
                <w:sz w:val="20"/>
                <w:szCs w:val="20"/>
              </w:rPr>
              <w:t>10</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115 – 140</w:t>
            </w:r>
          </w:p>
        </w:tc>
        <w:tc>
          <w:tcPr>
            <w:tcW w:w="1199" w:type="dxa"/>
            <w:vAlign w:val="center"/>
          </w:tcPr>
          <w:p>
            <w:pPr>
              <w:autoSpaceDE w:val="0"/>
              <w:autoSpaceDN w:val="0"/>
              <w:adjustRightInd w:val="0"/>
              <w:jc w:val="center"/>
              <w:rPr>
                <w:sz w:val="20"/>
                <w:szCs w:val="20"/>
              </w:rPr>
            </w:pPr>
            <w:r>
              <w:rPr>
                <w:sz w:val="20"/>
                <w:szCs w:val="20"/>
              </w:rPr>
              <w:t>6</w:t>
            </w:r>
          </w:p>
        </w:tc>
        <w:tc>
          <w:tcPr>
            <w:tcW w:w="1199" w:type="dxa"/>
            <w:vAlign w:val="center"/>
          </w:tcPr>
          <w:p>
            <w:pPr>
              <w:autoSpaceDE w:val="0"/>
              <w:autoSpaceDN w:val="0"/>
              <w:adjustRightInd w:val="0"/>
              <w:jc w:val="center"/>
              <w:rPr>
                <w:sz w:val="20"/>
                <w:szCs w:val="20"/>
              </w:rPr>
            </w:pPr>
            <w:r>
              <w:rPr>
                <w:sz w:val="20"/>
                <w:szCs w:val="20"/>
              </w:rPr>
              <w:t>12</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141 – 163</w:t>
            </w:r>
          </w:p>
        </w:tc>
        <w:tc>
          <w:tcPr>
            <w:tcW w:w="1199" w:type="dxa"/>
            <w:vAlign w:val="center"/>
          </w:tcPr>
          <w:p>
            <w:pPr>
              <w:autoSpaceDE w:val="0"/>
              <w:autoSpaceDN w:val="0"/>
              <w:adjustRightInd w:val="0"/>
              <w:jc w:val="center"/>
              <w:rPr>
                <w:sz w:val="20"/>
                <w:szCs w:val="20"/>
              </w:rPr>
            </w:pPr>
            <w:r>
              <w:rPr>
                <w:sz w:val="20"/>
                <w:szCs w:val="20"/>
              </w:rPr>
              <w:t>7</w:t>
            </w:r>
          </w:p>
        </w:tc>
        <w:tc>
          <w:tcPr>
            <w:tcW w:w="1199" w:type="dxa"/>
            <w:vAlign w:val="center"/>
          </w:tcPr>
          <w:p>
            <w:pPr>
              <w:autoSpaceDE w:val="0"/>
              <w:autoSpaceDN w:val="0"/>
              <w:adjustRightInd w:val="0"/>
              <w:jc w:val="center"/>
              <w:rPr>
                <w:sz w:val="20"/>
                <w:szCs w:val="20"/>
              </w:rPr>
            </w:pPr>
            <w:r>
              <w:rPr>
                <w:sz w:val="20"/>
                <w:szCs w:val="20"/>
              </w:rPr>
              <w:t>14</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164 – 186</w:t>
            </w:r>
          </w:p>
        </w:tc>
        <w:tc>
          <w:tcPr>
            <w:tcW w:w="1199" w:type="dxa"/>
            <w:vAlign w:val="center"/>
          </w:tcPr>
          <w:p>
            <w:pPr>
              <w:autoSpaceDE w:val="0"/>
              <w:autoSpaceDN w:val="0"/>
              <w:adjustRightInd w:val="0"/>
              <w:jc w:val="center"/>
              <w:rPr>
                <w:sz w:val="20"/>
                <w:szCs w:val="20"/>
              </w:rPr>
            </w:pPr>
            <w:r>
              <w:rPr>
                <w:sz w:val="20"/>
                <w:szCs w:val="20"/>
              </w:rPr>
              <w:t>8</w:t>
            </w:r>
          </w:p>
        </w:tc>
        <w:tc>
          <w:tcPr>
            <w:tcW w:w="1199" w:type="dxa"/>
            <w:vAlign w:val="center"/>
          </w:tcPr>
          <w:p>
            <w:pPr>
              <w:autoSpaceDE w:val="0"/>
              <w:autoSpaceDN w:val="0"/>
              <w:adjustRightInd w:val="0"/>
              <w:jc w:val="center"/>
              <w:rPr>
                <w:sz w:val="20"/>
                <w:szCs w:val="20"/>
              </w:rPr>
            </w:pPr>
            <w:r>
              <w:rPr>
                <w:sz w:val="20"/>
                <w:szCs w:val="20"/>
              </w:rPr>
              <w:t>16</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187 – 209</w:t>
            </w:r>
          </w:p>
        </w:tc>
        <w:tc>
          <w:tcPr>
            <w:tcW w:w="1199" w:type="dxa"/>
            <w:vAlign w:val="center"/>
          </w:tcPr>
          <w:p>
            <w:pPr>
              <w:autoSpaceDE w:val="0"/>
              <w:autoSpaceDN w:val="0"/>
              <w:adjustRightInd w:val="0"/>
              <w:jc w:val="center"/>
              <w:rPr>
                <w:sz w:val="20"/>
                <w:szCs w:val="20"/>
              </w:rPr>
            </w:pPr>
            <w:r>
              <w:rPr>
                <w:sz w:val="20"/>
                <w:szCs w:val="20"/>
              </w:rPr>
              <w:t>9</w:t>
            </w:r>
          </w:p>
        </w:tc>
        <w:tc>
          <w:tcPr>
            <w:tcW w:w="1199" w:type="dxa"/>
            <w:vAlign w:val="center"/>
          </w:tcPr>
          <w:p>
            <w:pPr>
              <w:autoSpaceDE w:val="0"/>
              <w:autoSpaceDN w:val="0"/>
              <w:adjustRightInd w:val="0"/>
              <w:jc w:val="center"/>
              <w:rPr>
                <w:sz w:val="20"/>
                <w:szCs w:val="20"/>
              </w:rPr>
            </w:pPr>
            <w:r>
              <w:rPr>
                <w:sz w:val="20"/>
                <w:szCs w:val="20"/>
              </w:rPr>
              <w:t>18</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210 – 232</w:t>
            </w:r>
          </w:p>
        </w:tc>
        <w:tc>
          <w:tcPr>
            <w:tcW w:w="1199" w:type="dxa"/>
            <w:vAlign w:val="center"/>
          </w:tcPr>
          <w:p>
            <w:pPr>
              <w:autoSpaceDE w:val="0"/>
              <w:autoSpaceDN w:val="0"/>
              <w:adjustRightInd w:val="0"/>
              <w:jc w:val="center"/>
              <w:rPr>
                <w:sz w:val="20"/>
                <w:szCs w:val="20"/>
              </w:rPr>
            </w:pPr>
            <w:r>
              <w:rPr>
                <w:sz w:val="20"/>
                <w:szCs w:val="20"/>
              </w:rPr>
              <w:t>10</w:t>
            </w:r>
          </w:p>
        </w:tc>
        <w:tc>
          <w:tcPr>
            <w:tcW w:w="1199" w:type="dxa"/>
            <w:vAlign w:val="center"/>
          </w:tcPr>
          <w:p>
            <w:pPr>
              <w:autoSpaceDE w:val="0"/>
              <w:autoSpaceDN w:val="0"/>
              <w:adjustRightInd w:val="0"/>
              <w:jc w:val="center"/>
              <w:rPr>
                <w:sz w:val="20"/>
                <w:szCs w:val="20"/>
              </w:rPr>
            </w:pPr>
            <w:r>
              <w:rPr>
                <w:sz w:val="20"/>
                <w:szCs w:val="20"/>
              </w:rPr>
              <w:t>20</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233 – 255</w:t>
            </w:r>
          </w:p>
        </w:tc>
        <w:tc>
          <w:tcPr>
            <w:tcW w:w="1199" w:type="dxa"/>
            <w:vAlign w:val="center"/>
          </w:tcPr>
          <w:p>
            <w:pPr>
              <w:autoSpaceDE w:val="0"/>
              <w:autoSpaceDN w:val="0"/>
              <w:adjustRightInd w:val="0"/>
              <w:jc w:val="center"/>
              <w:rPr>
                <w:sz w:val="20"/>
                <w:szCs w:val="20"/>
              </w:rPr>
            </w:pPr>
            <w:r>
              <w:rPr>
                <w:sz w:val="20"/>
                <w:szCs w:val="20"/>
              </w:rPr>
              <w:t>11</w:t>
            </w:r>
          </w:p>
        </w:tc>
        <w:tc>
          <w:tcPr>
            <w:tcW w:w="1199" w:type="dxa"/>
            <w:vAlign w:val="center"/>
          </w:tcPr>
          <w:p>
            <w:pPr>
              <w:autoSpaceDE w:val="0"/>
              <w:autoSpaceDN w:val="0"/>
              <w:adjustRightInd w:val="0"/>
              <w:jc w:val="center"/>
              <w:rPr>
                <w:sz w:val="20"/>
                <w:szCs w:val="20"/>
              </w:rPr>
            </w:pPr>
            <w:r>
              <w:rPr>
                <w:sz w:val="20"/>
                <w:szCs w:val="20"/>
              </w:rPr>
              <w:t>22</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256 – 278</w:t>
            </w:r>
          </w:p>
        </w:tc>
        <w:tc>
          <w:tcPr>
            <w:tcW w:w="1199" w:type="dxa"/>
            <w:vAlign w:val="center"/>
          </w:tcPr>
          <w:p>
            <w:pPr>
              <w:autoSpaceDE w:val="0"/>
              <w:autoSpaceDN w:val="0"/>
              <w:adjustRightInd w:val="0"/>
              <w:jc w:val="center"/>
              <w:rPr>
                <w:sz w:val="20"/>
                <w:szCs w:val="20"/>
              </w:rPr>
            </w:pPr>
            <w:r>
              <w:rPr>
                <w:sz w:val="20"/>
                <w:szCs w:val="20"/>
              </w:rPr>
              <w:t>12</w:t>
            </w:r>
          </w:p>
        </w:tc>
        <w:tc>
          <w:tcPr>
            <w:tcW w:w="1199" w:type="dxa"/>
            <w:vAlign w:val="center"/>
          </w:tcPr>
          <w:p>
            <w:pPr>
              <w:autoSpaceDE w:val="0"/>
              <w:autoSpaceDN w:val="0"/>
              <w:adjustRightInd w:val="0"/>
              <w:jc w:val="center"/>
              <w:rPr>
                <w:sz w:val="20"/>
                <w:szCs w:val="20"/>
              </w:rPr>
            </w:pPr>
            <w:r>
              <w:rPr>
                <w:sz w:val="20"/>
                <w:szCs w:val="20"/>
              </w:rPr>
              <w:t>24</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279 – 301</w:t>
            </w:r>
          </w:p>
        </w:tc>
        <w:tc>
          <w:tcPr>
            <w:tcW w:w="1199" w:type="dxa"/>
            <w:vAlign w:val="center"/>
          </w:tcPr>
          <w:p>
            <w:pPr>
              <w:autoSpaceDE w:val="0"/>
              <w:autoSpaceDN w:val="0"/>
              <w:adjustRightInd w:val="0"/>
              <w:jc w:val="center"/>
              <w:rPr>
                <w:sz w:val="20"/>
                <w:szCs w:val="20"/>
              </w:rPr>
            </w:pPr>
            <w:r>
              <w:rPr>
                <w:sz w:val="20"/>
                <w:szCs w:val="20"/>
              </w:rPr>
              <w:t>13</w:t>
            </w:r>
          </w:p>
        </w:tc>
        <w:tc>
          <w:tcPr>
            <w:tcW w:w="1199" w:type="dxa"/>
            <w:vAlign w:val="center"/>
          </w:tcPr>
          <w:p>
            <w:pPr>
              <w:autoSpaceDE w:val="0"/>
              <w:autoSpaceDN w:val="0"/>
              <w:adjustRightInd w:val="0"/>
              <w:jc w:val="center"/>
              <w:rPr>
                <w:sz w:val="20"/>
                <w:szCs w:val="20"/>
              </w:rPr>
            </w:pPr>
            <w:r>
              <w:rPr>
                <w:sz w:val="20"/>
                <w:szCs w:val="20"/>
              </w:rPr>
              <w:t>26</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302 – 324</w:t>
            </w:r>
          </w:p>
        </w:tc>
        <w:tc>
          <w:tcPr>
            <w:tcW w:w="1199" w:type="dxa"/>
            <w:vAlign w:val="center"/>
          </w:tcPr>
          <w:p>
            <w:pPr>
              <w:autoSpaceDE w:val="0"/>
              <w:autoSpaceDN w:val="0"/>
              <w:adjustRightInd w:val="0"/>
              <w:jc w:val="center"/>
              <w:rPr>
                <w:sz w:val="20"/>
                <w:szCs w:val="20"/>
              </w:rPr>
            </w:pPr>
            <w:r>
              <w:rPr>
                <w:sz w:val="20"/>
                <w:szCs w:val="20"/>
              </w:rPr>
              <w:t>14</w:t>
            </w:r>
          </w:p>
        </w:tc>
        <w:tc>
          <w:tcPr>
            <w:tcW w:w="1199" w:type="dxa"/>
            <w:vAlign w:val="center"/>
          </w:tcPr>
          <w:p>
            <w:pPr>
              <w:autoSpaceDE w:val="0"/>
              <w:autoSpaceDN w:val="0"/>
              <w:adjustRightInd w:val="0"/>
              <w:jc w:val="center"/>
              <w:rPr>
                <w:sz w:val="20"/>
                <w:szCs w:val="20"/>
              </w:rPr>
            </w:pPr>
            <w:r>
              <w:rPr>
                <w:sz w:val="20"/>
                <w:szCs w:val="20"/>
              </w:rPr>
              <w:t>28</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325 – 347</w:t>
            </w:r>
          </w:p>
        </w:tc>
        <w:tc>
          <w:tcPr>
            <w:tcW w:w="1199" w:type="dxa"/>
            <w:vAlign w:val="center"/>
          </w:tcPr>
          <w:p>
            <w:pPr>
              <w:autoSpaceDE w:val="0"/>
              <w:autoSpaceDN w:val="0"/>
              <w:adjustRightInd w:val="0"/>
              <w:jc w:val="center"/>
              <w:rPr>
                <w:sz w:val="20"/>
                <w:szCs w:val="20"/>
              </w:rPr>
            </w:pPr>
            <w:r>
              <w:rPr>
                <w:sz w:val="20"/>
                <w:szCs w:val="20"/>
              </w:rPr>
              <w:t>15</w:t>
            </w:r>
          </w:p>
        </w:tc>
        <w:tc>
          <w:tcPr>
            <w:tcW w:w="1199" w:type="dxa"/>
            <w:vAlign w:val="center"/>
          </w:tcPr>
          <w:p>
            <w:pPr>
              <w:autoSpaceDE w:val="0"/>
              <w:autoSpaceDN w:val="0"/>
              <w:adjustRightInd w:val="0"/>
              <w:jc w:val="center"/>
              <w:rPr>
                <w:sz w:val="20"/>
                <w:szCs w:val="20"/>
              </w:rPr>
            </w:pPr>
            <w:r>
              <w:rPr>
                <w:sz w:val="20"/>
                <w:szCs w:val="20"/>
              </w:rPr>
              <w:t>30</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348 – 370</w:t>
            </w:r>
          </w:p>
        </w:tc>
        <w:tc>
          <w:tcPr>
            <w:tcW w:w="1199" w:type="dxa"/>
            <w:vAlign w:val="center"/>
          </w:tcPr>
          <w:p>
            <w:pPr>
              <w:autoSpaceDE w:val="0"/>
              <w:autoSpaceDN w:val="0"/>
              <w:adjustRightInd w:val="0"/>
              <w:jc w:val="center"/>
              <w:rPr>
                <w:sz w:val="20"/>
                <w:szCs w:val="20"/>
              </w:rPr>
            </w:pPr>
            <w:r>
              <w:rPr>
                <w:sz w:val="20"/>
                <w:szCs w:val="20"/>
              </w:rPr>
              <w:t>16</w:t>
            </w:r>
          </w:p>
        </w:tc>
        <w:tc>
          <w:tcPr>
            <w:tcW w:w="1199" w:type="dxa"/>
            <w:vAlign w:val="center"/>
          </w:tcPr>
          <w:p>
            <w:pPr>
              <w:autoSpaceDE w:val="0"/>
              <w:autoSpaceDN w:val="0"/>
              <w:adjustRightInd w:val="0"/>
              <w:jc w:val="center"/>
              <w:rPr>
                <w:sz w:val="20"/>
                <w:szCs w:val="20"/>
              </w:rPr>
            </w:pPr>
            <w:r>
              <w:rPr>
                <w:sz w:val="20"/>
                <w:szCs w:val="20"/>
              </w:rPr>
              <w:t>32</w:t>
            </w:r>
          </w:p>
        </w:tc>
      </w:tr>
      <w:tr>
        <w:trPr>
          <w:trHeight w:hRule="exact" w:val="227"/>
          <w:jc w:val="center"/>
        </w:trPr>
        <w:tc>
          <w:tcPr>
            <w:tcW w:w="2932" w:type="dxa"/>
            <w:vAlign w:val="center"/>
          </w:tcPr>
          <w:p>
            <w:pPr>
              <w:autoSpaceDE w:val="0"/>
              <w:autoSpaceDN w:val="0"/>
              <w:adjustRightInd w:val="0"/>
              <w:jc w:val="center"/>
              <w:rPr>
                <w:sz w:val="20"/>
                <w:szCs w:val="20"/>
              </w:rPr>
            </w:pPr>
            <w:r>
              <w:rPr>
                <w:sz w:val="20"/>
                <w:szCs w:val="20"/>
              </w:rPr>
              <w:t>par tranche de 23 élèves</w:t>
            </w:r>
          </w:p>
        </w:tc>
        <w:tc>
          <w:tcPr>
            <w:tcW w:w="1199" w:type="dxa"/>
            <w:vAlign w:val="center"/>
          </w:tcPr>
          <w:p>
            <w:pPr>
              <w:autoSpaceDE w:val="0"/>
              <w:autoSpaceDN w:val="0"/>
              <w:adjustRightInd w:val="0"/>
              <w:jc w:val="center"/>
              <w:rPr>
                <w:sz w:val="20"/>
                <w:szCs w:val="20"/>
              </w:rPr>
            </w:pPr>
            <w:r>
              <w:rPr>
                <w:sz w:val="20"/>
                <w:szCs w:val="20"/>
              </w:rPr>
              <w:t>+1</w:t>
            </w:r>
          </w:p>
        </w:tc>
        <w:tc>
          <w:tcPr>
            <w:tcW w:w="1199" w:type="dxa"/>
            <w:vAlign w:val="center"/>
          </w:tcPr>
          <w:p>
            <w:pPr>
              <w:autoSpaceDE w:val="0"/>
              <w:autoSpaceDN w:val="0"/>
              <w:adjustRightInd w:val="0"/>
              <w:jc w:val="center"/>
              <w:rPr>
                <w:sz w:val="20"/>
                <w:szCs w:val="20"/>
              </w:rPr>
            </w:pPr>
            <w:r>
              <w:rPr>
                <w:sz w:val="20"/>
                <w:szCs w:val="20"/>
              </w:rPr>
              <w:t>+ 2</w:t>
            </w:r>
          </w:p>
        </w:tc>
      </w:tr>
    </w:tbl>
    <w:p>
      <w:pPr>
        <w:jc w:val="both"/>
      </w:pPr>
      <w:bookmarkStart w:id="1076" w:name="_Toc139251079"/>
    </w:p>
    <w:p>
      <w:pPr>
        <w:pStyle w:val="Titre3"/>
      </w:pPr>
      <w:r>
        <w:br w:type="page"/>
      </w:r>
      <w:bookmarkStart w:id="1077" w:name="Section3_2_11"/>
      <w:bookmarkStart w:id="1078" w:name="_Toc423420063"/>
      <w:bookmarkStart w:id="1079" w:name="_Toc450645270"/>
      <w:bookmarkStart w:id="1080" w:name="_Toc453942506"/>
      <w:bookmarkStart w:id="1081" w:name="_Toc454888123"/>
      <w:bookmarkStart w:id="1082" w:name="_Toc486241784"/>
      <w:r>
        <w:t xml:space="preserve">3.2.10. </w:t>
      </w:r>
      <w:bookmarkEnd w:id="1077"/>
      <w:r>
        <w:t>Mesure permettant la création de nouvelle(s) classe(s) au niveau primaire au 1</w:t>
      </w:r>
      <w:r>
        <w:rPr>
          <w:vertAlign w:val="superscript"/>
        </w:rPr>
        <w:t>er</w:t>
      </w:r>
      <w:r>
        <w:t xml:space="preserve"> septembre 201</w:t>
      </w:r>
      <w:bookmarkEnd w:id="1078"/>
      <w:bookmarkEnd w:id="1079"/>
      <w:bookmarkEnd w:id="1080"/>
      <w:bookmarkEnd w:id="1081"/>
      <w:r>
        <w:t>7</w:t>
      </w:r>
      <w:bookmarkEnd w:id="1082"/>
    </w:p>
    <w:p>
      <w:pPr>
        <w:jc w:val="both"/>
        <w:rPr>
          <w:strike/>
          <w:lang w:val="fr-BE"/>
        </w:rPr>
      </w:pPr>
    </w:p>
    <w:p>
      <w:pPr>
        <w:jc w:val="both"/>
        <w:rPr>
          <w:rFonts w:cs="Arial"/>
          <w:szCs w:val="22"/>
        </w:rPr>
      </w:pPr>
      <w:r>
        <w:rPr>
          <w:rFonts w:cs="Arial"/>
          <w:szCs w:val="22"/>
          <w:lang w:val="fr-BE"/>
        </w:rPr>
        <w:t>T</w:t>
      </w:r>
      <w:r>
        <w:rPr>
          <w:rFonts w:cs="Arial"/>
          <w:szCs w:val="22"/>
        </w:rPr>
        <w:t>out pouvoir organisateur organisant un établissement d’enseignement fondamental ou primaire qui, en fonction d’une disponibilité de locaux dans une de ses implantations, souhaite créer une ou des classes supplémentaires en raison de l’évolution démographique, pourra recevoir, au 1</w:t>
      </w:r>
      <w:r>
        <w:rPr>
          <w:rFonts w:cs="Arial"/>
          <w:szCs w:val="22"/>
          <w:vertAlign w:val="superscript"/>
        </w:rPr>
        <w:t>er</w:t>
      </w:r>
      <w:r>
        <w:rPr>
          <w:rFonts w:cs="Arial"/>
          <w:szCs w:val="22"/>
        </w:rPr>
        <w:t xml:space="preserve"> septembre 2017, 26 périodes d’encadrement (24 périodes de titulaire et 2 périodes d’éducation physique) par classe créée pour autant que :</w:t>
      </w:r>
    </w:p>
    <w:p>
      <w:pPr>
        <w:numPr>
          <w:ilvl w:val="0"/>
          <w:numId w:val="161"/>
        </w:numPr>
        <w:tabs>
          <w:tab w:val="clear" w:pos="1440"/>
        </w:tabs>
        <w:ind w:left="720"/>
        <w:jc w:val="both"/>
        <w:rPr>
          <w:rFonts w:cs="Arial"/>
          <w:szCs w:val="22"/>
        </w:rPr>
      </w:pPr>
      <w:r>
        <w:rPr>
          <w:rFonts w:cs="Arial"/>
          <w:szCs w:val="22"/>
        </w:rPr>
        <w:t xml:space="preserve">les implantations concernées soient situées dans une des communes reprises à </w:t>
      </w:r>
      <w:hyperlink w:anchor="annexe3_4_5" w:history="1">
        <w:r>
          <w:rPr>
            <w:rStyle w:val="Lienhypertexte"/>
            <w:rFonts w:cs="Arial"/>
            <w:color w:val="auto"/>
            <w:szCs w:val="22"/>
          </w:rPr>
          <w:t>l’annexe 3.4.5.</w:t>
        </w:r>
      </w:hyperlink>
      <w:r>
        <w:rPr>
          <w:rFonts w:cs="Arial"/>
          <w:szCs w:val="22"/>
        </w:rPr>
        <w:t> ;</w:t>
      </w:r>
    </w:p>
    <w:p>
      <w:pPr>
        <w:numPr>
          <w:ilvl w:val="0"/>
          <w:numId w:val="161"/>
        </w:numPr>
        <w:tabs>
          <w:tab w:val="clear" w:pos="1440"/>
        </w:tabs>
        <w:ind w:left="720"/>
        <w:jc w:val="both"/>
        <w:rPr>
          <w:rFonts w:cs="Arial"/>
          <w:szCs w:val="22"/>
        </w:rPr>
      </w:pPr>
      <w:r>
        <w:rPr>
          <w:rFonts w:cs="Arial"/>
          <w:szCs w:val="22"/>
        </w:rPr>
        <w:t>le nombre global d’élèves de l’année d’études concernée dans l’implantation soit, au 30 septembre 2017, supérieur d’au moins 22 élèves (par classe créée) au nombre d’élèves de la même année d’étude lors du comptage du 15 janvier 2017 dans la même implantation ;</w:t>
      </w:r>
    </w:p>
    <w:p>
      <w:pPr>
        <w:numPr>
          <w:ilvl w:val="0"/>
          <w:numId w:val="161"/>
        </w:numPr>
        <w:tabs>
          <w:tab w:val="clear" w:pos="1440"/>
        </w:tabs>
        <w:ind w:left="720"/>
        <w:jc w:val="both"/>
        <w:rPr>
          <w:rFonts w:cs="Arial"/>
          <w:szCs w:val="22"/>
        </w:rPr>
      </w:pPr>
      <w:r>
        <w:rPr>
          <w:rFonts w:cs="Arial"/>
          <w:szCs w:val="22"/>
        </w:rPr>
        <w:t>cette augmentation du nombre d’élèves ne résulte pas d’une restructuration au sens prévu par l’Arrêté royal du 2 août 1984 portant rationalisation et programmation de l’enseignement maternel et primaire ordinaire ;</w:t>
      </w:r>
    </w:p>
    <w:p>
      <w:pPr>
        <w:numPr>
          <w:ilvl w:val="0"/>
          <w:numId w:val="161"/>
        </w:numPr>
        <w:tabs>
          <w:tab w:val="clear" w:pos="1440"/>
        </w:tabs>
        <w:ind w:left="720"/>
        <w:jc w:val="both"/>
        <w:rPr>
          <w:rFonts w:cs="Arial"/>
          <w:szCs w:val="22"/>
        </w:rPr>
      </w:pPr>
      <w:r>
        <w:rPr>
          <w:rFonts w:cs="Arial"/>
          <w:szCs w:val="22"/>
        </w:rPr>
        <w:t>cette implantation n’active pas la disposition du Décret du 3 mai 2012 visant à permettre l’octroi de périodes supplémentaires en cas d’augmentation de sa population scolaire de 10 %.</w:t>
      </w:r>
    </w:p>
    <w:p>
      <w:pPr>
        <w:jc w:val="both"/>
        <w:rPr>
          <w:rFonts w:cs="Arial"/>
          <w:szCs w:val="22"/>
        </w:rPr>
      </w:pPr>
    </w:p>
    <w:p>
      <w:pPr>
        <w:jc w:val="both"/>
        <w:rPr>
          <w:rFonts w:cs="Arial"/>
          <w:szCs w:val="22"/>
        </w:rPr>
      </w:pPr>
      <w:r>
        <w:rPr>
          <w:rFonts w:cs="Arial"/>
          <w:szCs w:val="22"/>
        </w:rPr>
        <w:t xml:space="preserve">Ces périodes n’entreront pas en ligne de compte pour l’application des articles 34 (reliquat), 36 (% zonal) et 37 (transfert de périodes entre implantations) du Décret du 13 juillet 1998. </w:t>
      </w:r>
    </w:p>
    <w:p>
      <w:pPr>
        <w:jc w:val="both"/>
        <w:rPr>
          <w:szCs w:val="22"/>
        </w:rPr>
      </w:pPr>
    </w:p>
    <w:p>
      <w:pPr>
        <w:jc w:val="both"/>
        <w:rPr>
          <w:rFonts w:cs="Arial"/>
          <w:szCs w:val="22"/>
        </w:rPr>
      </w:pPr>
      <w:r>
        <w:rPr>
          <w:rFonts w:cs="Arial"/>
          <w:szCs w:val="22"/>
        </w:rPr>
        <w:t>En cas de recomptage au 30 septembre 2017, cette mesure ne sera plus d’application à partir du 1</w:t>
      </w:r>
      <w:r>
        <w:rPr>
          <w:rFonts w:cs="Arial"/>
          <w:szCs w:val="22"/>
          <w:vertAlign w:val="superscript"/>
        </w:rPr>
        <w:t>er</w:t>
      </w:r>
      <w:r>
        <w:rPr>
          <w:rFonts w:cs="Arial"/>
          <w:szCs w:val="22"/>
        </w:rPr>
        <w:t xml:space="preserve"> octobre 2017. Le nombre de périodes dont bénéficiera l’implantation à partir de cette date sera fonction de la population prise en considération au 30 septembre 2017.</w:t>
      </w:r>
    </w:p>
    <w:p>
      <w:pPr>
        <w:jc w:val="both"/>
        <w:rPr>
          <w:szCs w:val="22"/>
        </w:rPr>
      </w:pPr>
    </w:p>
    <w:p>
      <w:pPr>
        <w:jc w:val="both"/>
        <w:rPr>
          <w:szCs w:val="22"/>
          <w:u w:val="single"/>
        </w:rPr>
      </w:pPr>
      <w:r>
        <w:rPr>
          <w:szCs w:val="22"/>
        </w:rPr>
        <w:t xml:space="preserve">Pour pouvoir bénéficier de cette disposition, les directions et les Pouvoirs organisateurs concernés </w:t>
      </w:r>
      <w:r>
        <w:rPr>
          <w:szCs w:val="22"/>
          <w:u w:val="single"/>
        </w:rPr>
        <w:t>doivent en faire la demande</w:t>
      </w:r>
      <w:r>
        <w:rPr>
          <w:szCs w:val="22"/>
        </w:rPr>
        <w:t xml:space="preserve"> à la Direction générale de l’Enseignement obligatoire </w:t>
      </w:r>
      <w:r>
        <w:rPr>
          <w:szCs w:val="22"/>
          <w:u w:val="single"/>
        </w:rPr>
        <w:t>pour le mardi 5 septembre 2017 au plus tard</w:t>
      </w:r>
      <w:r>
        <w:rPr>
          <w:szCs w:val="22"/>
        </w:rPr>
        <w:t xml:space="preserve"> au moyen du formulaire repris en </w:t>
      </w:r>
      <w:hyperlink w:anchor="annexe3_4_4" w:history="1">
        <w:r>
          <w:rPr>
            <w:rStyle w:val="Lienhypertexte"/>
            <w:color w:val="auto"/>
            <w:szCs w:val="22"/>
          </w:rPr>
          <w:t>annexe 3.4.4.</w:t>
        </w:r>
      </w:hyperlink>
      <w:r>
        <w:rPr>
          <w:szCs w:val="22"/>
        </w:rPr>
        <w:t xml:space="preserve"> (un formulaire par implantation ET par année d’étude). </w:t>
      </w:r>
    </w:p>
    <w:p>
      <w:pPr>
        <w:rPr>
          <w:rFonts w:cs="Arial"/>
          <w:szCs w:val="22"/>
        </w:rPr>
      </w:pPr>
    </w:p>
    <w:p>
      <w:pPr>
        <w:jc w:val="both"/>
        <w:rPr>
          <w:rFonts w:cs="Arial"/>
          <w:szCs w:val="22"/>
        </w:rPr>
      </w:pPr>
      <w:r>
        <w:rPr>
          <w:rFonts w:cs="Arial"/>
          <w:szCs w:val="22"/>
        </w:rPr>
        <w:t xml:space="preserve">Le Pouvoir organisateur (OS – LS) ou le chef d’établissement (FWB) ne sont pas informés par retour de courrier de la décision de </w:t>
      </w: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 Il est dès lors de la responsabilité du Pouvoir organisateur (OS – LS) ou du chef d’établissement (FWB) d’engager du personnel sans attendre la confirmation de l’Administration. Si après vérification, l’encadrement supplémentaire est confirmé, il fera l’objet d’une remarque sur la dépêche portant sur l’encadrement valable du 1</w:t>
      </w:r>
      <w:r>
        <w:rPr>
          <w:rFonts w:cs="Arial"/>
          <w:szCs w:val="22"/>
          <w:vertAlign w:val="superscript"/>
        </w:rPr>
        <w:t>er</w:t>
      </w:r>
      <w:r>
        <w:rPr>
          <w:rFonts w:cs="Arial"/>
          <w:szCs w:val="22"/>
        </w:rPr>
        <w:t xml:space="preserve"> octobre au 30 juin. </w:t>
      </w:r>
    </w:p>
    <w:p>
      <w:pPr>
        <w:rPr>
          <w:rFonts w:cs="Arial"/>
          <w:szCs w:val="22"/>
        </w:rPr>
      </w:pPr>
    </w:p>
    <w:p>
      <w:pPr>
        <w:jc w:val="both"/>
        <w:rPr>
          <w:rFonts w:cs="Arial"/>
          <w:szCs w:val="22"/>
        </w:rPr>
      </w:pPr>
    </w:p>
    <w:p>
      <w:pPr>
        <w:pStyle w:val="Titre2"/>
      </w:pPr>
      <w:bookmarkStart w:id="1083" w:name="_Chapitre_3.3._Encadrement_1"/>
      <w:bookmarkStart w:id="1084" w:name="_Chapitre_3.3_Taille"/>
      <w:bookmarkStart w:id="1085" w:name="_Toc295932041"/>
      <w:bookmarkStart w:id="1086" w:name="_Toc295913771"/>
      <w:bookmarkEnd w:id="1083"/>
      <w:bookmarkEnd w:id="1084"/>
      <w:r>
        <w:rPr>
          <w:b w:val="0"/>
        </w:rPr>
        <w:br w:type="page"/>
      </w:r>
      <w:bookmarkStart w:id="1087" w:name="chapitre3_3"/>
      <w:bookmarkStart w:id="1088" w:name="_Toc423420064"/>
      <w:bookmarkStart w:id="1089" w:name="_Toc450645271"/>
      <w:bookmarkStart w:id="1090" w:name="_Toc453942507"/>
      <w:bookmarkStart w:id="1091" w:name="_Toc454888124"/>
      <w:bookmarkStart w:id="1092" w:name="_Toc486241785"/>
      <w:r>
        <w:t>Chapitre 3.3</w:t>
      </w:r>
      <w:bookmarkEnd w:id="1087"/>
      <w:r>
        <w:t>. Taille des classes dans l’enseignement primaire</w:t>
      </w:r>
      <w:bookmarkEnd w:id="1088"/>
      <w:bookmarkEnd w:id="1089"/>
      <w:bookmarkEnd w:id="1090"/>
      <w:bookmarkEnd w:id="1091"/>
      <w:bookmarkEnd w:id="1092"/>
    </w:p>
    <w:p>
      <w:pPr>
        <w:jc w:val="both"/>
      </w:pPr>
    </w:p>
    <w:p>
      <w:pPr>
        <w:pStyle w:val="Titre3"/>
      </w:pPr>
      <w:bookmarkStart w:id="1093" w:name="_Toc423420065"/>
      <w:bookmarkStart w:id="1094" w:name="_Toc450645272"/>
      <w:bookmarkStart w:id="1095" w:name="_Toc453942508"/>
      <w:bookmarkStart w:id="1096" w:name="_Toc454888125"/>
      <w:bookmarkStart w:id="1097" w:name="_Toc486241786"/>
      <w:r>
        <w:t>3.3.1. Des groupes-classe, des moyennes, des ratios et des maxima</w:t>
      </w:r>
      <w:bookmarkEnd w:id="1093"/>
      <w:bookmarkEnd w:id="1094"/>
      <w:bookmarkEnd w:id="1095"/>
      <w:bookmarkEnd w:id="1096"/>
      <w:bookmarkEnd w:id="1097"/>
    </w:p>
    <w:p>
      <w:pPr>
        <w:pStyle w:val="Sansinterligne11"/>
        <w:jc w:val="both"/>
        <w:rPr>
          <w:rFonts w:ascii="Arial" w:hAnsi="Arial" w:cs="Arial"/>
          <w:sz w:val="24"/>
          <w:szCs w:val="24"/>
        </w:rPr>
      </w:pPr>
    </w:p>
    <w:p>
      <w:pPr>
        <w:pStyle w:val="Titre4"/>
      </w:pPr>
      <w:bookmarkStart w:id="1098" w:name="_Toc423420066"/>
      <w:bookmarkStart w:id="1099" w:name="_Toc450645273"/>
      <w:bookmarkStart w:id="1100" w:name="_Toc453942509"/>
      <w:bookmarkStart w:id="1101" w:name="_Toc454888126"/>
      <w:bookmarkStart w:id="1102" w:name="_Toc486241787"/>
      <w:r>
        <w:t>3.3.1.1. Définitions</w:t>
      </w:r>
      <w:bookmarkEnd w:id="1098"/>
      <w:bookmarkEnd w:id="1099"/>
      <w:bookmarkEnd w:id="1100"/>
      <w:bookmarkEnd w:id="1101"/>
      <w:bookmarkEnd w:id="1102"/>
    </w:p>
    <w:p>
      <w:pPr>
        <w:pStyle w:val="Sansinterligne11"/>
        <w:jc w:val="both"/>
        <w:rPr>
          <w:rFonts w:ascii="Arial" w:hAnsi="Arial" w:cs="Arial"/>
          <w:sz w:val="24"/>
          <w:szCs w:val="24"/>
        </w:rPr>
      </w:pPr>
    </w:p>
    <w:p>
      <w:pPr>
        <w:pStyle w:val="Sansinterligne11"/>
        <w:numPr>
          <w:ilvl w:val="0"/>
          <w:numId w:val="141"/>
        </w:numPr>
        <w:spacing w:after="120"/>
        <w:ind w:left="357" w:hanging="357"/>
        <w:jc w:val="both"/>
        <w:rPr>
          <w:rFonts w:ascii="Arial" w:hAnsi="Arial" w:cs="Arial"/>
        </w:rPr>
      </w:pPr>
      <w:r>
        <w:rPr>
          <w:rFonts w:ascii="Arial" w:hAnsi="Arial" w:cs="Arial"/>
          <w:u w:val="single"/>
        </w:rPr>
        <w:t>« Groupe-classe »</w:t>
      </w:r>
      <w:r>
        <w:rPr>
          <w:rFonts w:ascii="Arial" w:hAnsi="Arial" w:cs="Arial"/>
        </w:rPr>
        <w:t>: un groupe d’élèves réunis pour suivre ensemble un cours ou un ensemble de cours avec un enseignant. Dans le cas où 2 enseignants ou plus prennent en charge un groupe-classe en même temps, le nombre d’élèves dont il faut tenir compte est divisé par le nombre d’enseignants;</w:t>
      </w:r>
    </w:p>
    <w:p>
      <w:pPr>
        <w:pStyle w:val="Sansinterligne1"/>
        <w:numPr>
          <w:ilvl w:val="0"/>
          <w:numId w:val="141"/>
        </w:numPr>
        <w:jc w:val="both"/>
        <w:rPr>
          <w:rFonts w:ascii="Arial" w:hAnsi="Arial" w:cs="Arial"/>
        </w:rPr>
      </w:pPr>
      <w:r>
        <w:rPr>
          <w:rFonts w:ascii="Arial" w:hAnsi="Arial" w:cs="Arial"/>
          <w:u w:val="single"/>
        </w:rPr>
        <w:t>Moyenne d’élèves</w:t>
      </w:r>
      <w:r>
        <w:rPr>
          <w:rFonts w:ascii="Arial" w:hAnsi="Arial" w:cs="Arial"/>
        </w:rPr>
        <w:t>: nombre moyen d’élèves, par groupe-classe, intervenant dans le calcul du ratio;</w:t>
      </w:r>
    </w:p>
    <w:p>
      <w:pPr>
        <w:pStyle w:val="Sansinterligne1"/>
        <w:ind w:left="360"/>
        <w:jc w:val="both"/>
        <w:rPr>
          <w:rFonts w:ascii="Arial" w:hAnsi="Arial" w:cs="Arial"/>
        </w:rPr>
      </w:pPr>
      <w:r>
        <w:rPr>
          <w:rFonts w:ascii="Arial" w:hAnsi="Arial" w:cs="Arial"/>
        </w:rPr>
        <w:t xml:space="preserve">En P1-P2, la moyenne est de </w:t>
      </w:r>
      <w:r>
        <w:rPr>
          <w:rFonts w:ascii="Arial" w:hAnsi="Arial" w:cs="Arial"/>
          <w:u w:val="single"/>
        </w:rPr>
        <w:t>20</w:t>
      </w:r>
      <w:r>
        <w:rPr>
          <w:rFonts w:ascii="Arial" w:hAnsi="Arial" w:cs="Arial"/>
        </w:rPr>
        <w:t xml:space="preserve"> élèves/groupe-classe</w:t>
      </w:r>
    </w:p>
    <w:p>
      <w:pPr>
        <w:pStyle w:val="Sansinterligne1"/>
        <w:spacing w:after="120"/>
        <w:ind w:left="357"/>
        <w:jc w:val="both"/>
        <w:rPr>
          <w:rFonts w:ascii="Arial" w:hAnsi="Arial" w:cs="Arial"/>
        </w:rPr>
      </w:pPr>
      <w:r>
        <w:rPr>
          <w:rFonts w:ascii="Arial" w:hAnsi="Arial" w:cs="Arial"/>
        </w:rPr>
        <w:t xml:space="preserve">De la P3 à P6, la moyenne est de </w:t>
      </w:r>
      <w:r>
        <w:rPr>
          <w:rFonts w:ascii="Arial" w:hAnsi="Arial" w:cs="Arial"/>
          <w:u w:val="single"/>
        </w:rPr>
        <w:t>24</w:t>
      </w:r>
      <w:r>
        <w:rPr>
          <w:rFonts w:ascii="Arial" w:hAnsi="Arial" w:cs="Arial"/>
        </w:rPr>
        <w:t xml:space="preserve"> élèves/groupe-classe;</w:t>
      </w:r>
    </w:p>
    <w:p>
      <w:pPr>
        <w:pStyle w:val="Sansinterligne1"/>
        <w:numPr>
          <w:ilvl w:val="0"/>
          <w:numId w:val="141"/>
        </w:numPr>
        <w:spacing w:after="120"/>
        <w:ind w:left="357" w:hanging="357"/>
        <w:jc w:val="both"/>
        <w:rPr>
          <w:rFonts w:ascii="Arial" w:hAnsi="Arial" w:cs="Arial"/>
        </w:rPr>
      </w:pPr>
      <w:r>
        <w:rPr>
          <w:rFonts w:ascii="Arial" w:hAnsi="Arial" w:cs="Arial"/>
          <w:u w:val="single"/>
        </w:rPr>
        <w:t>Ratio</w:t>
      </w:r>
      <w:r>
        <w:rPr>
          <w:rFonts w:ascii="Arial" w:hAnsi="Arial" w:cs="Arial"/>
        </w:rPr>
        <w:t>: encadrement nécessaire (nombre de périodes) pour un nombre moyen d’élèves par groupe-classe;</w:t>
      </w:r>
    </w:p>
    <w:p>
      <w:pPr>
        <w:pStyle w:val="Sansinterligne1"/>
        <w:ind w:left="360"/>
        <w:jc w:val="both"/>
        <w:rPr>
          <w:rFonts w:ascii="Arial" w:hAnsi="Arial" w:cs="Arial"/>
        </w:rPr>
      </w:pPr>
      <w:r>
        <w:rPr>
          <w:rFonts w:ascii="Arial" w:hAnsi="Arial" w:cs="Arial"/>
          <w:u w:val="single"/>
        </w:rPr>
        <w:t>Maximum d’élèves</w:t>
      </w:r>
      <w:r>
        <w:rPr>
          <w:rFonts w:ascii="Arial" w:hAnsi="Arial" w:cs="Arial"/>
        </w:rPr>
        <w:t>: le nombre d’élèves maximum autorisé dans un groupe-classe.</w:t>
      </w:r>
    </w:p>
    <w:p>
      <w:pPr>
        <w:pStyle w:val="Sansinterligne11"/>
        <w:jc w:val="both"/>
        <w:rPr>
          <w:rFonts w:ascii="Arial" w:hAnsi="Arial" w:cs="Arial"/>
          <w:sz w:val="24"/>
          <w:szCs w:val="24"/>
        </w:rPr>
      </w:pPr>
    </w:p>
    <w:p>
      <w:pPr>
        <w:pStyle w:val="Titre4"/>
      </w:pPr>
      <w:bookmarkStart w:id="1103" w:name="_Toc423420067"/>
      <w:bookmarkStart w:id="1104" w:name="_Toc450645274"/>
      <w:bookmarkStart w:id="1105" w:name="_Toc453942510"/>
      <w:bookmarkStart w:id="1106" w:name="_Toc454888127"/>
      <w:bookmarkStart w:id="1107" w:name="_Toc486241788"/>
      <w:r>
        <w:t>3.3.1.2. En P1-P2</w:t>
      </w:r>
      <w:bookmarkEnd w:id="1103"/>
      <w:bookmarkEnd w:id="1104"/>
      <w:bookmarkEnd w:id="1105"/>
      <w:bookmarkEnd w:id="1106"/>
      <w:bookmarkEnd w:id="1107"/>
    </w:p>
    <w:p>
      <w:pPr>
        <w:rPr>
          <w:rFonts w:cs="Arial"/>
          <w:strike/>
          <w:sz w:val="24"/>
        </w:rPr>
      </w:pPr>
    </w:p>
    <w:p>
      <w:pPr>
        <w:jc w:val="both"/>
        <w:rPr>
          <w:rFonts w:cs="Arial"/>
          <w:szCs w:val="22"/>
        </w:rPr>
      </w:pPr>
      <w:r>
        <w:rPr>
          <w:rFonts w:cs="Arial"/>
          <w:szCs w:val="22"/>
        </w:rPr>
        <w:t>Considérant que la moyenne d’élèves par groupe-classe en P1-P2 doit être de 20 élèves par groupe-classe;</w:t>
      </w:r>
    </w:p>
    <w:p>
      <w:pPr>
        <w:jc w:val="both"/>
        <w:rPr>
          <w:rFonts w:cs="Arial"/>
          <w:szCs w:val="22"/>
        </w:rPr>
      </w:pPr>
      <w:r>
        <w:rPr>
          <w:rFonts w:cs="Arial"/>
          <w:szCs w:val="22"/>
          <w:u w:val="single"/>
        </w:rPr>
        <w:t>Le ratio P1-P2</w:t>
      </w:r>
      <w:r>
        <w:rPr>
          <w:rFonts w:cs="Arial"/>
          <w:szCs w:val="22"/>
        </w:rPr>
        <w:t xml:space="preserve"> correspond à l’encadrement minimum à affecter à l’ensemble des élèves de P1-P2, soit le nombre de périodes obtenu au 1/10 en divisant la somme des élèves de P1/P2 par implantation par 20 et en multipliant ce résultat par 26, arrondi à l’unité inférieure.</w:t>
      </w:r>
    </w:p>
    <w:p>
      <w:pPr>
        <w:jc w:val="both"/>
        <w:rPr>
          <w:rFonts w:cs="Arial"/>
          <w:strike/>
          <w:szCs w:val="22"/>
        </w:rPr>
      </w:pPr>
    </w:p>
    <w:p>
      <w:pPr>
        <w:pStyle w:val="Sansinterligne1"/>
        <w:ind w:left="540"/>
        <w:jc w:val="both"/>
        <w:rPr>
          <w:rFonts w:ascii="Arial" w:hAnsi="Arial" w:cs="Arial"/>
          <w:i/>
          <w:u w:val="single"/>
        </w:rPr>
      </w:pPr>
      <w:r>
        <w:rPr>
          <w:rFonts w:ascii="Arial" w:hAnsi="Arial" w:cs="Arial"/>
          <w:i/>
          <w:u w:val="single"/>
        </w:rPr>
        <w:t xml:space="preserve">Exemple: </w:t>
      </w:r>
    </w:p>
    <w:p>
      <w:pPr>
        <w:pStyle w:val="Sansinterligne1"/>
        <w:ind w:left="540"/>
        <w:jc w:val="both"/>
        <w:rPr>
          <w:rFonts w:ascii="Arial" w:hAnsi="Arial" w:cs="Arial"/>
          <w:i/>
        </w:rPr>
      </w:pPr>
      <w:r>
        <w:rPr>
          <w:rFonts w:ascii="Arial" w:hAnsi="Arial" w:cs="Arial"/>
          <w:i/>
        </w:rPr>
        <w:t>98 élèves en P1-P2 x 26/20 = 127 périodes de capital-périodes devant être utilisées pour l’encadrement des P1/P2. Le ratio est donc de 127 périodes.</w:t>
      </w:r>
    </w:p>
    <w:p>
      <w:pPr>
        <w:pStyle w:val="Sansinterligne1"/>
        <w:ind w:left="540"/>
        <w:jc w:val="both"/>
        <w:rPr>
          <w:rFonts w:ascii="Arial" w:hAnsi="Arial" w:cs="Arial"/>
          <w:i/>
        </w:rPr>
      </w:pPr>
    </w:p>
    <w:p>
      <w:pPr>
        <w:pStyle w:val="Sansinterligne1"/>
        <w:ind w:left="540"/>
        <w:jc w:val="both"/>
        <w:rPr>
          <w:rFonts w:ascii="Arial" w:hAnsi="Arial" w:cs="Arial"/>
          <w:i/>
        </w:rPr>
      </w:pPr>
      <w:r>
        <w:rPr>
          <w:rFonts w:ascii="Arial" w:hAnsi="Arial" w:cs="Arial"/>
          <w:i/>
          <w:u w:val="single"/>
        </w:rPr>
        <w:t>Comment vérifier que le ratio est respecté</w:t>
      </w:r>
      <w:r>
        <w:rPr>
          <w:rFonts w:ascii="Arial" w:hAnsi="Arial" w:cs="Arial"/>
          <w:i/>
        </w:rPr>
        <w:t> ? Il suffit d’additionner toutes les périodes attribuées réellement à l’encadrement des P1-P2 (26 périodes par classe organisée + autres périodes</w:t>
      </w:r>
      <w:r>
        <w:rPr>
          <w:rStyle w:val="Appelnotedebasdep"/>
          <w:i/>
        </w:rPr>
        <w:footnoteReference w:id="53"/>
      </w:r>
      <w:r>
        <w:rPr>
          <w:rFonts w:ascii="Arial" w:hAnsi="Arial" w:cs="Arial"/>
          <w:i/>
        </w:rPr>
        <w:t>). Ce nombre de périodes doit être au moins égal au ratio.</w:t>
      </w:r>
    </w:p>
    <w:p>
      <w:pPr>
        <w:pStyle w:val="Sansinterligne1"/>
        <w:ind w:left="540"/>
        <w:jc w:val="both"/>
        <w:rPr>
          <w:rFonts w:ascii="Arial" w:hAnsi="Arial" w:cs="Arial"/>
          <w:i/>
          <w:u w:val="single"/>
        </w:rPr>
      </w:pPr>
    </w:p>
    <w:p>
      <w:pPr>
        <w:jc w:val="both"/>
        <w:rPr>
          <w:rFonts w:cs="Arial"/>
          <w:szCs w:val="22"/>
        </w:rPr>
      </w:pPr>
      <w:r>
        <w:rPr>
          <w:rFonts w:cs="Arial"/>
          <w:szCs w:val="22"/>
          <w:u w:val="single"/>
        </w:rPr>
        <w:t>Le nombre maximum d’élèves</w:t>
      </w:r>
      <w:r>
        <w:rPr>
          <w:rFonts w:cs="Arial"/>
          <w:szCs w:val="22"/>
        </w:rPr>
        <w:t xml:space="preserve"> en P1-P2 peut être porté à </w:t>
      </w:r>
      <w:r>
        <w:rPr>
          <w:rFonts w:cs="Arial"/>
          <w:szCs w:val="22"/>
          <w:u w:val="single"/>
        </w:rPr>
        <w:t>24 élèves par groupe-classe</w:t>
      </w:r>
      <w:r>
        <w:rPr>
          <w:rFonts w:cs="Arial"/>
          <w:szCs w:val="22"/>
        </w:rPr>
        <w:t xml:space="preserve"> pour autant que l’encadrement corresponde au moins au ratio pour l’ensemble des élèves de P1/P2. </w:t>
      </w:r>
    </w:p>
    <w:p>
      <w:pPr>
        <w:pStyle w:val="Sansinterligne1"/>
        <w:jc w:val="both"/>
        <w:rPr>
          <w:rFonts w:ascii="Arial" w:hAnsi="Arial" w:cs="Arial"/>
        </w:rPr>
      </w:pPr>
    </w:p>
    <w:p>
      <w:pPr>
        <w:pStyle w:val="Sansinterligne1"/>
        <w:jc w:val="both"/>
        <w:rPr>
          <w:rFonts w:ascii="Arial" w:hAnsi="Arial" w:cs="Arial"/>
        </w:rPr>
      </w:pPr>
      <w:r>
        <w:rPr>
          <w:rFonts w:ascii="Arial" w:hAnsi="Arial" w:cs="Arial"/>
        </w:rPr>
        <w:t>Le complément de périodes destiné à l’encadrement spécifique en P1 et P2, comme le prévoit le décret du 13 juillet 1998, est prioritairement affecté au 1</w:t>
      </w:r>
      <w:r>
        <w:rPr>
          <w:rFonts w:ascii="Arial" w:hAnsi="Arial" w:cs="Arial"/>
          <w:vertAlign w:val="superscript"/>
        </w:rPr>
        <w:t>er</w:t>
      </w:r>
      <w:r>
        <w:rPr>
          <w:rFonts w:ascii="Arial" w:hAnsi="Arial" w:cs="Arial"/>
        </w:rPr>
        <w:t xml:space="preserve"> degré. Une partie de ces périodes pourrait être transférée vers les autres degrés pour autant que deux conditions soient rencontrées: </w:t>
      </w:r>
      <w:r>
        <w:rPr>
          <w:rFonts w:ascii="Arial" w:hAnsi="Arial" w:cs="Arial"/>
          <w:u w:val="single"/>
        </w:rPr>
        <w:t>le ratio et le maximum sont respectés au 1</w:t>
      </w:r>
      <w:r>
        <w:rPr>
          <w:rFonts w:ascii="Arial" w:hAnsi="Arial" w:cs="Arial"/>
          <w:u w:val="single"/>
          <w:vertAlign w:val="superscript"/>
        </w:rPr>
        <w:t>er</w:t>
      </w:r>
      <w:r>
        <w:rPr>
          <w:rFonts w:ascii="Arial" w:hAnsi="Arial" w:cs="Arial"/>
          <w:u w:val="single"/>
        </w:rPr>
        <w:t xml:space="preserve"> degré </w:t>
      </w:r>
      <w:r>
        <w:rPr>
          <w:rFonts w:ascii="Arial" w:hAnsi="Arial" w:cs="Arial"/>
          <w:b/>
          <w:u w:val="single"/>
        </w:rPr>
        <w:t>ET</w:t>
      </w:r>
      <w:r>
        <w:rPr>
          <w:rFonts w:ascii="Arial" w:hAnsi="Arial" w:cs="Arial"/>
          <w:u w:val="single"/>
        </w:rPr>
        <w:t xml:space="preserve"> ce transfert participe au respect des ratios et maxima dans un(les) autre(s) degré(s).</w:t>
      </w:r>
    </w:p>
    <w:p>
      <w:pPr>
        <w:jc w:val="both"/>
        <w:rPr>
          <w:rFonts w:cs="Arial"/>
          <w:szCs w:val="22"/>
        </w:rPr>
      </w:pPr>
      <w:r>
        <w:rPr>
          <w:rFonts w:cs="Arial"/>
          <w:szCs w:val="22"/>
        </w:rPr>
        <w:t xml:space="preserve">De même lorsque les périodes P1-P2 ne sont pas suffisantes pour respecter le ratio de 20 élèves/ groupe-classe, il ne peut être utilisé en P1-P2 des périodes des autres degrés que pour autant que les ratios et maxima soient respectés au sein de ceux-ci. </w:t>
      </w:r>
    </w:p>
    <w:p>
      <w:pPr>
        <w:autoSpaceDE w:val="0"/>
        <w:autoSpaceDN w:val="0"/>
        <w:adjustRightInd w:val="0"/>
        <w:jc w:val="both"/>
        <w:rPr>
          <w:rFonts w:cs="Arial"/>
          <w:szCs w:val="22"/>
        </w:rPr>
      </w:pPr>
    </w:p>
    <w:p>
      <w:pPr>
        <w:autoSpaceDE w:val="0"/>
        <w:autoSpaceDN w:val="0"/>
        <w:adjustRightInd w:val="0"/>
        <w:jc w:val="both"/>
        <w:rPr>
          <w:rFonts w:cs="Arial"/>
          <w:szCs w:val="22"/>
          <w:lang w:val="fr-BE" w:eastAsia="fr-BE"/>
        </w:rPr>
      </w:pPr>
      <w:r>
        <w:rPr>
          <w:rFonts w:cs="Arial"/>
          <w:szCs w:val="22"/>
        </w:rPr>
        <w:t>Ces dispositions font l’objet, si nécessaire, lors de chaque rentrée scolaire d’un</w:t>
      </w:r>
      <w:r>
        <w:rPr>
          <w:rFonts w:cs="Arial"/>
          <w:szCs w:val="22"/>
          <w:lang w:val="fr-BE" w:eastAsia="fr-BE"/>
        </w:rPr>
        <w:t xml:space="preserve"> avis selon le cas du comité de concertation de base pour l’enseignement organisé par la Fédération Wallonie-Bruxelles ou de la commission paritaire locale pour l’enseignement officiel subventionné ou d’une concertation au sein de l’instance prévue à cet effet dans l’enseignement libre subventionné.</w:t>
      </w:r>
    </w:p>
    <w:p>
      <w:pPr>
        <w:pStyle w:val="Titre4"/>
      </w:pPr>
      <w:bookmarkStart w:id="1108" w:name="_Toc423420068"/>
      <w:bookmarkStart w:id="1109" w:name="_Toc450645275"/>
      <w:bookmarkStart w:id="1110" w:name="_Toc453942511"/>
      <w:bookmarkStart w:id="1111" w:name="_Toc454888128"/>
      <w:bookmarkStart w:id="1112" w:name="_Toc486241789"/>
      <w:r>
        <w:t>3.3.1.3. En P3-P6</w:t>
      </w:r>
      <w:bookmarkEnd w:id="1108"/>
      <w:bookmarkEnd w:id="1109"/>
      <w:bookmarkEnd w:id="1110"/>
      <w:bookmarkEnd w:id="1111"/>
      <w:bookmarkEnd w:id="1112"/>
    </w:p>
    <w:p>
      <w:pPr>
        <w:jc w:val="both"/>
        <w:rPr>
          <w:rFonts w:cs="Arial"/>
          <w:b/>
          <w:sz w:val="24"/>
          <w:u w:val="single"/>
        </w:rPr>
      </w:pPr>
    </w:p>
    <w:p>
      <w:pPr>
        <w:jc w:val="both"/>
        <w:rPr>
          <w:rFonts w:cs="Arial"/>
          <w:szCs w:val="22"/>
        </w:rPr>
      </w:pPr>
      <w:r>
        <w:rPr>
          <w:rFonts w:cs="Arial"/>
          <w:szCs w:val="22"/>
        </w:rPr>
        <w:t>Considérant que la moyenne d’élèves par classe en P3-P4-P5-P6 doit être de 24 élèves par groupe-classe;</w:t>
      </w:r>
    </w:p>
    <w:p>
      <w:pPr>
        <w:jc w:val="both"/>
        <w:rPr>
          <w:rFonts w:cs="Arial"/>
          <w:szCs w:val="22"/>
        </w:rPr>
      </w:pPr>
      <w:r>
        <w:rPr>
          <w:rFonts w:cs="Arial"/>
          <w:szCs w:val="22"/>
        </w:rPr>
        <w:t xml:space="preserve">Le </w:t>
      </w:r>
      <w:r>
        <w:rPr>
          <w:rFonts w:cs="Arial"/>
          <w:szCs w:val="22"/>
          <w:u w:val="single"/>
        </w:rPr>
        <w:t>ratio P3 à P6</w:t>
      </w:r>
      <w:r>
        <w:rPr>
          <w:rFonts w:cs="Arial"/>
          <w:szCs w:val="22"/>
        </w:rPr>
        <w:t xml:space="preserve"> correspond à l’encadrement minimum à affecter à l’ensemble des élèves de P3 à P6, soit le nombre de périodes obtenu au 1/10 en divisant la somme des élèves de P3 à P6 par implantation par 24 et en multipliant ce résultat par 26, arrondi à l’unité inférieure.</w:t>
      </w:r>
    </w:p>
    <w:p>
      <w:pPr>
        <w:jc w:val="both"/>
        <w:rPr>
          <w:rFonts w:cs="Arial"/>
          <w:szCs w:val="22"/>
        </w:rPr>
      </w:pPr>
    </w:p>
    <w:p>
      <w:pPr>
        <w:ind w:left="708"/>
        <w:jc w:val="both"/>
        <w:rPr>
          <w:rFonts w:cs="Arial"/>
          <w:i/>
          <w:szCs w:val="22"/>
          <w:u w:val="single"/>
        </w:rPr>
      </w:pPr>
      <w:r>
        <w:rPr>
          <w:rFonts w:cs="Arial"/>
          <w:i/>
          <w:szCs w:val="22"/>
          <w:u w:val="single"/>
        </w:rPr>
        <w:t xml:space="preserve">Exemple: </w:t>
      </w:r>
    </w:p>
    <w:p>
      <w:pPr>
        <w:ind w:left="708"/>
        <w:jc w:val="both"/>
        <w:rPr>
          <w:rFonts w:cs="Arial"/>
          <w:szCs w:val="22"/>
        </w:rPr>
      </w:pPr>
      <w:r>
        <w:rPr>
          <w:rFonts w:cs="Arial"/>
          <w:i/>
          <w:szCs w:val="22"/>
        </w:rPr>
        <w:t>188 élèves en P3-P6 x 26/24 = 203 périodes de capital-périodes doivent être utilisées pour l’encadrement des P3 à P6. Le ratio est donc de 203 périodes</w:t>
      </w:r>
      <w:r>
        <w:rPr>
          <w:rFonts w:cs="Arial"/>
          <w:szCs w:val="22"/>
        </w:rPr>
        <w:t>.</w:t>
      </w:r>
    </w:p>
    <w:p>
      <w:pPr>
        <w:ind w:left="708"/>
        <w:jc w:val="both"/>
        <w:rPr>
          <w:rFonts w:cs="Arial"/>
          <w:szCs w:val="22"/>
        </w:rPr>
      </w:pPr>
    </w:p>
    <w:p>
      <w:pPr>
        <w:ind w:left="708"/>
        <w:jc w:val="both"/>
        <w:rPr>
          <w:rFonts w:cs="Arial"/>
          <w:szCs w:val="22"/>
        </w:rPr>
      </w:pPr>
      <w:r>
        <w:rPr>
          <w:rFonts w:cs="Arial"/>
          <w:i/>
          <w:szCs w:val="22"/>
        </w:rPr>
        <w:t>Comment vérifier que le ratio est respecté ? Il suffit d’additionner toutes les périodes attribuées réellement à l’encadrement des P3 à P6 (26 périodes par classe organisées + autres périodes</w:t>
      </w:r>
      <w:r>
        <w:rPr>
          <w:rStyle w:val="Appelnotedebasdep"/>
          <w:i/>
          <w:szCs w:val="22"/>
        </w:rPr>
        <w:footnoteReference w:id="54"/>
      </w:r>
      <w:r>
        <w:rPr>
          <w:rFonts w:cs="Arial"/>
          <w:i/>
          <w:szCs w:val="22"/>
        </w:rPr>
        <w:t>). Ce nombre de périodes doit être au moins égal au ratio.</w:t>
      </w:r>
    </w:p>
    <w:p>
      <w:pPr>
        <w:jc w:val="both"/>
        <w:rPr>
          <w:rFonts w:cs="Arial"/>
          <w:szCs w:val="22"/>
          <w:u w:val="single"/>
        </w:rPr>
      </w:pPr>
    </w:p>
    <w:p>
      <w:pPr>
        <w:jc w:val="both"/>
        <w:rPr>
          <w:rFonts w:cs="Arial"/>
          <w:szCs w:val="22"/>
        </w:rPr>
      </w:pPr>
      <w:r>
        <w:rPr>
          <w:rFonts w:cs="Arial"/>
          <w:szCs w:val="22"/>
          <w:u w:val="single"/>
        </w:rPr>
        <w:t>Le nombre maximum d’élèves</w:t>
      </w:r>
      <w:r>
        <w:rPr>
          <w:rFonts w:cs="Arial"/>
          <w:szCs w:val="22"/>
        </w:rPr>
        <w:t xml:space="preserve"> en P3 à P6 peut être porté à </w:t>
      </w:r>
      <w:r>
        <w:rPr>
          <w:rFonts w:cs="Arial"/>
          <w:szCs w:val="22"/>
          <w:u w:val="single"/>
        </w:rPr>
        <w:t>28 élèves par groupe-classe</w:t>
      </w:r>
      <w:r>
        <w:rPr>
          <w:rFonts w:cs="Arial"/>
          <w:szCs w:val="22"/>
        </w:rPr>
        <w:t xml:space="preserve"> pour autant que l’encadrement corresponde au moins au ratio pour l’ensemble des élèves de </w:t>
      </w:r>
      <w:smartTag w:uri="urn:schemas-microsoft-com:office:smarttags" w:element="PersonName">
        <w:smartTagPr>
          <w:attr w:name="ProductID" w:val="la P"/>
        </w:smartTagPr>
        <w:r>
          <w:rPr>
            <w:rFonts w:cs="Arial"/>
            <w:szCs w:val="22"/>
          </w:rPr>
          <w:t>la P</w:t>
        </w:r>
      </w:smartTag>
      <w:r>
        <w:rPr>
          <w:rFonts w:cs="Arial"/>
          <w:szCs w:val="22"/>
        </w:rPr>
        <w:t xml:space="preserve">3 à </w:t>
      </w:r>
      <w:smartTag w:uri="urn:schemas-microsoft-com:office:smarttags" w:element="PersonName">
        <w:smartTagPr>
          <w:attr w:name="ProductID" w:val="la P"/>
        </w:smartTagPr>
        <w:r>
          <w:rPr>
            <w:rFonts w:cs="Arial"/>
            <w:szCs w:val="22"/>
          </w:rPr>
          <w:t>la P</w:t>
        </w:r>
      </w:smartTag>
      <w:r>
        <w:rPr>
          <w:rFonts w:cs="Arial"/>
          <w:szCs w:val="22"/>
        </w:rPr>
        <w:t xml:space="preserve">6. </w:t>
      </w:r>
    </w:p>
    <w:p>
      <w:pPr>
        <w:rPr>
          <w:rFonts w:cs="Arial"/>
          <w:sz w:val="24"/>
        </w:rPr>
      </w:pPr>
    </w:p>
    <w:p>
      <w:pPr>
        <w:pStyle w:val="Titre3"/>
      </w:pPr>
      <w:bookmarkStart w:id="1113" w:name="_Toc423420069"/>
      <w:bookmarkStart w:id="1114" w:name="_Toc450645276"/>
      <w:bookmarkStart w:id="1115" w:name="_Toc453942512"/>
      <w:bookmarkStart w:id="1116" w:name="_Toc454888129"/>
      <w:bookmarkStart w:id="1117" w:name="_Toc486241790"/>
      <w:r>
        <w:t>3.3.2. Des dépassements aux maxima</w:t>
      </w:r>
      <w:bookmarkEnd w:id="1113"/>
      <w:bookmarkEnd w:id="1114"/>
      <w:bookmarkEnd w:id="1115"/>
      <w:bookmarkEnd w:id="1116"/>
      <w:bookmarkEnd w:id="1117"/>
    </w:p>
    <w:p>
      <w:pPr>
        <w:rPr>
          <w:rFonts w:cs="Arial"/>
          <w:sz w:val="24"/>
        </w:rPr>
      </w:pPr>
    </w:p>
    <w:p>
      <w:pPr>
        <w:rPr>
          <w:rFonts w:cs="Arial"/>
          <w:szCs w:val="22"/>
        </w:rPr>
      </w:pPr>
      <w:r>
        <w:rPr>
          <w:rFonts w:cs="Arial"/>
          <w:szCs w:val="22"/>
        </w:rPr>
        <w:t xml:space="preserve">Sous certaines conditions, des dépassements aux maxima sont prévus. </w:t>
      </w:r>
    </w:p>
    <w:p>
      <w:pPr>
        <w:rPr>
          <w:rFonts w:cs="Arial"/>
          <w:szCs w:val="22"/>
        </w:rPr>
      </w:pPr>
      <w:r>
        <w:rPr>
          <w:rFonts w:cs="Arial"/>
          <w:szCs w:val="22"/>
        </w:rPr>
        <w:t>Il y a lieu de distinguer 4 types de dépassements:</w:t>
      </w:r>
    </w:p>
    <w:p>
      <w:pPr>
        <w:rPr>
          <w:rFonts w:cs="Arial"/>
          <w:szCs w:val="22"/>
        </w:rPr>
      </w:pPr>
    </w:p>
    <w:p>
      <w:pPr>
        <w:numPr>
          <w:ilvl w:val="0"/>
          <w:numId w:val="142"/>
        </w:numPr>
        <w:spacing w:line="276" w:lineRule="auto"/>
        <w:rPr>
          <w:rFonts w:cs="Arial"/>
          <w:szCs w:val="22"/>
        </w:rPr>
      </w:pPr>
      <w:r>
        <w:rPr>
          <w:rFonts w:cs="Arial"/>
          <w:szCs w:val="22"/>
        </w:rPr>
        <w:t>Des dépassements prévus pour prendre en compte la problématique particulière de l’organisation des cours de langue moderne;</w:t>
      </w:r>
    </w:p>
    <w:p>
      <w:pPr>
        <w:numPr>
          <w:ilvl w:val="0"/>
          <w:numId w:val="142"/>
        </w:numPr>
        <w:spacing w:line="276" w:lineRule="auto"/>
        <w:rPr>
          <w:rFonts w:cs="Arial"/>
          <w:szCs w:val="22"/>
        </w:rPr>
      </w:pPr>
      <w:r>
        <w:rPr>
          <w:rFonts w:cs="Arial"/>
          <w:szCs w:val="22"/>
        </w:rPr>
        <w:t>Des dépassements automatiquement autorisés, avec information aux organes de concertation;</w:t>
      </w:r>
    </w:p>
    <w:p>
      <w:pPr>
        <w:numPr>
          <w:ilvl w:val="0"/>
          <w:numId w:val="142"/>
        </w:numPr>
        <w:spacing w:line="276" w:lineRule="auto"/>
        <w:rPr>
          <w:rFonts w:cs="Arial"/>
          <w:szCs w:val="22"/>
        </w:rPr>
      </w:pPr>
      <w:r>
        <w:rPr>
          <w:rFonts w:cs="Arial"/>
          <w:szCs w:val="22"/>
        </w:rPr>
        <w:t>Des dépassements automatiquement accordés, avec avis préalable des organes de concertation;</w:t>
      </w:r>
    </w:p>
    <w:p>
      <w:pPr>
        <w:numPr>
          <w:ilvl w:val="0"/>
          <w:numId w:val="142"/>
        </w:numPr>
        <w:spacing w:line="276" w:lineRule="auto"/>
        <w:rPr>
          <w:rFonts w:cs="Arial"/>
          <w:szCs w:val="22"/>
        </w:rPr>
      </w:pPr>
      <w:r>
        <w:rPr>
          <w:rFonts w:cs="Arial"/>
          <w:szCs w:val="22"/>
        </w:rPr>
        <w:t>Des dépassements accordés par dérogation du Gouvernement avec avis favorable des organes de concertation.</w:t>
      </w:r>
    </w:p>
    <w:p>
      <w:pPr>
        <w:spacing w:line="276" w:lineRule="auto"/>
        <w:rPr>
          <w:rFonts w:cs="Arial"/>
          <w:szCs w:val="22"/>
        </w:rPr>
      </w:pPr>
    </w:p>
    <w:p>
      <w:pPr>
        <w:pStyle w:val="Sansinterligne1"/>
        <w:pBdr>
          <w:top w:val="single" w:sz="4" w:space="1" w:color="auto"/>
          <w:left w:val="single" w:sz="4" w:space="4" w:color="auto"/>
          <w:bottom w:val="single" w:sz="4" w:space="1" w:color="auto"/>
          <w:right w:val="single" w:sz="4" w:space="4" w:color="auto"/>
        </w:pBdr>
        <w:jc w:val="both"/>
        <w:rPr>
          <w:rFonts w:ascii="Arial" w:hAnsi="Arial" w:cs="Arial"/>
        </w:rPr>
      </w:pPr>
      <w:r>
        <w:rPr>
          <w:rFonts w:ascii="Arial" w:hAnsi="Arial" w:cs="Arial"/>
          <w:b/>
        </w:rPr>
        <w:t xml:space="preserve">Dans tous les cas, les dépassements de maxima devront être communiqués à l’administration pour le 30 novembre 2017 au plus tard, à l’aide du formulaire joint en </w:t>
      </w:r>
      <w:hyperlink w:anchor="Annexe_331" w:history="1">
        <w:r>
          <w:rPr>
            <w:rStyle w:val="Lienhypertexte"/>
            <w:rFonts w:ascii="Arial" w:hAnsi="Arial" w:cs="Arial"/>
            <w:b/>
            <w:color w:val="auto"/>
          </w:rPr>
          <w:t>annexe 3.3.1</w:t>
        </w:r>
        <w:r>
          <w:rPr>
            <w:rStyle w:val="Lienhypertexte"/>
            <w:rFonts w:ascii="Arial" w:hAnsi="Arial" w:cs="Arial"/>
            <w:color w:val="auto"/>
          </w:rPr>
          <w:t>.</w:t>
        </w:r>
      </w:hyperlink>
    </w:p>
    <w:p>
      <w:pPr>
        <w:rPr>
          <w:rFonts w:cs="Arial"/>
          <w:sz w:val="24"/>
        </w:rPr>
      </w:pPr>
    </w:p>
    <w:p>
      <w:pPr>
        <w:pStyle w:val="Titre4"/>
      </w:pPr>
      <w:r>
        <w:br w:type="page"/>
      </w:r>
      <w:bookmarkStart w:id="1118" w:name="_Toc423420070"/>
      <w:bookmarkStart w:id="1119" w:name="_Toc450645277"/>
      <w:bookmarkStart w:id="1120" w:name="_Toc453942513"/>
      <w:bookmarkStart w:id="1121" w:name="_Toc454888130"/>
      <w:bookmarkStart w:id="1122" w:name="_Toc486241791"/>
      <w:r>
        <w:t>3.3.2.1. Des dépassements prévus pour prendre en compte la problématique particulière de l’organisation des cours de langue moderne</w:t>
      </w:r>
      <w:bookmarkEnd w:id="1118"/>
      <w:bookmarkEnd w:id="1119"/>
      <w:bookmarkEnd w:id="1120"/>
      <w:bookmarkEnd w:id="1121"/>
      <w:bookmarkEnd w:id="1122"/>
    </w:p>
    <w:p>
      <w:pPr>
        <w:pStyle w:val="Sansinterligne1"/>
        <w:jc w:val="both"/>
        <w:rPr>
          <w:rFonts w:ascii="Arial" w:hAnsi="Arial" w:cs="Arial"/>
          <w:b/>
          <w:i/>
          <w:sz w:val="24"/>
          <w:szCs w:val="24"/>
        </w:rPr>
      </w:pPr>
    </w:p>
    <w:p>
      <w:pPr>
        <w:pStyle w:val="Sansinterligne1"/>
        <w:ind w:left="720"/>
        <w:jc w:val="both"/>
        <w:rPr>
          <w:rFonts w:ascii="Arial" w:hAnsi="Arial" w:cs="Arial"/>
        </w:rPr>
      </w:pPr>
      <w:r>
        <w:rPr>
          <w:rFonts w:ascii="Arial" w:hAnsi="Arial" w:cs="Arial"/>
        </w:rPr>
        <w:t xml:space="preserve">Dans les communes </w:t>
      </w:r>
      <w:smartTag w:uri="urn:schemas-microsoft-com:office:smarttags" w:element="PersonName">
        <w:smartTagPr>
          <w:attr w:name="ProductID" w:val="la R￩gion"/>
        </w:smartTagPr>
        <w:r>
          <w:rPr>
            <w:rFonts w:ascii="Arial" w:hAnsi="Arial" w:cs="Arial"/>
          </w:rPr>
          <w:t>la Région</w:t>
        </w:r>
      </w:smartTag>
      <w:r>
        <w:rPr>
          <w:rFonts w:ascii="Arial" w:hAnsi="Arial" w:cs="Arial"/>
        </w:rPr>
        <w:t xml:space="preserve"> de Bruxelles-Capitale et les communes de Comines-Warneton, Mouscron, Flobecq, Enghien, Malmédy, Waismes, Baelen, Plombières et Welkenraedt</w:t>
      </w:r>
      <w:r>
        <w:rPr>
          <w:rStyle w:val="Appelnotedebasdep"/>
        </w:rPr>
        <w:footnoteReference w:id="55"/>
      </w:r>
      <w:r>
        <w:rPr>
          <w:rFonts w:ascii="Arial" w:hAnsi="Arial" w:cs="Arial"/>
        </w:rPr>
        <w:t xml:space="preserve">, le </w:t>
      </w:r>
      <w:r>
        <w:rPr>
          <w:rFonts w:ascii="Arial" w:hAnsi="Arial" w:cs="Arial"/>
          <w:u w:val="single"/>
        </w:rPr>
        <w:t>maximum</w:t>
      </w:r>
      <w:r>
        <w:rPr>
          <w:rFonts w:ascii="Arial" w:hAnsi="Arial" w:cs="Arial"/>
        </w:rPr>
        <w:t xml:space="preserve"> peut être </w:t>
      </w:r>
      <w:r>
        <w:rPr>
          <w:rFonts w:ascii="Arial" w:hAnsi="Arial" w:cs="Arial"/>
          <w:u w:val="single"/>
        </w:rPr>
        <w:t>porté à 29 élèves par classe aux 2</w:t>
      </w:r>
      <w:r>
        <w:rPr>
          <w:rFonts w:ascii="Arial" w:hAnsi="Arial" w:cs="Arial"/>
          <w:u w:val="single"/>
          <w:vertAlign w:val="superscript"/>
        </w:rPr>
        <w:t>ème</w:t>
      </w:r>
      <w:r>
        <w:rPr>
          <w:rFonts w:ascii="Arial" w:hAnsi="Arial" w:cs="Arial"/>
          <w:u w:val="single"/>
        </w:rPr>
        <w:t xml:space="preserve"> et 3</w:t>
      </w:r>
      <w:r>
        <w:rPr>
          <w:rFonts w:ascii="Arial" w:hAnsi="Arial" w:cs="Arial"/>
          <w:u w:val="single"/>
          <w:vertAlign w:val="superscript"/>
        </w:rPr>
        <w:t>ème</w:t>
      </w:r>
      <w:r>
        <w:rPr>
          <w:rFonts w:ascii="Arial" w:hAnsi="Arial" w:cs="Arial"/>
          <w:u w:val="single"/>
        </w:rPr>
        <w:t xml:space="preserve"> degrés (P3 à P6)</w:t>
      </w:r>
      <w:r>
        <w:rPr>
          <w:rFonts w:ascii="Arial" w:hAnsi="Arial" w:cs="Arial"/>
        </w:rPr>
        <w:t xml:space="preserve"> pour prendre en compte la problématique de l’organisation des périodes de langue.</w:t>
      </w:r>
    </w:p>
    <w:p>
      <w:pPr>
        <w:pStyle w:val="Sansinterligne1"/>
        <w:jc w:val="both"/>
        <w:rPr>
          <w:rFonts w:ascii="Arial" w:hAnsi="Arial" w:cs="Arial"/>
          <w:b/>
          <w:i/>
          <w:sz w:val="24"/>
          <w:szCs w:val="24"/>
          <w:u w:val="single"/>
        </w:rPr>
      </w:pPr>
    </w:p>
    <w:p>
      <w:pPr>
        <w:pStyle w:val="Titre4"/>
      </w:pPr>
      <w:bookmarkStart w:id="1123" w:name="_Toc423420071"/>
      <w:bookmarkStart w:id="1124" w:name="_Toc450645278"/>
      <w:bookmarkStart w:id="1125" w:name="_Toc453942514"/>
      <w:bookmarkStart w:id="1126" w:name="_Toc454888131"/>
      <w:bookmarkStart w:id="1127" w:name="_Toc486241792"/>
      <w:r>
        <w:t>3.3.2.2. Dépassements automatiques autorisés avec information aux organes de concertation</w:t>
      </w:r>
      <w:bookmarkEnd w:id="1123"/>
      <w:bookmarkEnd w:id="1124"/>
      <w:bookmarkEnd w:id="1125"/>
      <w:bookmarkEnd w:id="1126"/>
      <w:bookmarkEnd w:id="1127"/>
    </w:p>
    <w:p>
      <w:pPr>
        <w:rPr>
          <w:rFonts w:cs="Arial"/>
          <w:sz w:val="24"/>
        </w:rPr>
      </w:pPr>
    </w:p>
    <w:p>
      <w:pPr>
        <w:pStyle w:val="Sansinterligne1"/>
        <w:ind w:left="720"/>
        <w:jc w:val="both"/>
        <w:rPr>
          <w:rFonts w:ascii="Arial" w:hAnsi="Arial" w:cs="Arial"/>
        </w:rPr>
      </w:pPr>
      <w:r>
        <w:rPr>
          <w:rFonts w:ascii="Arial" w:hAnsi="Arial" w:cs="Arial"/>
        </w:rPr>
        <w:t xml:space="preserve">Des dépassements aux maxima sont </w:t>
      </w:r>
      <w:r>
        <w:rPr>
          <w:rFonts w:ascii="Arial" w:hAnsi="Arial" w:cs="Arial"/>
          <w:u w:val="single"/>
        </w:rPr>
        <w:t xml:space="preserve">automatiquement autorisés, sans demande de dérogation préalable mais en </w:t>
      </w:r>
      <w:r>
        <w:rPr>
          <w:rFonts w:ascii="Arial" w:hAnsi="Arial" w:cs="Arial"/>
          <w:b/>
          <w:i/>
          <w:u w:val="single"/>
        </w:rPr>
        <w:t>informant</w:t>
      </w:r>
      <w:r>
        <w:rPr>
          <w:rFonts w:ascii="Arial" w:hAnsi="Arial" w:cs="Arial"/>
          <w:u w:val="single"/>
        </w:rPr>
        <w:t xml:space="preserve"> les organes de concertation</w:t>
      </w:r>
      <w:r>
        <w:rPr>
          <w:rStyle w:val="Appelnotedebasdep"/>
        </w:rPr>
        <w:footnoteReference w:id="56"/>
      </w:r>
      <w:r>
        <w:rPr>
          <w:rFonts w:ascii="Arial" w:hAnsi="Arial" w:cs="Arial"/>
        </w:rPr>
        <w:t>, dans les 3 situations et conditions ci-dessous :</w:t>
      </w:r>
    </w:p>
    <w:p>
      <w:pPr>
        <w:rPr>
          <w:rFonts w:cs="Arial"/>
          <w:szCs w:val="22"/>
        </w:rPr>
      </w:pPr>
    </w:p>
    <w:p>
      <w:pPr>
        <w:pStyle w:val="Sansinterligne1"/>
        <w:ind w:left="720" w:hanging="720"/>
        <w:jc w:val="both"/>
        <w:rPr>
          <w:rFonts w:ascii="Arial" w:hAnsi="Arial" w:cs="Arial"/>
        </w:rPr>
      </w:pPr>
      <w:r>
        <w:rPr>
          <w:rFonts w:ascii="Arial" w:hAnsi="Arial" w:cs="Arial"/>
          <w:b/>
          <w:i/>
        </w:rPr>
        <w:t>3.3.2.2.a.</w:t>
      </w:r>
      <w:r>
        <w:rPr>
          <w:rFonts w:ascii="Arial" w:hAnsi="Arial" w:cs="Arial"/>
          <w:b/>
          <w:i/>
        </w:rPr>
        <w:tab/>
      </w:r>
      <w:r>
        <w:rPr>
          <w:rFonts w:ascii="Arial" w:hAnsi="Arial" w:cs="Arial"/>
        </w:rPr>
        <w:t xml:space="preserve">Pour l’année scolaire 2017-2018, les implantations de la </w:t>
      </w:r>
      <w:r>
        <w:rPr>
          <w:rFonts w:ascii="Arial" w:hAnsi="Arial" w:cs="Arial"/>
          <w:u w:val="single"/>
        </w:rPr>
        <w:t>Région de Bruxelles-Capitale</w:t>
      </w:r>
      <w:r>
        <w:rPr>
          <w:rFonts w:ascii="Arial" w:hAnsi="Arial" w:cs="Arial"/>
        </w:rPr>
        <w:t xml:space="preserve"> pourront procéder à des dépassements aux maxima s’il s’avère </w:t>
      </w:r>
      <w:r>
        <w:rPr>
          <w:rFonts w:ascii="Arial" w:hAnsi="Arial" w:cs="Arial"/>
          <w:i/>
          <w:u w:val="single"/>
        </w:rPr>
        <w:t>impossible</w:t>
      </w:r>
      <w:r>
        <w:rPr>
          <w:rFonts w:ascii="Arial" w:hAnsi="Arial" w:cs="Arial"/>
        </w:rPr>
        <w:t xml:space="preserve"> d’augmenter le nombre de classes </w:t>
      </w:r>
      <w:r>
        <w:rPr>
          <w:rFonts w:ascii="Arial" w:hAnsi="Arial" w:cs="Arial"/>
          <w:i/>
          <w:u w:val="single"/>
        </w:rPr>
        <w:t>sans créer</w:t>
      </w:r>
      <w:r>
        <w:rPr>
          <w:rFonts w:ascii="Arial" w:hAnsi="Arial" w:cs="Arial"/>
        </w:rPr>
        <w:t xml:space="preserve"> de nouvelles implantations ou d’établissements scolaires</w:t>
      </w:r>
      <w:r>
        <w:rPr>
          <w:rStyle w:val="Appelnotedebasdep"/>
        </w:rPr>
        <w:footnoteReference w:id="57"/>
      </w:r>
      <w:r>
        <w:rPr>
          <w:rFonts w:ascii="Arial" w:hAnsi="Arial" w:cs="Arial"/>
        </w:rPr>
        <w:t>;</w:t>
      </w:r>
    </w:p>
    <w:p>
      <w:pPr>
        <w:rPr>
          <w:rFonts w:cs="Arial"/>
          <w:szCs w:val="22"/>
        </w:rPr>
      </w:pPr>
    </w:p>
    <w:p>
      <w:pPr>
        <w:ind w:left="720" w:hanging="720"/>
        <w:jc w:val="both"/>
        <w:rPr>
          <w:rFonts w:cs="Arial"/>
          <w:szCs w:val="22"/>
        </w:rPr>
      </w:pPr>
      <w:r>
        <w:rPr>
          <w:rFonts w:cs="Arial"/>
          <w:b/>
          <w:i/>
          <w:szCs w:val="22"/>
        </w:rPr>
        <w:t>3.3.2.2.b.</w:t>
      </w:r>
      <w:r>
        <w:rPr>
          <w:rFonts w:cs="Arial"/>
          <w:szCs w:val="22"/>
        </w:rPr>
        <w:tab/>
        <w:t xml:space="preserve">Dans le cas où la taille et/ou </w:t>
      </w:r>
      <w:r>
        <w:rPr>
          <w:rFonts w:cs="Arial"/>
          <w:i/>
          <w:szCs w:val="22"/>
          <w:u w:val="single"/>
        </w:rPr>
        <w:t>le nombre de locaux</w:t>
      </w:r>
      <w:r>
        <w:rPr>
          <w:rFonts w:cs="Arial"/>
          <w:szCs w:val="22"/>
        </w:rPr>
        <w:t xml:space="preserve"> ne permet pas d’organiser l’école autrement;</w:t>
      </w:r>
    </w:p>
    <w:p>
      <w:pPr>
        <w:jc w:val="both"/>
        <w:rPr>
          <w:rFonts w:cs="Arial"/>
          <w:szCs w:val="22"/>
        </w:rPr>
      </w:pPr>
    </w:p>
    <w:p>
      <w:pPr>
        <w:ind w:left="720" w:hanging="720"/>
        <w:jc w:val="both"/>
        <w:rPr>
          <w:rFonts w:cs="Arial"/>
          <w:szCs w:val="22"/>
        </w:rPr>
      </w:pPr>
      <w:r>
        <w:rPr>
          <w:rFonts w:cs="Arial"/>
          <w:b/>
          <w:i/>
          <w:szCs w:val="22"/>
        </w:rPr>
        <w:t>3.3.2.2.c.</w:t>
      </w:r>
      <w:r>
        <w:rPr>
          <w:rFonts w:cs="Arial"/>
          <w:szCs w:val="22"/>
        </w:rPr>
        <w:tab/>
        <w:t xml:space="preserve">Dans le cas d’une </w:t>
      </w:r>
      <w:r>
        <w:rPr>
          <w:rFonts w:cs="Arial"/>
          <w:i/>
          <w:szCs w:val="22"/>
          <w:u w:val="single"/>
        </w:rPr>
        <w:t>augmentation de la population de l’implantation de plus de 10%</w:t>
      </w:r>
      <w:r>
        <w:rPr>
          <w:rFonts w:cs="Arial"/>
          <w:szCs w:val="22"/>
        </w:rPr>
        <w:t xml:space="preserve">  entre le 15 janvier et le 30 septembre à condition que:</w:t>
      </w:r>
    </w:p>
    <w:p>
      <w:pPr>
        <w:numPr>
          <w:ilvl w:val="5"/>
          <w:numId w:val="140"/>
        </w:numPr>
        <w:jc w:val="both"/>
        <w:rPr>
          <w:rFonts w:cs="Arial"/>
          <w:szCs w:val="22"/>
        </w:rPr>
      </w:pPr>
      <w:r>
        <w:rPr>
          <w:rFonts w:cs="Arial"/>
          <w:szCs w:val="22"/>
        </w:rPr>
        <w:t>l’école dont dépend l’implantation concernée ne soit pas en situation de recomptage primaire au 30 septembre</w:t>
      </w:r>
      <w:r>
        <w:rPr>
          <w:rStyle w:val="Appelnotedebasdep"/>
          <w:szCs w:val="22"/>
        </w:rPr>
        <w:footnoteReference w:id="58"/>
      </w:r>
      <w:r>
        <w:rPr>
          <w:rFonts w:cs="Arial"/>
          <w:szCs w:val="22"/>
        </w:rPr>
        <w:t>;</w:t>
      </w:r>
    </w:p>
    <w:p>
      <w:pPr>
        <w:numPr>
          <w:ilvl w:val="5"/>
          <w:numId w:val="140"/>
        </w:numPr>
        <w:jc w:val="both"/>
        <w:rPr>
          <w:rFonts w:cs="Arial"/>
          <w:szCs w:val="22"/>
        </w:rPr>
      </w:pPr>
      <w:r>
        <w:rPr>
          <w:rFonts w:cs="Arial"/>
          <w:szCs w:val="22"/>
        </w:rPr>
        <w:t>cette augmentation ne résulte pas d’une restructuration</w:t>
      </w:r>
      <w:r>
        <w:rPr>
          <w:rStyle w:val="Appelnotedebasdep"/>
          <w:szCs w:val="22"/>
        </w:rPr>
        <w:footnoteReference w:id="59"/>
      </w:r>
      <w:r>
        <w:rPr>
          <w:rFonts w:cs="Arial"/>
          <w:szCs w:val="22"/>
        </w:rPr>
        <w:t>.</w:t>
      </w:r>
    </w:p>
    <w:p>
      <w:pPr>
        <w:numPr>
          <w:ilvl w:val="5"/>
          <w:numId w:val="140"/>
        </w:numPr>
        <w:jc w:val="both"/>
        <w:rPr>
          <w:rFonts w:cs="Arial"/>
          <w:szCs w:val="22"/>
        </w:rPr>
      </w:pPr>
      <w:r>
        <w:rPr>
          <w:rFonts w:cs="Arial"/>
          <w:szCs w:val="22"/>
        </w:rPr>
        <w:t>l’implantation concernée n’a pas la possibilité d’un transfert de périodes tel que prévu à l’art 37 du Décret du 13/7/98;</w:t>
      </w:r>
    </w:p>
    <w:p>
      <w:pPr>
        <w:autoSpaceDE w:val="0"/>
        <w:autoSpaceDN w:val="0"/>
        <w:adjustRightInd w:val="0"/>
        <w:jc w:val="both"/>
        <w:rPr>
          <w:rFonts w:cs="Arial"/>
          <w:szCs w:val="22"/>
        </w:rPr>
      </w:pPr>
    </w:p>
    <w:p>
      <w:pPr>
        <w:autoSpaceDE w:val="0"/>
        <w:autoSpaceDN w:val="0"/>
        <w:adjustRightInd w:val="0"/>
        <w:ind w:left="720"/>
        <w:jc w:val="both"/>
        <w:rPr>
          <w:rFonts w:cs="Arial"/>
          <w:szCs w:val="22"/>
        </w:rPr>
      </w:pPr>
      <w:r>
        <w:rPr>
          <w:rFonts w:cs="Arial"/>
          <w:szCs w:val="22"/>
        </w:rPr>
        <w:t xml:space="preserve">Lors de chaque rentrée scolaire, le </w:t>
      </w:r>
      <w:r>
        <w:rPr>
          <w:rFonts w:cs="Arial"/>
          <w:szCs w:val="22"/>
          <w:lang w:val="fr-BE" w:eastAsia="fr-BE"/>
        </w:rPr>
        <w:t xml:space="preserve">chef d’établissement, dans l'enseignement de </w:t>
      </w:r>
      <w:smartTag w:uri="urn:schemas-microsoft-com:office:smarttags" w:element="PersonName">
        <w:smartTagPr>
          <w:attr w:name="ProductID" w:val="la F￩d￩ration Wallonie-Bruxelles"/>
        </w:smartTagPr>
        <w:r>
          <w:rPr>
            <w:rFonts w:cs="Arial"/>
            <w:szCs w:val="22"/>
            <w:lang w:val="fr-BE" w:eastAsia="fr-BE"/>
          </w:rPr>
          <w:t>la Fédération Wallonie-Bruxelles</w:t>
        </w:r>
      </w:smartTag>
      <w:r>
        <w:rPr>
          <w:rFonts w:cs="Arial"/>
          <w:szCs w:val="22"/>
          <w:lang w:val="fr-BE" w:eastAsia="fr-BE"/>
        </w:rPr>
        <w:t xml:space="preserve">, le Pouvoir organisateur, dans l'enseignement subventionné, </w:t>
      </w:r>
      <w:r>
        <w:rPr>
          <w:rFonts w:cs="Arial"/>
          <w:b/>
          <w:i/>
          <w:szCs w:val="22"/>
          <w:lang w:val="fr-BE" w:eastAsia="fr-BE"/>
        </w:rPr>
        <w:t>informe</w:t>
      </w:r>
      <w:r>
        <w:rPr>
          <w:rFonts w:cs="Arial"/>
          <w:szCs w:val="22"/>
          <w:lang w:val="fr-BE" w:eastAsia="fr-BE"/>
        </w:rPr>
        <w:t xml:space="preserve"> le comité de concertation de base dans l'enseignement de </w:t>
      </w:r>
      <w:smartTag w:uri="urn:schemas-microsoft-com:office:smarttags" w:element="PersonName">
        <w:smartTagPr>
          <w:attr w:name="ProductID" w:val="la F￩d￩ration Wallonie-Bruxelles"/>
        </w:smartTagPr>
        <w:r>
          <w:rPr>
            <w:rFonts w:cs="Arial"/>
            <w:szCs w:val="22"/>
            <w:lang w:val="fr-BE" w:eastAsia="fr-BE"/>
          </w:rPr>
          <w:t xml:space="preserve">la </w:t>
        </w:r>
        <w:r>
          <w:t>Fédération Wallonie-Bruxelles</w:t>
        </w:r>
      </w:smartTag>
      <w:r>
        <w:rPr>
          <w:rFonts w:cs="Arial"/>
          <w:szCs w:val="22"/>
          <w:lang w:val="fr-BE" w:eastAsia="fr-BE"/>
        </w:rPr>
        <w:t>, la commission paritaire locale dans l'enseignement officiel subventionné et les conseils d'entreprises, ou, à défaut, le comité pour la prévention et la protection du travail, ou, à défaut, les instances de concertation locale, ou, à défaut, les délégations syndicales dans l'enseignement libre subventionné,</w:t>
      </w:r>
      <w:r>
        <w:rPr>
          <w:rFonts w:cs="Arial"/>
          <w:szCs w:val="22"/>
        </w:rPr>
        <w:t xml:space="preserve"> des dépassements prévus afin de leur permettre de valider la conformité des situations et conditions avec celles précisées ci-dessus. </w:t>
      </w:r>
    </w:p>
    <w:p>
      <w:pPr>
        <w:autoSpaceDE w:val="0"/>
        <w:autoSpaceDN w:val="0"/>
        <w:adjustRightInd w:val="0"/>
        <w:ind w:left="720"/>
        <w:jc w:val="both"/>
        <w:rPr>
          <w:rFonts w:cs="Arial"/>
          <w:szCs w:val="22"/>
        </w:rPr>
      </w:pPr>
    </w:p>
    <w:p>
      <w:pPr>
        <w:autoSpaceDE w:val="0"/>
        <w:autoSpaceDN w:val="0"/>
        <w:adjustRightInd w:val="0"/>
        <w:ind w:left="720"/>
        <w:jc w:val="both"/>
        <w:rPr>
          <w:rFonts w:cs="Arial"/>
          <w:szCs w:val="22"/>
        </w:rPr>
      </w:pPr>
      <w:r>
        <w:rPr>
          <w:rFonts w:cs="Arial"/>
          <w:szCs w:val="22"/>
        </w:rPr>
        <w:t xml:space="preserve">En cas de contestation, ces instances de concertation sociale peuvent introduire un recours auprès de </w:t>
      </w: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w:t>
      </w:r>
      <w:r>
        <w:rPr>
          <w:rStyle w:val="Appelnotedebasdep"/>
          <w:szCs w:val="22"/>
        </w:rPr>
        <w:footnoteReference w:id="60"/>
      </w:r>
      <w:r>
        <w:rPr>
          <w:rFonts w:cs="Arial"/>
          <w:szCs w:val="22"/>
        </w:rPr>
        <w:t xml:space="preserve"> qui vérifie si les situations et conditions sont ou non rencontrées. Le recours n’est pas suspensif.</w:t>
      </w:r>
    </w:p>
    <w:p>
      <w:pPr>
        <w:autoSpaceDE w:val="0"/>
        <w:autoSpaceDN w:val="0"/>
        <w:adjustRightInd w:val="0"/>
        <w:ind w:left="720"/>
        <w:jc w:val="both"/>
        <w:rPr>
          <w:rFonts w:cs="Arial"/>
          <w:szCs w:val="22"/>
        </w:rPr>
      </w:pPr>
    </w:p>
    <w:p>
      <w:pPr>
        <w:autoSpaceDE w:val="0"/>
        <w:autoSpaceDN w:val="0"/>
        <w:adjustRightInd w:val="0"/>
        <w:ind w:left="720"/>
        <w:jc w:val="both"/>
        <w:rPr>
          <w:rFonts w:cs="Arial"/>
          <w:szCs w:val="22"/>
          <w:lang w:val="fr-BE" w:eastAsia="fr-BE"/>
        </w:rPr>
      </w:pPr>
      <w:r>
        <w:t xml:space="preserve">Si, après vérification, les situations et conditions ne sont pas rencontrées, </w:t>
      </w:r>
      <w:smartTag w:uri="urn:schemas-microsoft-com:office:smarttags" w:element="PersonName">
        <w:smartTagPr>
          <w:attr w:name="ProductID" w:val="la Direction"/>
        </w:smartTagPr>
        <w:r>
          <w:t>la Direction</w:t>
        </w:r>
      </w:smartTag>
      <w:r>
        <w:t xml:space="preserve"> générale de l’enseignement obligatoire en informe le </w:t>
      </w:r>
      <w:r>
        <w:rPr>
          <w:lang w:val="fr-BE" w:eastAsia="fr-BE"/>
        </w:rPr>
        <w:t xml:space="preserve">chef d’établissement dans l'enseignement de </w:t>
      </w:r>
      <w:smartTag w:uri="urn:schemas-microsoft-com:office:smarttags" w:element="PersonName">
        <w:smartTagPr>
          <w:attr w:name="ProductID" w:val="la F￩d￩ration Wallonie-Bruxelles"/>
        </w:smartTagPr>
        <w:r>
          <w:rPr>
            <w:lang w:val="fr-BE" w:eastAsia="fr-BE"/>
          </w:rPr>
          <w:t xml:space="preserve">la </w:t>
        </w:r>
        <w:r>
          <w:rPr>
            <w:rFonts w:cs="Arial"/>
            <w:szCs w:val="22"/>
            <w:lang w:val="fr-BE" w:eastAsia="fr-BE"/>
          </w:rPr>
          <w:t>Fédération Wallonie-Bruxelles</w:t>
        </w:r>
      </w:smartTag>
      <w:r>
        <w:rPr>
          <w:lang w:val="fr-BE" w:eastAsia="fr-BE"/>
        </w:rPr>
        <w:t>, le Pouvoir organisateur, dans l'enseignement subventionné. Ceux-ci sont alors tenus de mettre en œuvre, dans le mois qui suit, une organisation qui répond aux normes fixées.</w:t>
      </w:r>
    </w:p>
    <w:p>
      <w:pPr>
        <w:pStyle w:val="Sansinterligne1"/>
        <w:jc w:val="both"/>
        <w:rPr>
          <w:rFonts w:ascii="Arial" w:hAnsi="Arial" w:cs="Arial"/>
          <w:sz w:val="24"/>
          <w:szCs w:val="24"/>
        </w:rPr>
      </w:pPr>
    </w:p>
    <w:p>
      <w:pPr>
        <w:pStyle w:val="Titre4"/>
      </w:pPr>
      <w:bookmarkStart w:id="1128" w:name="_Toc423420072"/>
      <w:bookmarkStart w:id="1129" w:name="_Toc450645279"/>
      <w:bookmarkStart w:id="1130" w:name="_Toc453942515"/>
      <w:bookmarkStart w:id="1131" w:name="_Toc454888132"/>
      <w:bookmarkStart w:id="1132" w:name="_Toc486241793"/>
      <w:r>
        <w:t>3.3.2.3. Dépassements automatiques accordés avec avis préalable des organes de concertation</w:t>
      </w:r>
      <w:bookmarkEnd w:id="1128"/>
      <w:bookmarkEnd w:id="1129"/>
      <w:bookmarkEnd w:id="1130"/>
      <w:bookmarkEnd w:id="1131"/>
      <w:bookmarkEnd w:id="1132"/>
    </w:p>
    <w:p>
      <w:pPr>
        <w:rPr>
          <w:rFonts w:cs="Arial"/>
          <w:sz w:val="24"/>
        </w:rPr>
      </w:pPr>
    </w:p>
    <w:p>
      <w:pPr>
        <w:pStyle w:val="Sansinterligne1"/>
        <w:tabs>
          <w:tab w:val="num" w:pos="1080"/>
        </w:tabs>
        <w:ind w:left="720"/>
        <w:jc w:val="both"/>
        <w:rPr>
          <w:rFonts w:ascii="Arial" w:hAnsi="Arial" w:cs="Arial"/>
        </w:rPr>
      </w:pPr>
      <w:r>
        <w:rPr>
          <w:rFonts w:ascii="Arial" w:hAnsi="Arial" w:cs="Arial"/>
        </w:rPr>
        <w:t xml:space="preserve">Des dépassements aux maxima sont </w:t>
      </w:r>
      <w:r>
        <w:rPr>
          <w:rFonts w:ascii="Arial" w:hAnsi="Arial" w:cs="Arial"/>
          <w:u w:val="single"/>
        </w:rPr>
        <w:t>automatiquement accordés, sans demande de dérogation préalable mais après avoir pris l’</w:t>
      </w:r>
      <w:r>
        <w:rPr>
          <w:rFonts w:ascii="Arial" w:hAnsi="Arial" w:cs="Arial"/>
          <w:b/>
          <w:i/>
          <w:u w:val="single"/>
        </w:rPr>
        <w:t>avis</w:t>
      </w:r>
      <w:r>
        <w:rPr>
          <w:rFonts w:ascii="Arial" w:hAnsi="Arial" w:cs="Arial"/>
          <w:u w:val="single"/>
        </w:rPr>
        <w:t xml:space="preserve"> des organes de concertation</w:t>
      </w:r>
      <w:r>
        <w:rPr>
          <w:rStyle w:val="Appelnotedebasdep"/>
        </w:rPr>
        <w:footnoteReference w:id="61"/>
      </w:r>
      <w:r>
        <w:rPr>
          <w:rFonts w:ascii="Arial" w:hAnsi="Arial" w:cs="Arial"/>
          <w:u w:val="single"/>
        </w:rPr>
        <w:t>,</w:t>
      </w:r>
      <w:r>
        <w:rPr>
          <w:rFonts w:ascii="Arial" w:hAnsi="Arial" w:cs="Arial"/>
        </w:rPr>
        <w:t xml:space="preserve"> dans le cas ci-dessous:</w:t>
      </w:r>
    </w:p>
    <w:p>
      <w:pPr>
        <w:rPr>
          <w:rFonts w:cs="Arial"/>
          <w:szCs w:val="22"/>
        </w:rPr>
      </w:pPr>
    </w:p>
    <w:p>
      <w:pPr>
        <w:pStyle w:val="Sansinterligne1"/>
        <w:tabs>
          <w:tab w:val="num" w:pos="1080"/>
        </w:tabs>
        <w:ind w:left="720"/>
        <w:jc w:val="both"/>
        <w:rPr>
          <w:rFonts w:ascii="Arial" w:hAnsi="Arial" w:cs="Arial"/>
          <w:lang w:val="fr-BE" w:eastAsia="fr-BE"/>
        </w:rPr>
      </w:pPr>
      <w:r>
        <w:rPr>
          <w:rFonts w:ascii="Arial" w:hAnsi="Arial" w:cs="Arial"/>
        </w:rPr>
        <w:t>Si le nombre de classes organisables sur la base du capital-périodes déterminé au 15 janvier ne permet pas de dédoubler un groupe dont la taille est fonction de l’hétérogénéité du nombre d’élèves par classe d’âge.</w:t>
      </w:r>
      <w:r>
        <w:rPr>
          <w:rFonts w:ascii="Arial" w:hAnsi="Arial" w:cs="Arial"/>
          <w:lang w:val="fr-BE" w:eastAsia="fr-BE"/>
        </w:rPr>
        <w:t xml:space="preserve"> </w:t>
      </w:r>
    </w:p>
    <w:p>
      <w:pPr>
        <w:pStyle w:val="Sansinterligne1"/>
        <w:tabs>
          <w:tab w:val="num" w:pos="1080"/>
        </w:tabs>
        <w:jc w:val="both"/>
        <w:rPr>
          <w:rFonts w:ascii="Arial" w:hAnsi="Arial" w:cs="Arial"/>
          <w:lang w:val="fr-BE"/>
        </w:rPr>
      </w:pPr>
    </w:p>
    <w:p>
      <w:pPr>
        <w:pStyle w:val="Sansinterligne1"/>
        <w:ind w:left="1080"/>
        <w:jc w:val="both"/>
        <w:rPr>
          <w:rFonts w:ascii="Arial" w:hAnsi="Arial" w:cs="Arial"/>
          <w:i/>
          <w:u w:val="single"/>
        </w:rPr>
      </w:pPr>
      <w:r>
        <w:rPr>
          <w:rFonts w:ascii="Arial" w:hAnsi="Arial" w:cs="Arial"/>
          <w:i/>
          <w:u w:val="single"/>
        </w:rPr>
        <w:t>Exemples:</w:t>
      </w:r>
    </w:p>
    <w:p>
      <w:pPr>
        <w:pStyle w:val="Sansinterligne1"/>
        <w:ind w:left="1080"/>
        <w:jc w:val="both"/>
        <w:rPr>
          <w:rFonts w:ascii="Arial" w:hAnsi="Arial" w:cs="Arial"/>
          <w:i/>
          <w:u w:val="single"/>
        </w:rPr>
      </w:pPr>
    </w:p>
    <w:p>
      <w:pPr>
        <w:pStyle w:val="Sansinterligne1"/>
        <w:ind w:left="1440"/>
        <w:jc w:val="both"/>
        <w:rPr>
          <w:rFonts w:ascii="Arial" w:hAnsi="Arial" w:cs="Arial"/>
          <w:i/>
        </w:rPr>
      </w:pPr>
      <w:r>
        <w:rPr>
          <w:rFonts w:ascii="Arial" w:hAnsi="Arial" w:cs="Arial"/>
          <w:i/>
        </w:rPr>
        <w:t xml:space="preserve">Sur la base du nombre d’élèves au 15 janvier précédent (ou en cas de recomptage au 30 septembre), le capital-périodes ne permet que l’organisation de 5 classes.  </w:t>
      </w:r>
      <w:r>
        <w:rPr>
          <w:rFonts w:ascii="Arial" w:hAnsi="Arial" w:cs="Arial"/>
        </w:rPr>
        <w:t>Il y a donc lieu de procéder au regroupement des élèves de 2 années d’étude dans une même classe. Dans ce cas, le nombre d’élèves de cette classe peut être supérieur aux maxima prévus</w:t>
      </w:r>
      <w:r>
        <w:rPr>
          <w:rFonts w:ascii="Arial" w:hAnsi="Arial" w:cs="Arial"/>
          <w:i/>
        </w:rPr>
        <w:t xml:space="preserve">. </w:t>
      </w:r>
    </w:p>
    <w:p>
      <w:pPr>
        <w:pStyle w:val="Sansinterligne1"/>
        <w:ind w:left="1440"/>
        <w:jc w:val="both"/>
        <w:rPr>
          <w:rFonts w:ascii="Arial" w:hAnsi="Arial" w:cs="Arial"/>
          <w:i/>
        </w:rPr>
      </w:pPr>
    </w:p>
    <w:p>
      <w:pPr>
        <w:pStyle w:val="Sansinterligne1"/>
        <w:numPr>
          <w:ilvl w:val="1"/>
          <w:numId w:val="139"/>
        </w:numPr>
        <w:jc w:val="both"/>
        <w:rPr>
          <w:rFonts w:ascii="Arial" w:hAnsi="Arial" w:cs="Arial"/>
          <w:i/>
          <w:sz w:val="24"/>
          <w:szCs w:val="24"/>
        </w:rPr>
      </w:pPr>
      <w:r>
        <w:rPr>
          <w:rFonts w:ascii="Arial" w:hAnsi="Arial" w:cs="Arial"/>
          <w:i/>
        </w:rPr>
        <w:t>Sur la base du nombre d’élèves au 15 janvier précédent (ou en cas de recomptage au 30 septembre), le capital-périodes ne permet que l’organisation de 11 classes. Toutes les années d’étude pourront être dédoublées sauf une d’entre elles (normalement l’année d’étude qui comptera le moins d’élèves). Dans cette classe qu’il n’est pas possible de dédoubler, le nombre d’élèves pourra être supérieur aux maxima prévus</w:t>
      </w:r>
      <w:r>
        <w:rPr>
          <w:rFonts w:ascii="Arial" w:hAnsi="Arial" w:cs="Arial"/>
          <w:i/>
          <w:sz w:val="24"/>
          <w:szCs w:val="24"/>
        </w:rPr>
        <w:t xml:space="preserve">. </w:t>
      </w:r>
    </w:p>
    <w:p>
      <w:pPr>
        <w:pStyle w:val="Sansinterligne1"/>
        <w:jc w:val="both"/>
        <w:rPr>
          <w:rFonts w:ascii="Arial" w:hAnsi="Arial" w:cs="Arial"/>
          <w:sz w:val="24"/>
          <w:szCs w:val="24"/>
        </w:rPr>
      </w:pPr>
    </w:p>
    <w:p>
      <w:pPr>
        <w:pStyle w:val="Titre4"/>
      </w:pPr>
      <w:bookmarkStart w:id="1133" w:name="_Toc423420073"/>
      <w:bookmarkStart w:id="1134" w:name="_Toc450645280"/>
      <w:bookmarkStart w:id="1135" w:name="_Toc453942516"/>
      <w:bookmarkStart w:id="1136" w:name="_Toc454888133"/>
      <w:bookmarkStart w:id="1137" w:name="_Toc486241794"/>
      <w:r>
        <w:t>3.3.2.4. Des dépassements accordés par dérogation du Gouvernement avec avis préalable favorable des organes de concertation</w:t>
      </w:r>
      <w:bookmarkEnd w:id="1133"/>
      <w:bookmarkEnd w:id="1134"/>
      <w:bookmarkEnd w:id="1135"/>
      <w:bookmarkEnd w:id="1136"/>
      <w:bookmarkEnd w:id="1137"/>
    </w:p>
    <w:p>
      <w:pPr>
        <w:pStyle w:val="Sansinterligne1"/>
        <w:ind w:left="720"/>
        <w:jc w:val="both"/>
        <w:rPr>
          <w:rFonts w:ascii="Arial" w:hAnsi="Arial" w:cs="Arial"/>
          <w:sz w:val="24"/>
          <w:szCs w:val="24"/>
        </w:rPr>
      </w:pPr>
    </w:p>
    <w:p>
      <w:pPr>
        <w:pStyle w:val="Sansinterligne1"/>
        <w:tabs>
          <w:tab w:val="num" w:pos="1080"/>
        </w:tabs>
        <w:ind w:left="720"/>
        <w:jc w:val="both"/>
        <w:rPr>
          <w:rFonts w:ascii="Arial" w:hAnsi="Arial" w:cs="Arial"/>
        </w:rPr>
      </w:pPr>
      <w:r>
        <w:rPr>
          <w:rFonts w:ascii="Arial" w:hAnsi="Arial" w:cs="Arial"/>
        </w:rPr>
        <w:t xml:space="preserve">Hors les dépassements visés ci-dessus, </w:t>
      </w:r>
      <w:r>
        <w:rPr>
          <w:rFonts w:ascii="Arial" w:hAnsi="Arial" w:cs="Arial"/>
          <w:u w:val="single"/>
        </w:rPr>
        <w:t xml:space="preserve">des </w:t>
      </w:r>
      <w:r>
        <w:rPr>
          <w:rFonts w:ascii="Arial" w:hAnsi="Arial" w:cs="Arial"/>
          <w:b/>
          <w:i/>
          <w:u w:val="single"/>
        </w:rPr>
        <w:t>demandes de dérogation</w:t>
      </w:r>
      <w:r>
        <w:rPr>
          <w:rFonts w:ascii="Arial" w:hAnsi="Arial" w:cs="Arial"/>
          <w:u w:val="single"/>
        </w:rPr>
        <w:t xml:space="preserve"> au maxima peuvent être introduites à </w:t>
      </w:r>
      <w:smartTag w:uri="urn:schemas-microsoft-com:office:smarttags" w:element="PersonName">
        <w:smartTagPr>
          <w:attr w:name="ProductID" w:val="la Direction"/>
        </w:smartTagPr>
        <w:r>
          <w:rPr>
            <w:rFonts w:ascii="Arial" w:hAnsi="Arial" w:cs="Arial"/>
            <w:u w:val="single"/>
          </w:rPr>
          <w:t>la Direction</w:t>
        </w:r>
      </w:smartTag>
      <w:r>
        <w:rPr>
          <w:rFonts w:ascii="Arial" w:hAnsi="Arial" w:cs="Arial"/>
          <w:u w:val="single"/>
        </w:rPr>
        <w:t xml:space="preserve"> générale de l’enseignement obligatoire</w:t>
      </w:r>
      <w:r>
        <w:rPr>
          <w:rStyle w:val="Appelnotedebasdep"/>
        </w:rPr>
        <w:footnoteReference w:id="62"/>
      </w:r>
      <w:r>
        <w:rPr>
          <w:rFonts w:ascii="Arial" w:hAnsi="Arial" w:cs="Arial"/>
          <w:u w:val="single"/>
        </w:rPr>
        <w:t xml:space="preserve">, </w:t>
      </w:r>
      <w:r>
        <w:rPr>
          <w:rFonts w:ascii="Arial" w:hAnsi="Arial" w:cs="Arial"/>
          <w:b/>
          <w:i/>
          <w:u w:val="single"/>
        </w:rPr>
        <w:t>sur la base d’un avis favorable</w:t>
      </w:r>
      <w:r>
        <w:rPr>
          <w:rFonts w:ascii="Arial" w:hAnsi="Arial" w:cs="Arial"/>
          <w:u w:val="single"/>
        </w:rPr>
        <w:t xml:space="preserve"> des organes de concertation</w:t>
      </w:r>
      <w:r>
        <w:rPr>
          <w:rStyle w:val="Appelnotedebasdep"/>
        </w:rPr>
        <w:footnoteReference w:id="63"/>
      </w:r>
      <w:r>
        <w:rPr>
          <w:rFonts w:ascii="Arial" w:hAnsi="Arial" w:cs="Arial"/>
          <w:u w:val="single"/>
        </w:rPr>
        <w:t>.</w:t>
      </w:r>
      <w:r>
        <w:rPr>
          <w:rFonts w:ascii="Arial" w:hAnsi="Arial" w:cs="Arial"/>
        </w:rPr>
        <w:t xml:space="preserve"> </w:t>
      </w:r>
    </w:p>
    <w:p>
      <w:pPr>
        <w:rPr>
          <w:rFonts w:cs="Arial"/>
          <w:szCs w:val="22"/>
        </w:rPr>
      </w:pPr>
    </w:p>
    <w:p>
      <w:pPr>
        <w:pStyle w:val="Sansinterligne1"/>
        <w:ind w:left="720"/>
        <w:jc w:val="both"/>
        <w:rPr>
          <w:rFonts w:ascii="Arial" w:hAnsi="Arial" w:cs="Arial"/>
        </w:rPr>
      </w:pPr>
      <w:r>
        <w:rPr>
          <w:rFonts w:ascii="Arial" w:hAnsi="Arial" w:cs="Arial"/>
        </w:rPr>
        <w:t xml:space="preserve">Les dérogations </w:t>
      </w:r>
      <w:r>
        <w:rPr>
          <w:rFonts w:ascii="Arial" w:hAnsi="Arial" w:cs="Arial"/>
          <w:u w:val="single"/>
        </w:rPr>
        <w:t>par le Gouvernement, avec délégation à l’Administration,</w:t>
      </w:r>
      <w:r>
        <w:rPr>
          <w:rFonts w:ascii="Arial" w:hAnsi="Arial" w:cs="Arial"/>
        </w:rPr>
        <w:t xml:space="preserve"> ne pourront être accordées que dans les 3 cas et conditions suivants:</w:t>
      </w:r>
    </w:p>
    <w:p>
      <w:pPr>
        <w:pStyle w:val="Sansinterligne1"/>
        <w:ind w:left="1080"/>
        <w:jc w:val="both"/>
        <w:rPr>
          <w:rFonts w:ascii="Arial" w:hAnsi="Arial" w:cs="Arial"/>
          <w:sz w:val="24"/>
          <w:szCs w:val="24"/>
        </w:rPr>
      </w:pPr>
    </w:p>
    <w:p>
      <w:pPr>
        <w:pStyle w:val="Sansinterligne1"/>
        <w:jc w:val="both"/>
        <w:rPr>
          <w:rFonts w:ascii="Arial" w:hAnsi="Arial" w:cs="Arial"/>
        </w:rPr>
      </w:pPr>
      <w:r>
        <w:rPr>
          <w:rFonts w:ascii="Arial" w:hAnsi="Arial" w:cs="Arial"/>
          <w:b/>
          <w:i/>
          <w:u w:val="single"/>
        </w:rPr>
        <w:t xml:space="preserve">3.3.2.4.a. </w:t>
      </w:r>
      <w:r>
        <w:rPr>
          <w:rFonts w:ascii="Arial" w:hAnsi="Arial" w:cs="Arial"/>
          <w:b/>
          <w:i/>
          <w:u w:val="single"/>
        </w:rPr>
        <w:tab/>
        <w:t>1</w:t>
      </w:r>
      <w:r>
        <w:rPr>
          <w:rFonts w:ascii="Arial" w:hAnsi="Arial" w:cs="Arial"/>
          <w:b/>
          <w:i/>
          <w:u w:val="single"/>
          <w:vertAlign w:val="superscript"/>
        </w:rPr>
        <w:t>er</w:t>
      </w:r>
      <w:r>
        <w:rPr>
          <w:rFonts w:ascii="Arial" w:hAnsi="Arial" w:cs="Arial"/>
          <w:b/>
          <w:i/>
          <w:u w:val="single"/>
        </w:rPr>
        <w:t xml:space="preserve"> cas (dépassement des maxima de 1 ou 2 élèves)</w:t>
      </w:r>
      <w:r>
        <w:rPr>
          <w:rFonts w:ascii="Arial" w:hAnsi="Arial" w:cs="Arial"/>
        </w:rPr>
        <w:t>:</w:t>
      </w:r>
    </w:p>
    <w:p>
      <w:pPr>
        <w:pStyle w:val="Sansinterligne1"/>
        <w:ind w:left="720"/>
        <w:jc w:val="both"/>
        <w:rPr>
          <w:rFonts w:ascii="Arial" w:hAnsi="Arial" w:cs="Arial"/>
        </w:rPr>
      </w:pPr>
    </w:p>
    <w:p>
      <w:pPr>
        <w:pStyle w:val="Sansinterligne1"/>
        <w:ind w:left="720"/>
        <w:jc w:val="both"/>
        <w:rPr>
          <w:rFonts w:ascii="Arial" w:hAnsi="Arial" w:cs="Arial"/>
        </w:rPr>
      </w:pPr>
      <w:r>
        <w:rPr>
          <w:rFonts w:ascii="Arial" w:hAnsi="Arial" w:cs="Arial"/>
          <w:i/>
          <w:u w:val="single"/>
        </w:rPr>
        <w:t>Toutes les conditions ci-dessous sont remplies</w:t>
      </w:r>
      <w:r>
        <w:rPr>
          <w:rFonts w:ascii="Arial" w:hAnsi="Arial" w:cs="Arial"/>
        </w:rPr>
        <w:t>:</w:t>
      </w:r>
    </w:p>
    <w:p>
      <w:pPr>
        <w:pStyle w:val="Sansinterligne1"/>
        <w:ind w:left="1080" w:hanging="360"/>
        <w:jc w:val="both"/>
        <w:rPr>
          <w:rFonts w:ascii="Arial" w:hAnsi="Arial" w:cs="Arial"/>
        </w:rPr>
      </w:pPr>
      <w:r>
        <w:rPr>
          <w:rFonts w:ascii="Arial" w:hAnsi="Arial" w:cs="Arial"/>
        </w:rPr>
        <w:t xml:space="preserve">1) </w:t>
      </w:r>
      <w:r>
        <w:rPr>
          <w:rFonts w:ascii="Arial" w:hAnsi="Arial" w:cs="Arial"/>
        </w:rPr>
        <w:tab/>
        <w:t xml:space="preserve">Une organisation pédagogique particulière a été adoptée; </w:t>
      </w:r>
    </w:p>
    <w:p>
      <w:pPr>
        <w:pStyle w:val="Sansinterligne1"/>
        <w:ind w:left="1080" w:hanging="360"/>
        <w:jc w:val="both"/>
        <w:rPr>
          <w:rFonts w:ascii="Arial" w:hAnsi="Arial" w:cs="Arial"/>
        </w:rPr>
      </w:pPr>
      <w:r>
        <w:rPr>
          <w:rFonts w:ascii="Arial" w:hAnsi="Arial" w:cs="Arial"/>
        </w:rPr>
        <w:t xml:space="preserve">2) </w:t>
      </w:r>
      <w:r>
        <w:rPr>
          <w:rFonts w:ascii="Arial" w:hAnsi="Arial" w:cs="Arial"/>
        </w:rPr>
        <w:tab/>
        <w:t>Un minimum de 12 périodes permet de dédoubler tout ou partie du groupe- classe dont le nombre d’élèves dépasserait le maximum prévu de 2 élèves au plus;</w:t>
      </w:r>
    </w:p>
    <w:p>
      <w:pPr>
        <w:pStyle w:val="Sansinterligne1"/>
        <w:ind w:left="1080" w:hanging="360"/>
        <w:jc w:val="both"/>
        <w:rPr>
          <w:rFonts w:ascii="Arial" w:hAnsi="Arial" w:cs="Arial"/>
        </w:rPr>
      </w:pPr>
      <w:r>
        <w:rPr>
          <w:rFonts w:ascii="Arial" w:hAnsi="Arial" w:cs="Arial"/>
        </w:rPr>
        <w:t xml:space="preserve">3) </w:t>
      </w:r>
      <w:r>
        <w:rPr>
          <w:rFonts w:ascii="Arial" w:hAnsi="Arial" w:cs="Arial"/>
        </w:rPr>
        <w:tab/>
        <w:t xml:space="preserve">Compte tenu du minimum de 12 périodes susvisées, le ratio est bien respecté. </w:t>
      </w:r>
    </w:p>
    <w:p>
      <w:pPr>
        <w:pStyle w:val="Sansinterligne1"/>
        <w:ind w:left="1080"/>
        <w:jc w:val="both"/>
        <w:rPr>
          <w:rFonts w:ascii="Arial" w:hAnsi="Arial" w:cs="Arial"/>
          <w:i/>
          <w:u w:val="single"/>
        </w:rPr>
      </w:pPr>
      <w:r>
        <w:rPr>
          <w:rFonts w:ascii="Arial" w:hAnsi="Arial" w:cs="Arial"/>
          <w:i/>
          <w:u w:val="single"/>
        </w:rPr>
        <w:t>Exemples:</w:t>
      </w:r>
    </w:p>
    <w:p>
      <w:pPr>
        <w:pStyle w:val="Sansinterligne1"/>
        <w:ind w:left="1080"/>
        <w:jc w:val="both"/>
        <w:rPr>
          <w:rFonts w:ascii="Arial" w:hAnsi="Arial" w:cs="Arial"/>
          <w:i/>
        </w:rPr>
      </w:pPr>
    </w:p>
    <w:p>
      <w:pPr>
        <w:pStyle w:val="Sansinterligne1"/>
        <w:numPr>
          <w:ilvl w:val="1"/>
          <w:numId w:val="139"/>
        </w:numPr>
        <w:jc w:val="both"/>
        <w:rPr>
          <w:rFonts w:ascii="Arial" w:hAnsi="Arial" w:cs="Arial"/>
          <w:i/>
        </w:rPr>
      </w:pPr>
      <w:r>
        <w:rPr>
          <w:rFonts w:ascii="Arial" w:hAnsi="Arial" w:cs="Arial"/>
          <w:i/>
        </w:rPr>
        <w:t xml:space="preserve">Une école organise 3 classes de P1-P2. Pour des raisons d’organisation propres à l’établissement, le directeur souhaite répartir ses élèves comme suit: </w:t>
      </w:r>
    </w:p>
    <w:p>
      <w:pPr>
        <w:pStyle w:val="Sansinterligne1"/>
        <w:ind w:left="1080" w:firstLine="336"/>
        <w:jc w:val="both"/>
        <w:rPr>
          <w:rFonts w:ascii="Arial" w:hAnsi="Arial" w:cs="Arial"/>
          <w:i/>
        </w:rPr>
      </w:pPr>
      <w:r>
        <w:rPr>
          <w:rFonts w:ascii="Arial" w:hAnsi="Arial" w:cs="Arial"/>
          <w:i/>
        </w:rPr>
        <w:t>classe de P1: 15 élèves</w:t>
      </w:r>
    </w:p>
    <w:p>
      <w:pPr>
        <w:pStyle w:val="Sansinterligne1"/>
        <w:ind w:left="1080" w:firstLine="336"/>
        <w:jc w:val="both"/>
        <w:rPr>
          <w:rFonts w:ascii="Arial" w:hAnsi="Arial" w:cs="Arial"/>
          <w:i/>
        </w:rPr>
      </w:pPr>
      <w:r>
        <w:rPr>
          <w:rFonts w:ascii="Arial" w:hAnsi="Arial" w:cs="Arial"/>
          <w:i/>
        </w:rPr>
        <w:t xml:space="preserve">classe de P2: 17 élèves </w:t>
      </w:r>
    </w:p>
    <w:p>
      <w:pPr>
        <w:pStyle w:val="Sansinterligne1"/>
        <w:ind w:left="1080" w:firstLine="336"/>
        <w:jc w:val="both"/>
        <w:rPr>
          <w:rFonts w:ascii="Arial" w:hAnsi="Arial" w:cs="Arial"/>
          <w:i/>
        </w:rPr>
      </w:pPr>
      <w:r>
        <w:rPr>
          <w:rFonts w:ascii="Arial" w:hAnsi="Arial" w:cs="Arial"/>
          <w:b/>
          <w:i/>
        </w:rPr>
        <w:t>classe groupée de P1-P2</w:t>
      </w:r>
      <w:r>
        <w:rPr>
          <w:rFonts w:ascii="Arial" w:hAnsi="Arial" w:cs="Arial"/>
          <w:i/>
        </w:rPr>
        <w:t xml:space="preserve">: </w:t>
      </w:r>
      <w:r>
        <w:rPr>
          <w:rFonts w:ascii="Arial" w:hAnsi="Arial" w:cs="Arial"/>
          <w:b/>
          <w:i/>
        </w:rPr>
        <w:t>26</w:t>
      </w:r>
      <w:r>
        <w:rPr>
          <w:rFonts w:ascii="Arial" w:hAnsi="Arial" w:cs="Arial"/>
          <w:i/>
        </w:rPr>
        <w:t xml:space="preserve"> élèves. </w:t>
      </w:r>
    </w:p>
    <w:p>
      <w:pPr>
        <w:pStyle w:val="Sansinterligne1"/>
        <w:ind w:left="1440"/>
        <w:jc w:val="both"/>
        <w:rPr>
          <w:rFonts w:ascii="Arial" w:hAnsi="Arial" w:cs="Arial"/>
          <w:i/>
        </w:rPr>
      </w:pPr>
      <w:r>
        <w:rPr>
          <w:rFonts w:ascii="Arial" w:hAnsi="Arial" w:cs="Arial"/>
          <w:i/>
        </w:rPr>
        <w:t>Outre les périodes réservées au titulaire de la classe et au professeur d’éducation physique, 12 périodes de co-titulaire ou de maître d’adaptation et de soutien pédagogique sont mises à disposition des élèves de la classe groupée de P1-P2.</w:t>
      </w:r>
    </w:p>
    <w:p>
      <w:pPr>
        <w:pStyle w:val="Sansinterligne1"/>
        <w:ind w:left="1440"/>
        <w:jc w:val="both"/>
        <w:rPr>
          <w:rFonts w:ascii="Arial" w:hAnsi="Arial" w:cs="Arial"/>
          <w:i/>
        </w:rPr>
      </w:pPr>
    </w:p>
    <w:p>
      <w:pPr>
        <w:pStyle w:val="Sansinterligne1"/>
        <w:ind w:left="1440"/>
        <w:jc w:val="both"/>
        <w:rPr>
          <w:rFonts w:ascii="Arial" w:hAnsi="Arial" w:cs="Arial"/>
          <w:i/>
        </w:rPr>
      </w:pPr>
      <w:r>
        <w:rPr>
          <w:rFonts w:ascii="Arial" w:hAnsi="Arial" w:cs="Arial"/>
          <w:i/>
        </w:rPr>
        <w:t>Les 58 élèves doivent bénéficier de l’encadrement suivant: 58 x 26/20  = 75 périodes (ratio arrondi à l’unité inférieure).</w:t>
      </w:r>
    </w:p>
    <w:p>
      <w:pPr>
        <w:pStyle w:val="Sansinterligne1"/>
        <w:ind w:left="1440"/>
        <w:jc w:val="both"/>
        <w:rPr>
          <w:rFonts w:ascii="Arial" w:hAnsi="Arial" w:cs="Arial"/>
          <w:i/>
        </w:rPr>
      </w:pPr>
      <w:r>
        <w:rPr>
          <w:rFonts w:ascii="Arial" w:hAnsi="Arial" w:cs="Arial"/>
          <w:i/>
        </w:rPr>
        <w:t>L’encadrement octroyé sur base des classes organisées est de 78 périodes (3 classes x 26 périodes = 78 périodes). La classe de 26 élèves est autorisée si 12 périodes supplémentaires lui sont octroyées.</w:t>
      </w:r>
    </w:p>
    <w:p>
      <w:pPr>
        <w:pStyle w:val="Sansinterligne1"/>
        <w:ind w:left="1440"/>
        <w:jc w:val="both"/>
        <w:rPr>
          <w:rFonts w:ascii="Arial" w:hAnsi="Arial" w:cs="Arial"/>
          <w:i/>
        </w:rPr>
      </w:pPr>
      <w:r>
        <w:rPr>
          <w:rFonts w:ascii="Arial" w:hAnsi="Arial" w:cs="Arial"/>
          <w:i/>
        </w:rPr>
        <w:t>Le nombre de périodes consacré à l’encadrement est égal à 90 périodes (78 + 12). Le ratio est respecté et les 12 périodes sont affectées à la classe de 26 élèves.</w:t>
      </w:r>
    </w:p>
    <w:p>
      <w:pPr>
        <w:pStyle w:val="Sansinterligne1"/>
        <w:ind w:left="1440"/>
        <w:jc w:val="both"/>
        <w:rPr>
          <w:rFonts w:ascii="Arial" w:hAnsi="Arial" w:cs="Arial"/>
          <w:i/>
        </w:rPr>
      </w:pPr>
    </w:p>
    <w:p>
      <w:pPr>
        <w:pStyle w:val="Sansinterligne1"/>
        <w:ind w:left="1440" w:hanging="24"/>
        <w:jc w:val="both"/>
        <w:rPr>
          <w:rFonts w:ascii="Arial" w:hAnsi="Arial" w:cs="Arial"/>
          <w:i/>
        </w:rPr>
      </w:pPr>
      <w:r>
        <w:rPr>
          <w:rFonts w:ascii="Arial" w:hAnsi="Arial" w:cs="Arial"/>
        </w:rPr>
        <w:t>Les conditions sont donc requises pour introduire une demande de dérogation</w:t>
      </w:r>
      <w:r>
        <w:rPr>
          <w:rFonts w:ascii="Arial" w:hAnsi="Arial" w:cs="Arial"/>
          <w:i/>
        </w:rPr>
        <w:t>.</w:t>
      </w:r>
    </w:p>
    <w:p>
      <w:pPr>
        <w:pStyle w:val="Sansinterligne1"/>
        <w:ind w:left="1416"/>
        <w:jc w:val="both"/>
        <w:rPr>
          <w:rFonts w:ascii="Arial" w:hAnsi="Arial" w:cs="Arial"/>
          <w:i/>
          <w:sz w:val="24"/>
          <w:szCs w:val="24"/>
        </w:rPr>
      </w:pPr>
    </w:p>
    <w:p>
      <w:pPr>
        <w:pStyle w:val="Sansinterligne1"/>
        <w:jc w:val="both"/>
        <w:rPr>
          <w:rFonts w:ascii="Arial" w:hAnsi="Arial" w:cs="Arial"/>
        </w:rPr>
      </w:pPr>
      <w:r>
        <w:rPr>
          <w:rFonts w:ascii="Arial" w:hAnsi="Arial" w:cs="Arial"/>
          <w:b/>
          <w:i/>
          <w:u w:val="single"/>
        </w:rPr>
        <w:t xml:space="preserve">3.3.2.4.b. </w:t>
      </w:r>
      <w:r>
        <w:rPr>
          <w:rFonts w:ascii="Arial" w:hAnsi="Arial" w:cs="Arial"/>
          <w:b/>
          <w:i/>
          <w:u w:val="single"/>
        </w:rPr>
        <w:tab/>
        <w:t>2</w:t>
      </w:r>
      <w:r>
        <w:rPr>
          <w:rFonts w:ascii="Arial" w:hAnsi="Arial" w:cs="Arial"/>
          <w:b/>
          <w:i/>
          <w:u w:val="single"/>
          <w:vertAlign w:val="superscript"/>
        </w:rPr>
        <w:t>e</w:t>
      </w:r>
      <w:r>
        <w:rPr>
          <w:rFonts w:ascii="Arial" w:hAnsi="Arial" w:cs="Arial"/>
          <w:b/>
          <w:i/>
          <w:u w:val="single"/>
        </w:rPr>
        <w:t xml:space="preserve"> cas (dépassement des maxima de 3 ou 4 élèves)</w:t>
      </w:r>
      <w:r>
        <w:rPr>
          <w:rFonts w:ascii="Arial" w:hAnsi="Arial" w:cs="Arial"/>
        </w:rPr>
        <w:t> :</w:t>
      </w:r>
    </w:p>
    <w:p>
      <w:pPr>
        <w:pStyle w:val="Sansinterligne1"/>
        <w:ind w:left="720"/>
        <w:jc w:val="both"/>
        <w:rPr>
          <w:rFonts w:ascii="Arial" w:hAnsi="Arial" w:cs="Arial"/>
        </w:rPr>
      </w:pPr>
    </w:p>
    <w:p>
      <w:pPr>
        <w:pStyle w:val="Sansinterligne1"/>
        <w:ind w:left="720"/>
        <w:jc w:val="both"/>
        <w:rPr>
          <w:rFonts w:ascii="Arial" w:hAnsi="Arial" w:cs="Arial"/>
        </w:rPr>
      </w:pPr>
      <w:r>
        <w:rPr>
          <w:rFonts w:ascii="Arial" w:hAnsi="Arial" w:cs="Arial"/>
          <w:i/>
        </w:rPr>
        <w:t>Toutes les conditions ci-dessous sont remplies</w:t>
      </w:r>
      <w:r>
        <w:rPr>
          <w:rFonts w:ascii="Arial" w:hAnsi="Arial" w:cs="Arial"/>
        </w:rPr>
        <w:t>:</w:t>
      </w:r>
    </w:p>
    <w:p>
      <w:pPr>
        <w:pStyle w:val="Sansinterligne1"/>
        <w:ind w:left="1080" w:hanging="360"/>
        <w:jc w:val="both"/>
        <w:rPr>
          <w:rFonts w:ascii="Arial" w:hAnsi="Arial" w:cs="Arial"/>
        </w:rPr>
      </w:pPr>
      <w:r>
        <w:rPr>
          <w:rFonts w:ascii="Arial" w:hAnsi="Arial" w:cs="Arial"/>
        </w:rPr>
        <w:t xml:space="preserve">1) </w:t>
      </w:r>
      <w:r>
        <w:rPr>
          <w:rFonts w:ascii="Arial" w:hAnsi="Arial" w:cs="Arial"/>
        </w:rPr>
        <w:tab/>
        <w:t xml:space="preserve">Une organisation pédagogique particulière a été adoptée; </w:t>
      </w:r>
    </w:p>
    <w:p>
      <w:pPr>
        <w:pStyle w:val="Sansinterligne1"/>
        <w:ind w:left="1080" w:hanging="360"/>
        <w:jc w:val="both"/>
        <w:rPr>
          <w:rFonts w:ascii="Arial" w:hAnsi="Arial" w:cs="Arial"/>
        </w:rPr>
      </w:pPr>
      <w:r>
        <w:rPr>
          <w:rFonts w:ascii="Arial" w:hAnsi="Arial" w:cs="Arial"/>
        </w:rPr>
        <w:t xml:space="preserve">2) </w:t>
      </w:r>
      <w:r>
        <w:rPr>
          <w:rFonts w:ascii="Arial" w:hAnsi="Arial" w:cs="Arial"/>
        </w:rPr>
        <w:tab/>
        <w:t>Un minimum de 18 périodes permet de dédoubler tout ou partie du groupe- classe dont le nombre d’élèves dépasserait le maximum prévu de 4 élèves au plus;</w:t>
      </w:r>
    </w:p>
    <w:p>
      <w:pPr>
        <w:pStyle w:val="Sansinterligne1"/>
        <w:ind w:left="1080" w:hanging="360"/>
        <w:jc w:val="both"/>
        <w:rPr>
          <w:rFonts w:ascii="Arial" w:hAnsi="Arial" w:cs="Arial"/>
        </w:rPr>
      </w:pPr>
      <w:r>
        <w:rPr>
          <w:rFonts w:ascii="Arial" w:hAnsi="Arial" w:cs="Arial"/>
        </w:rPr>
        <w:t xml:space="preserve">3) </w:t>
      </w:r>
      <w:r>
        <w:rPr>
          <w:rFonts w:ascii="Arial" w:hAnsi="Arial" w:cs="Arial"/>
        </w:rPr>
        <w:tab/>
        <w:t xml:space="preserve">Compte tenu du minimum de 18 périodes susvisées, le ratio est bien respecté. </w:t>
      </w:r>
    </w:p>
    <w:p>
      <w:pPr>
        <w:rPr>
          <w:rFonts w:cs="Arial"/>
          <w:szCs w:val="22"/>
        </w:rPr>
      </w:pPr>
    </w:p>
    <w:p>
      <w:pPr>
        <w:pStyle w:val="Sansinterligne1"/>
        <w:ind w:left="1080"/>
        <w:jc w:val="both"/>
        <w:rPr>
          <w:rFonts w:ascii="Arial" w:hAnsi="Arial" w:cs="Arial"/>
          <w:i/>
          <w:u w:val="single"/>
        </w:rPr>
      </w:pPr>
      <w:r>
        <w:rPr>
          <w:rFonts w:ascii="Arial" w:hAnsi="Arial" w:cs="Arial"/>
          <w:i/>
          <w:u w:val="single"/>
        </w:rPr>
        <w:t>Exemples:</w:t>
      </w:r>
    </w:p>
    <w:p>
      <w:pPr>
        <w:pStyle w:val="Sansinterligne1"/>
        <w:ind w:left="1080"/>
        <w:jc w:val="both"/>
        <w:rPr>
          <w:rFonts w:ascii="Arial" w:hAnsi="Arial" w:cs="Arial"/>
          <w:i/>
        </w:rPr>
      </w:pPr>
    </w:p>
    <w:p>
      <w:pPr>
        <w:pStyle w:val="Sansinterligne1"/>
        <w:numPr>
          <w:ilvl w:val="1"/>
          <w:numId w:val="139"/>
        </w:numPr>
        <w:jc w:val="both"/>
        <w:rPr>
          <w:rFonts w:ascii="Arial" w:hAnsi="Arial" w:cs="Arial"/>
          <w:i/>
        </w:rPr>
      </w:pPr>
      <w:r>
        <w:rPr>
          <w:rFonts w:ascii="Arial" w:hAnsi="Arial" w:cs="Arial"/>
          <w:i/>
        </w:rPr>
        <w:t xml:space="preserve">Une école organise 5 classes de P3 à P6. Pour des raisons d’organisation propres à l’établissement, le directeur souhaite répartir ses élèves comme suit: </w:t>
      </w:r>
    </w:p>
    <w:p>
      <w:pPr>
        <w:pStyle w:val="Sansinterligne1"/>
        <w:ind w:left="1416"/>
        <w:jc w:val="both"/>
        <w:rPr>
          <w:rFonts w:ascii="Arial" w:hAnsi="Arial" w:cs="Arial"/>
          <w:i/>
        </w:rPr>
      </w:pPr>
      <w:r>
        <w:rPr>
          <w:rFonts w:ascii="Arial" w:hAnsi="Arial" w:cs="Arial"/>
          <w:i/>
        </w:rPr>
        <w:t>Classe de P3: 24 élèves</w:t>
      </w:r>
    </w:p>
    <w:p>
      <w:pPr>
        <w:pStyle w:val="Sansinterligne1"/>
        <w:ind w:left="1416"/>
        <w:jc w:val="both"/>
        <w:rPr>
          <w:rFonts w:ascii="Arial" w:hAnsi="Arial" w:cs="Arial"/>
          <w:i/>
        </w:rPr>
      </w:pPr>
      <w:r>
        <w:rPr>
          <w:rFonts w:ascii="Arial" w:hAnsi="Arial" w:cs="Arial"/>
          <w:i/>
        </w:rPr>
        <w:t>Classe de P4: 25 élèves</w:t>
      </w:r>
    </w:p>
    <w:p>
      <w:pPr>
        <w:pStyle w:val="Sansinterligne1"/>
        <w:ind w:left="1416"/>
        <w:jc w:val="both"/>
        <w:rPr>
          <w:rFonts w:ascii="Arial" w:hAnsi="Arial" w:cs="Arial"/>
          <w:b/>
          <w:i/>
        </w:rPr>
      </w:pPr>
      <w:r>
        <w:rPr>
          <w:rFonts w:ascii="Arial" w:hAnsi="Arial" w:cs="Arial"/>
          <w:b/>
          <w:i/>
        </w:rPr>
        <w:t>Classe de P5: 32 élèves</w:t>
      </w:r>
    </w:p>
    <w:p>
      <w:pPr>
        <w:pStyle w:val="Sansinterligne1"/>
        <w:ind w:left="1416"/>
        <w:jc w:val="both"/>
        <w:rPr>
          <w:rFonts w:ascii="Arial" w:hAnsi="Arial" w:cs="Arial"/>
          <w:i/>
        </w:rPr>
      </w:pPr>
      <w:r>
        <w:rPr>
          <w:rFonts w:ascii="Arial" w:hAnsi="Arial" w:cs="Arial"/>
          <w:i/>
        </w:rPr>
        <w:t>Classe de P6a: 28 élèves</w:t>
      </w:r>
    </w:p>
    <w:p>
      <w:pPr>
        <w:pStyle w:val="Sansinterligne1"/>
        <w:ind w:left="1416"/>
        <w:jc w:val="both"/>
        <w:rPr>
          <w:rFonts w:ascii="Arial" w:hAnsi="Arial" w:cs="Arial"/>
          <w:i/>
        </w:rPr>
      </w:pPr>
      <w:r>
        <w:rPr>
          <w:rFonts w:ascii="Arial" w:hAnsi="Arial" w:cs="Arial"/>
          <w:i/>
        </w:rPr>
        <w:t>Classe de P6b: 16 élèves</w:t>
      </w:r>
    </w:p>
    <w:p>
      <w:pPr>
        <w:pStyle w:val="Sansinterligne1"/>
        <w:ind w:left="1416"/>
        <w:jc w:val="both"/>
        <w:rPr>
          <w:rFonts w:ascii="Arial" w:hAnsi="Arial" w:cs="Arial"/>
          <w:i/>
          <w:strike/>
        </w:rPr>
      </w:pPr>
    </w:p>
    <w:p>
      <w:pPr>
        <w:pStyle w:val="Sansinterligne1"/>
        <w:ind w:left="1440"/>
        <w:jc w:val="both"/>
        <w:rPr>
          <w:rFonts w:ascii="Arial" w:hAnsi="Arial" w:cs="Arial"/>
          <w:i/>
        </w:rPr>
      </w:pPr>
      <w:r>
        <w:rPr>
          <w:rFonts w:ascii="Arial" w:hAnsi="Arial" w:cs="Arial"/>
          <w:i/>
        </w:rPr>
        <w:t>Les 125 élèves doivent bénéficier de l’encadrement suivant: 125 x 26/24  = 135 périodes (ratio arrondi à l’unité inférieure).</w:t>
      </w:r>
    </w:p>
    <w:p>
      <w:pPr>
        <w:pStyle w:val="Sansinterligne1"/>
        <w:ind w:left="1440"/>
        <w:jc w:val="both"/>
        <w:rPr>
          <w:rFonts w:ascii="Arial" w:hAnsi="Arial" w:cs="Arial"/>
          <w:i/>
        </w:rPr>
      </w:pPr>
      <w:r>
        <w:rPr>
          <w:rFonts w:ascii="Arial" w:hAnsi="Arial" w:cs="Arial"/>
          <w:i/>
        </w:rPr>
        <w:t>L’encadrement octroyé sur base des classes organisées est de 130 périodes (5 classes x 26 périodes = 130 périodes). La classe de 32 élèves est autorisée si 18 périodes supplémentaires lui sont octroyées.</w:t>
      </w:r>
    </w:p>
    <w:p>
      <w:pPr>
        <w:pStyle w:val="Sansinterligne1"/>
        <w:ind w:left="1440"/>
        <w:jc w:val="both"/>
        <w:rPr>
          <w:rFonts w:ascii="Arial" w:hAnsi="Arial" w:cs="Arial"/>
          <w:i/>
        </w:rPr>
      </w:pPr>
      <w:r>
        <w:rPr>
          <w:rFonts w:ascii="Arial" w:hAnsi="Arial" w:cs="Arial"/>
          <w:i/>
        </w:rPr>
        <w:t>Le nombre de périodes consacré à l’encadrement des P3-P6 est égal à 148 périodes (130 + 18). Le ratio est respecté et les 18 périodes sont affectées à la classe de 32 élèves.</w:t>
      </w:r>
    </w:p>
    <w:p>
      <w:pPr>
        <w:pStyle w:val="Sansinterligne1"/>
        <w:ind w:left="1416"/>
        <w:jc w:val="both"/>
        <w:rPr>
          <w:rFonts w:ascii="Arial" w:hAnsi="Arial" w:cs="Arial"/>
          <w:i/>
          <w:strike/>
        </w:rPr>
      </w:pPr>
    </w:p>
    <w:p>
      <w:pPr>
        <w:pStyle w:val="Sansinterligne1"/>
        <w:ind w:left="1416"/>
        <w:jc w:val="both"/>
        <w:rPr>
          <w:rFonts w:ascii="Arial" w:hAnsi="Arial" w:cs="Arial"/>
          <w:i/>
          <w:strike/>
        </w:rPr>
      </w:pPr>
      <w:r>
        <w:rPr>
          <w:rFonts w:ascii="Arial" w:hAnsi="Arial" w:cs="Arial"/>
        </w:rPr>
        <w:t>Les conditions sont donc requises pour introduire une demande de dérogation</w:t>
      </w:r>
    </w:p>
    <w:p>
      <w:pPr>
        <w:pStyle w:val="Sansinterligne1"/>
        <w:jc w:val="both"/>
        <w:rPr>
          <w:rFonts w:ascii="Arial" w:hAnsi="Arial" w:cs="Arial"/>
          <w:sz w:val="8"/>
          <w:szCs w:val="8"/>
        </w:rPr>
      </w:pPr>
    </w:p>
    <w:p>
      <w:pPr>
        <w:pStyle w:val="Sansinterligne1"/>
        <w:jc w:val="both"/>
        <w:rPr>
          <w:rFonts w:ascii="Arial" w:hAnsi="Arial" w:cs="Arial"/>
        </w:rPr>
      </w:pPr>
      <w:r>
        <w:rPr>
          <w:rFonts w:ascii="Arial" w:hAnsi="Arial" w:cs="Arial"/>
          <w:b/>
          <w:i/>
          <w:u w:val="single"/>
        </w:rPr>
        <w:t>3.3.2.4.c.</w:t>
      </w:r>
      <w:r>
        <w:rPr>
          <w:rFonts w:ascii="Arial" w:hAnsi="Arial" w:cs="Arial"/>
          <w:b/>
          <w:i/>
          <w:u w:val="single"/>
        </w:rPr>
        <w:tab/>
        <w:t>3</w:t>
      </w:r>
      <w:r>
        <w:rPr>
          <w:rFonts w:ascii="Arial" w:hAnsi="Arial" w:cs="Arial"/>
          <w:b/>
          <w:i/>
          <w:u w:val="single"/>
          <w:vertAlign w:val="superscript"/>
        </w:rPr>
        <w:t>e</w:t>
      </w:r>
      <w:r>
        <w:rPr>
          <w:rFonts w:ascii="Arial" w:hAnsi="Arial" w:cs="Arial"/>
          <w:b/>
          <w:i/>
          <w:u w:val="single"/>
        </w:rPr>
        <w:t xml:space="preserve"> cas (situation locale non répertoriée)</w:t>
      </w:r>
      <w:r>
        <w:rPr>
          <w:rFonts w:ascii="Arial" w:hAnsi="Arial" w:cs="Arial"/>
        </w:rPr>
        <w:t>:</w:t>
      </w:r>
    </w:p>
    <w:p>
      <w:pPr>
        <w:pStyle w:val="Sansinterligne1"/>
        <w:ind w:left="1800"/>
        <w:jc w:val="both"/>
        <w:rPr>
          <w:rFonts w:ascii="Arial" w:hAnsi="Arial" w:cs="Arial"/>
        </w:rPr>
      </w:pPr>
    </w:p>
    <w:p>
      <w:pPr>
        <w:pStyle w:val="Sansinterligne1"/>
        <w:ind w:left="720"/>
        <w:jc w:val="both"/>
        <w:rPr>
          <w:rFonts w:ascii="Arial" w:hAnsi="Arial" w:cs="Arial"/>
        </w:rPr>
      </w:pPr>
      <w:r>
        <w:rPr>
          <w:rFonts w:ascii="Arial" w:hAnsi="Arial" w:cs="Arial"/>
        </w:rPr>
        <w:t>Dans le cas d’une situation locale non répertoriée par le rapport demandé à l’Administration résultant notamment:</w:t>
      </w:r>
    </w:p>
    <w:p>
      <w:pPr>
        <w:numPr>
          <w:ilvl w:val="0"/>
          <w:numId w:val="145"/>
        </w:numPr>
        <w:spacing w:line="276" w:lineRule="auto"/>
        <w:jc w:val="both"/>
        <w:rPr>
          <w:rFonts w:cs="Arial"/>
          <w:szCs w:val="22"/>
        </w:rPr>
      </w:pPr>
      <w:r>
        <w:rPr>
          <w:rFonts w:cs="Arial"/>
          <w:szCs w:val="22"/>
        </w:rPr>
        <w:t xml:space="preserve">soit d’une évolution démographique touchant l’ensemble des implantations d’une commune ou de communes limitrophes, </w:t>
      </w:r>
    </w:p>
    <w:p>
      <w:pPr>
        <w:numPr>
          <w:ilvl w:val="0"/>
          <w:numId w:val="145"/>
        </w:numPr>
        <w:spacing w:line="276" w:lineRule="auto"/>
        <w:jc w:val="both"/>
        <w:rPr>
          <w:rFonts w:cs="Arial"/>
          <w:szCs w:val="22"/>
        </w:rPr>
      </w:pPr>
      <w:r>
        <w:rPr>
          <w:rFonts w:cs="Arial"/>
          <w:szCs w:val="22"/>
        </w:rPr>
        <w:t xml:space="preserve">soit d’une fermeture d’implantation au 1er septembre ou au 1er octobre de l’année scolaire en cours. </w:t>
      </w:r>
    </w:p>
    <w:p>
      <w:pPr>
        <w:pStyle w:val="Sansinterligne1"/>
        <w:ind w:left="720" w:hanging="720"/>
        <w:jc w:val="both"/>
        <w:rPr>
          <w:rFonts w:ascii="Arial" w:hAnsi="Arial" w:cs="Arial"/>
        </w:rPr>
      </w:pPr>
      <w:r>
        <w:rPr>
          <w:rFonts w:ascii="Arial" w:hAnsi="Arial" w:cs="Arial"/>
          <w:b/>
          <w:i/>
          <w:u w:val="single"/>
        </w:rPr>
        <w:t>3.3.2.4.d.</w:t>
      </w:r>
      <w:r>
        <w:rPr>
          <w:rFonts w:ascii="Arial" w:hAnsi="Arial" w:cs="Arial"/>
          <w:b/>
          <w:i/>
          <w:u w:val="single"/>
        </w:rPr>
        <w:tab/>
        <w:t>Procédures de demande et d’octroi de dérogation autorisée par le Gouvernement</w:t>
      </w:r>
      <w:r>
        <w:rPr>
          <w:rFonts w:ascii="Arial" w:hAnsi="Arial" w:cs="Arial"/>
        </w:rPr>
        <w:t>:</w:t>
      </w:r>
    </w:p>
    <w:p>
      <w:pPr>
        <w:pStyle w:val="Sansinterligne1"/>
        <w:ind w:left="720"/>
        <w:jc w:val="both"/>
        <w:rPr>
          <w:rFonts w:ascii="Arial" w:hAnsi="Arial" w:cs="Arial"/>
        </w:rPr>
      </w:pPr>
    </w:p>
    <w:p>
      <w:pPr>
        <w:pStyle w:val="Sansinterligne1"/>
        <w:ind w:left="720"/>
        <w:jc w:val="both"/>
        <w:rPr>
          <w:rFonts w:ascii="Arial" w:hAnsi="Arial" w:cs="Arial"/>
          <w:b/>
          <w:i/>
        </w:rPr>
      </w:pPr>
      <w:r>
        <w:rPr>
          <w:rFonts w:ascii="Arial" w:hAnsi="Arial" w:cs="Arial"/>
          <w:b/>
          <w:i/>
        </w:rPr>
        <w:t>La demande:</w:t>
      </w:r>
    </w:p>
    <w:p>
      <w:pPr>
        <w:pStyle w:val="Sansinterligne1"/>
        <w:ind w:left="720"/>
        <w:jc w:val="both"/>
        <w:rPr>
          <w:rFonts w:ascii="Arial" w:hAnsi="Arial" w:cs="Arial"/>
        </w:rPr>
      </w:pPr>
    </w:p>
    <w:p>
      <w:pPr>
        <w:pStyle w:val="Sansinterligne1"/>
        <w:ind w:left="720"/>
        <w:jc w:val="both"/>
        <w:rPr>
          <w:rFonts w:ascii="Arial" w:hAnsi="Arial" w:cs="Arial"/>
          <w:i/>
          <w:u w:val="single"/>
        </w:rPr>
      </w:pPr>
      <w:r>
        <w:rPr>
          <w:rFonts w:ascii="Arial" w:hAnsi="Arial" w:cs="Arial"/>
          <w:i/>
          <w:u w:val="single"/>
        </w:rPr>
        <w:t>Qui introduit la demande de dérogation ?</w:t>
      </w:r>
    </w:p>
    <w:p>
      <w:pPr>
        <w:pStyle w:val="Sansinterligne1"/>
        <w:ind w:left="720"/>
        <w:jc w:val="both"/>
        <w:rPr>
          <w:rFonts w:ascii="Arial" w:hAnsi="Arial" w:cs="Arial"/>
        </w:rPr>
      </w:pPr>
      <w:r>
        <w:rPr>
          <w:rFonts w:ascii="Arial" w:hAnsi="Arial" w:cs="Arial"/>
        </w:rPr>
        <w:t xml:space="preserve">Le chef d’établissement dans le réseau d’enseignement organisé par </w:t>
      </w:r>
      <w:smartTag w:uri="urn:schemas-microsoft-com:office:smarttags" w:element="PersonName">
        <w:smartTagPr>
          <w:attr w:name="ProductID" w:val="la FWB"/>
        </w:smartTagPr>
        <w:r>
          <w:rPr>
            <w:rFonts w:ascii="Arial" w:hAnsi="Arial" w:cs="Arial"/>
          </w:rPr>
          <w:t>la FWB</w:t>
        </w:r>
      </w:smartTag>
      <w:r>
        <w:rPr>
          <w:rFonts w:ascii="Arial" w:hAnsi="Arial" w:cs="Arial"/>
        </w:rPr>
        <w:t xml:space="preserve">, le Pouvoir organisateur, dans l’enseignement subventionné </w:t>
      </w:r>
    </w:p>
    <w:p>
      <w:pPr>
        <w:pStyle w:val="Sansinterligne1"/>
        <w:ind w:left="720"/>
        <w:jc w:val="both"/>
        <w:rPr>
          <w:rFonts w:ascii="Arial" w:hAnsi="Arial" w:cs="Arial"/>
          <w:i/>
          <w:u w:val="single"/>
        </w:rPr>
      </w:pPr>
    </w:p>
    <w:p>
      <w:pPr>
        <w:pStyle w:val="Sansinterligne1"/>
        <w:ind w:left="720"/>
        <w:jc w:val="both"/>
        <w:rPr>
          <w:rFonts w:ascii="Arial" w:hAnsi="Arial" w:cs="Arial"/>
          <w:i/>
          <w:u w:val="single"/>
        </w:rPr>
      </w:pPr>
      <w:r>
        <w:rPr>
          <w:rFonts w:ascii="Arial" w:hAnsi="Arial" w:cs="Arial"/>
          <w:i/>
          <w:u w:val="single"/>
        </w:rPr>
        <w:t>Où introduire la demande et pour quelle date ?</w:t>
      </w:r>
    </w:p>
    <w:p>
      <w:pPr>
        <w:pStyle w:val="Sansinterligne1"/>
        <w:ind w:left="720"/>
        <w:jc w:val="both"/>
        <w:rPr>
          <w:rFonts w:ascii="Arial" w:hAnsi="Arial" w:cs="Arial"/>
        </w:rPr>
      </w:pPr>
      <w:r>
        <w:rPr>
          <w:rFonts w:ascii="Arial" w:hAnsi="Arial" w:cs="Arial"/>
        </w:rPr>
        <w:t xml:space="preserve">Le dossier complet de demande de dérogation est à renvoyer </w:t>
      </w:r>
      <w:r>
        <w:rPr>
          <w:rFonts w:ascii="Arial" w:hAnsi="Arial" w:cs="Arial"/>
          <w:i/>
          <w:u w:val="single"/>
        </w:rPr>
        <w:t>pour le mercredi 4 octobre 2017</w:t>
      </w:r>
      <w:r>
        <w:rPr>
          <w:rFonts w:ascii="Arial" w:hAnsi="Arial" w:cs="Arial"/>
        </w:rPr>
        <w:t>, au plus tard à l’adresse suivante:</w:t>
      </w:r>
    </w:p>
    <w:p>
      <w:pPr>
        <w:pStyle w:val="Sansinterligne1"/>
        <w:ind w:left="720"/>
        <w:jc w:val="both"/>
        <w:rPr>
          <w:rFonts w:ascii="Arial" w:hAnsi="Arial" w:cs="Arial"/>
        </w:rPr>
      </w:pPr>
    </w:p>
    <w:p>
      <w:pPr>
        <w:pStyle w:val="Sansinterligne1"/>
        <w:ind w:left="720"/>
        <w:jc w:val="center"/>
        <w:rPr>
          <w:rFonts w:ascii="Arial" w:hAnsi="Arial" w:cs="Arial"/>
        </w:rPr>
      </w:pPr>
      <w:r>
        <w:rPr>
          <w:rFonts w:ascii="Arial" w:hAnsi="Arial" w:cs="Arial"/>
        </w:rPr>
        <w:t>Direction générale de l’Enseignement obligatoire</w:t>
      </w:r>
    </w:p>
    <w:p>
      <w:pPr>
        <w:pStyle w:val="Sansinterligne1"/>
        <w:ind w:left="720"/>
        <w:jc w:val="center"/>
        <w:rPr>
          <w:rFonts w:ascii="Arial" w:hAnsi="Arial" w:cs="Arial"/>
        </w:rPr>
      </w:pPr>
      <w:r>
        <w:rPr>
          <w:rFonts w:ascii="Arial" w:hAnsi="Arial" w:cs="Arial"/>
        </w:rPr>
        <w:t>Direction de l’organisation des établissements d’enseignement fondamental ordinaire</w:t>
      </w:r>
    </w:p>
    <w:p>
      <w:pPr>
        <w:pStyle w:val="Sansinterligne1"/>
        <w:ind w:left="720"/>
        <w:jc w:val="center"/>
        <w:rPr>
          <w:rFonts w:ascii="Arial" w:hAnsi="Arial" w:cs="Arial"/>
        </w:rPr>
      </w:pPr>
      <w:r>
        <w:rPr>
          <w:rFonts w:ascii="Arial" w:hAnsi="Arial" w:cs="Arial"/>
        </w:rPr>
        <w:t>Bureau 2F211,</w:t>
      </w:r>
    </w:p>
    <w:p>
      <w:pPr>
        <w:pStyle w:val="Sansinterligne1"/>
        <w:ind w:left="720"/>
        <w:jc w:val="center"/>
        <w:rPr>
          <w:rFonts w:ascii="Arial" w:hAnsi="Arial" w:cs="Arial"/>
        </w:rPr>
      </w:pPr>
      <w:r>
        <w:rPr>
          <w:rFonts w:ascii="Arial" w:hAnsi="Arial" w:cs="Arial"/>
        </w:rPr>
        <w:t>Rue Adolphe Lavallée, 1,</w:t>
      </w:r>
    </w:p>
    <w:p>
      <w:pPr>
        <w:pStyle w:val="Sansinterligne1"/>
        <w:ind w:left="720"/>
        <w:jc w:val="center"/>
        <w:rPr>
          <w:rFonts w:ascii="Arial" w:hAnsi="Arial" w:cs="Arial"/>
        </w:rPr>
      </w:pPr>
      <w:r>
        <w:rPr>
          <w:rFonts w:ascii="Arial" w:hAnsi="Arial" w:cs="Arial"/>
        </w:rPr>
        <w:t>1080 – Bruxelles</w:t>
      </w:r>
    </w:p>
    <w:p>
      <w:pPr>
        <w:pStyle w:val="Sansinterligne1"/>
        <w:ind w:left="720"/>
        <w:jc w:val="center"/>
        <w:rPr>
          <w:rFonts w:ascii="Arial" w:hAnsi="Arial" w:cs="Arial"/>
        </w:rPr>
      </w:pPr>
    </w:p>
    <w:p>
      <w:pPr>
        <w:pStyle w:val="Sansinterligne1"/>
        <w:ind w:left="720"/>
        <w:jc w:val="both"/>
        <w:rPr>
          <w:rFonts w:ascii="Arial" w:hAnsi="Arial" w:cs="Arial"/>
          <w:i/>
          <w:u w:val="single"/>
        </w:rPr>
      </w:pPr>
      <w:r>
        <w:rPr>
          <w:rFonts w:ascii="Arial" w:hAnsi="Arial" w:cs="Arial"/>
          <w:i/>
          <w:u w:val="single"/>
        </w:rPr>
        <w:t xml:space="preserve">Que doit comporter le </w:t>
      </w:r>
      <w:r>
        <w:rPr>
          <w:rFonts w:ascii="Arial" w:hAnsi="Arial" w:cs="Arial"/>
          <w:b/>
          <w:i/>
          <w:u w:val="single"/>
        </w:rPr>
        <w:t>dossier complet</w:t>
      </w:r>
      <w:r>
        <w:rPr>
          <w:rFonts w:ascii="Arial" w:hAnsi="Arial" w:cs="Arial"/>
          <w:i/>
          <w:u w:val="single"/>
        </w:rPr>
        <w:t xml:space="preserve"> de demande de dérogation ?</w:t>
      </w:r>
    </w:p>
    <w:p>
      <w:pPr>
        <w:pStyle w:val="Sansinterligne1"/>
        <w:ind w:left="720"/>
        <w:jc w:val="both"/>
        <w:rPr>
          <w:rFonts w:ascii="Arial" w:hAnsi="Arial" w:cs="Arial"/>
          <w:i/>
          <w:u w:val="single"/>
        </w:rPr>
      </w:pPr>
    </w:p>
    <w:p>
      <w:pPr>
        <w:pStyle w:val="Sansinterligne1"/>
        <w:numPr>
          <w:ilvl w:val="0"/>
          <w:numId w:val="143"/>
        </w:numPr>
        <w:tabs>
          <w:tab w:val="clear" w:pos="360"/>
        </w:tabs>
        <w:ind w:left="1260"/>
        <w:jc w:val="both"/>
        <w:rPr>
          <w:rFonts w:ascii="Arial" w:hAnsi="Arial" w:cs="Arial"/>
        </w:rPr>
      </w:pPr>
      <w:r>
        <w:rPr>
          <w:rFonts w:ascii="Arial" w:hAnsi="Arial" w:cs="Arial"/>
        </w:rPr>
        <w:t>l'</w:t>
      </w:r>
      <w:r>
        <w:rPr>
          <w:rFonts w:ascii="Arial" w:hAnsi="Arial" w:cs="Arial"/>
          <w:b/>
        </w:rPr>
        <w:t>avis favorable de l’organe de concertation</w:t>
      </w:r>
      <w:r>
        <w:rPr>
          <w:rStyle w:val="Appelnotedebasdep"/>
          <w:b/>
        </w:rPr>
        <w:footnoteReference w:id="64"/>
      </w:r>
      <w:r>
        <w:rPr>
          <w:rFonts w:ascii="Arial" w:hAnsi="Arial" w:cs="Arial"/>
        </w:rPr>
        <w:t>, avec droit d'évocation du bureau de conciliation en cas de désaccord;</w:t>
      </w:r>
    </w:p>
    <w:p>
      <w:pPr>
        <w:numPr>
          <w:ilvl w:val="0"/>
          <w:numId w:val="143"/>
        </w:numPr>
        <w:tabs>
          <w:tab w:val="clear" w:pos="360"/>
        </w:tabs>
        <w:spacing w:line="276" w:lineRule="auto"/>
        <w:ind w:left="1260"/>
        <w:rPr>
          <w:rFonts w:cs="Arial"/>
          <w:szCs w:val="22"/>
        </w:rPr>
      </w:pPr>
      <w:hyperlink w:anchor="Annexe_332" w:history="1">
        <w:r>
          <w:rPr>
            <w:rStyle w:val="Lienhypertexte"/>
            <w:rFonts w:cs="Arial"/>
            <w:color w:val="auto"/>
            <w:szCs w:val="22"/>
          </w:rPr>
          <w:t>l’annexe 3.3.2</w:t>
        </w:r>
      </w:hyperlink>
      <w:r>
        <w:rPr>
          <w:rFonts w:cs="Arial"/>
          <w:szCs w:val="22"/>
        </w:rPr>
        <w:t xml:space="preserve"> ci-jointe dûment complétée.</w:t>
      </w:r>
    </w:p>
    <w:p>
      <w:pPr>
        <w:rPr>
          <w:rFonts w:cs="Arial"/>
          <w:szCs w:val="22"/>
        </w:rPr>
      </w:pPr>
    </w:p>
    <w:p>
      <w:pPr>
        <w:pStyle w:val="Sansinterligne1"/>
        <w:ind w:left="720"/>
        <w:jc w:val="both"/>
        <w:rPr>
          <w:rFonts w:ascii="Arial" w:hAnsi="Arial" w:cs="Arial"/>
        </w:rPr>
      </w:pPr>
      <w:r>
        <w:rPr>
          <w:rFonts w:ascii="Arial" w:hAnsi="Arial" w:cs="Arial"/>
          <w:b/>
          <w:i/>
        </w:rPr>
        <w:t>L’octroi de la dérogation:</w:t>
      </w:r>
    </w:p>
    <w:p>
      <w:pPr>
        <w:pStyle w:val="Sansinterligne1"/>
        <w:ind w:left="720"/>
        <w:jc w:val="both"/>
        <w:rPr>
          <w:rFonts w:ascii="Arial" w:hAnsi="Arial" w:cs="Arial"/>
        </w:rPr>
      </w:pPr>
    </w:p>
    <w:p>
      <w:pPr>
        <w:ind w:left="720"/>
        <w:jc w:val="both"/>
        <w:rPr>
          <w:rFonts w:cs="Arial"/>
          <w:szCs w:val="22"/>
        </w:rPr>
      </w:pP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 informe les chefs d’établissement et les pouvoirs organisateurs de sa décision pour le </w:t>
      </w:r>
      <w:r>
        <w:rPr>
          <w:rFonts w:cs="Arial"/>
          <w:i/>
          <w:szCs w:val="22"/>
          <w:u w:val="single"/>
        </w:rPr>
        <w:t>15 octobre au plus tard</w:t>
      </w:r>
      <w:r>
        <w:rPr>
          <w:rFonts w:cs="Arial"/>
          <w:szCs w:val="22"/>
        </w:rPr>
        <w:t xml:space="preserve">. </w:t>
      </w:r>
    </w:p>
    <w:p>
      <w:pPr>
        <w:ind w:left="720"/>
        <w:jc w:val="both"/>
        <w:rPr>
          <w:rFonts w:cs="Arial"/>
          <w:szCs w:val="22"/>
        </w:rPr>
      </w:pPr>
      <w:r>
        <w:rPr>
          <w:rFonts w:cs="Arial"/>
          <w:szCs w:val="22"/>
        </w:rPr>
        <w:t>Le défaut de réponse dans le délai fixé est assimilé à une décision favorable.</w:t>
      </w:r>
    </w:p>
    <w:p>
      <w:pPr>
        <w:pStyle w:val="Sansinterligne11"/>
        <w:jc w:val="both"/>
        <w:rPr>
          <w:rFonts w:ascii="Arial" w:hAnsi="Arial" w:cs="Arial"/>
          <w:b/>
          <w:u w:val="single"/>
        </w:rPr>
      </w:pPr>
    </w:p>
    <w:p>
      <w:pPr>
        <w:pStyle w:val="Sansinterligne11"/>
        <w:jc w:val="both"/>
        <w:rPr>
          <w:rFonts w:ascii="Arial" w:hAnsi="Arial" w:cs="Arial"/>
          <w:b/>
          <w:u w:val="single"/>
        </w:rPr>
      </w:pPr>
    </w:p>
    <w:p>
      <w:pPr>
        <w:pStyle w:val="Sansinterligne11"/>
        <w:jc w:val="both"/>
        <w:rPr>
          <w:rFonts w:ascii="Arial" w:hAnsi="Arial" w:cs="Arial"/>
          <w:b/>
          <w:u w:val="single"/>
        </w:rPr>
      </w:pPr>
      <w:r>
        <w:rPr>
          <w:rFonts w:ascii="Arial" w:hAnsi="Arial" w:cs="Arial"/>
          <w:b/>
          <w:u w:val="single"/>
        </w:rPr>
        <w:br w:type="page"/>
        <w:t>En synthèse:</w:t>
      </w:r>
    </w:p>
    <w:p>
      <w:pPr>
        <w:rPr>
          <w:rFonts w:cs="Arial"/>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92"/>
        <w:gridCol w:w="1981"/>
        <w:gridCol w:w="1981"/>
      </w:tblGrid>
      <w:tr>
        <w:tc>
          <w:tcPr>
            <w:tcW w:w="2990" w:type="pct"/>
          </w:tcPr>
          <w:p>
            <w:pPr>
              <w:pStyle w:val="Sansinterligne1"/>
              <w:jc w:val="center"/>
              <w:rPr>
                <w:rFonts w:ascii="Arial" w:hAnsi="Arial" w:cs="Arial"/>
                <w:b/>
              </w:rPr>
            </w:pPr>
          </w:p>
        </w:tc>
        <w:tc>
          <w:tcPr>
            <w:tcW w:w="1005" w:type="pct"/>
          </w:tcPr>
          <w:p>
            <w:pPr>
              <w:pStyle w:val="Sansinterligne1"/>
              <w:jc w:val="center"/>
              <w:rPr>
                <w:rFonts w:ascii="Arial" w:hAnsi="Arial" w:cs="Arial"/>
                <w:b/>
              </w:rPr>
            </w:pPr>
            <w:r>
              <w:rPr>
                <w:rFonts w:ascii="Arial" w:hAnsi="Arial" w:cs="Arial"/>
                <w:b/>
              </w:rPr>
              <w:t>P1 - P2</w:t>
            </w:r>
          </w:p>
        </w:tc>
        <w:tc>
          <w:tcPr>
            <w:tcW w:w="1005" w:type="pct"/>
          </w:tcPr>
          <w:p>
            <w:pPr>
              <w:pStyle w:val="Sansinterligne1"/>
              <w:jc w:val="center"/>
              <w:rPr>
                <w:rFonts w:ascii="Arial" w:hAnsi="Arial" w:cs="Arial"/>
                <w:b/>
              </w:rPr>
            </w:pPr>
            <w:r>
              <w:rPr>
                <w:rFonts w:ascii="Arial" w:hAnsi="Arial" w:cs="Arial"/>
                <w:b/>
              </w:rPr>
              <w:t>P3 à P6</w:t>
            </w:r>
          </w:p>
        </w:tc>
      </w:tr>
      <w:tr>
        <w:tc>
          <w:tcPr>
            <w:tcW w:w="2990" w:type="pct"/>
          </w:tcPr>
          <w:p>
            <w:pPr>
              <w:rPr>
                <w:rFonts w:cs="Arial"/>
                <w:szCs w:val="22"/>
              </w:rPr>
            </w:pPr>
            <w:r>
              <w:rPr>
                <w:rFonts w:cs="Arial"/>
                <w:szCs w:val="22"/>
              </w:rPr>
              <w:t>Ratio</w:t>
            </w:r>
          </w:p>
        </w:tc>
        <w:tc>
          <w:tcPr>
            <w:tcW w:w="1005" w:type="pct"/>
          </w:tcPr>
          <w:p>
            <w:pPr>
              <w:pStyle w:val="Sansinterligne1"/>
              <w:jc w:val="center"/>
              <w:rPr>
                <w:rFonts w:ascii="Arial" w:hAnsi="Arial" w:cs="Arial"/>
              </w:rPr>
            </w:pPr>
            <w:r>
              <w:rPr>
                <w:rFonts w:ascii="Arial" w:hAnsi="Arial" w:cs="Arial"/>
              </w:rPr>
              <w:t>Périodes d’encadrement minimum nécessaires pour 20 élèves/instituteur</w:t>
            </w:r>
          </w:p>
        </w:tc>
        <w:tc>
          <w:tcPr>
            <w:tcW w:w="1005" w:type="pct"/>
          </w:tcPr>
          <w:p>
            <w:pPr>
              <w:pStyle w:val="Sansinterligne1"/>
              <w:jc w:val="center"/>
              <w:rPr>
                <w:rFonts w:ascii="Arial" w:hAnsi="Arial" w:cs="Arial"/>
              </w:rPr>
            </w:pPr>
            <w:r>
              <w:rPr>
                <w:rFonts w:ascii="Arial" w:hAnsi="Arial" w:cs="Arial"/>
              </w:rPr>
              <w:t xml:space="preserve">Périodes d’encadrement minimum nécessaires pour 24 élèves/instituteur </w:t>
            </w:r>
          </w:p>
        </w:tc>
      </w:tr>
      <w:tr>
        <w:tc>
          <w:tcPr>
            <w:tcW w:w="2990" w:type="pct"/>
          </w:tcPr>
          <w:p>
            <w:pPr>
              <w:rPr>
                <w:rFonts w:cs="Arial"/>
                <w:szCs w:val="22"/>
              </w:rPr>
            </w:pPr>
            <w:r>
              <w:rPr>
                <w:rFonts w:cs="Arial"/>
                <w:szCs w:val="22"/>
              </w:rPr>
              <w:t>Maxima par classe</w:t>
            </w:r>
          </w:p>
        </w:tc>
        <w:tc>
          <w:tcPr>
            <w:tcW w:w="1005" w:type="pct"/>
          </w:tcPr>
          <w:p>
            <w:pPr>
              <w:pStyle w:val="Sansinterligne1"/>
              <w:jc w:val="center"/>
              <w:rPr>
                <w:rFonts w:ascii="Arial" w:hAnsi="Arial" w:cs="Arial"/>
              </w:rPr>
            </w:pPr>
            <w:r>
              <w:rPr>
                <w:rFonts w:ascii="Arial" w:hAnsi="Arial" w:cs="Arial"/>
              </w:rPr>
              <w:t>24</w:t>
            </w:r>
          </w:p>
        </w:tc>
        <w:tc>
          <w:tcPr>
            <w:tcW w:w="1005" w:type="pct"/>
          </w:tcPr>
          <w:p>
            <w:pPr>
              <w:pStyle w:val="Sansinterligne1"/>
              <w:jc w:val="center"/>
              <w:rPr>
                <w:rFonts w:ascii="Arial" w:hAnsi="Arial" w:cs="Arial"/>
              </w:rPr>
            </w:pPr>
            <w:r>
              <w:rPr>
                <w:rFonts w:ascii="Arial" w:hAnsi="Arial" w:cs="Arial"/>
              </w:rPr>
              <w:t>28</w:t>
            </w:r>
          </w:p>
        </w:tc>
      </w:tr>
      <w:tr>
        <w:tc>
          <w:tcPr>
            <w:tcW w:w="2990" w:type="pct"/>
          </w:tcPr>
          <w:p>
            <w:pPr>
              <w:rPr>
                <w:rFonts w:cs="Arial"/>
                <w:szCs w:val="22"/>
              </w:rPr>
            </w:pPr>
            <w:r>
              <w:rPr>
                <w:rFonts w:cs="Arial"/>
                <w:szCs w:val="22"/>
              </w:rPr>
              <w:t xml:space="preserve">Maxima par classe de P3 à P6 dans les communes de </w:t>
            </w:r>
            <w:smartTag w:uri="urn:schemas-microsoft-com:office:smarttags" w:element="PersonName">
              <w:smartTagPr>
                <w:attr w:name="ProductID" w:val="la R￩gion"/>
              </w:smartTagPr>
              <w:r>
                <w:rPr>
                  <w:rFonts w:cs="Arial"/>
                  <w:szCs w:val="22"/>
                </w:rPr>
                <w:t>la Région</w:t>
              </w:r>
            </w:smartTag>
            <w:r>
              <w:rPr>
                <w:rFonts w:cs="Arial"/>
                <w:szCs w:val="22"/>
              </w:rPr>
              <w:t xml:space="preserve"> de Bruxelles-Capitale et les communes à statut linguistique spécial (voir point 2.1)</w:t>
            </w:r>
          </w:p>
        </w:tc>
        <w:tc>
          <w:tcPr>
            <w:tcW w:w="1005" w:type="pct"/>
          </w:tcPr>
          <w:p>
            <w:pPr>
              <w:pStyle w:val="Sansinterligne1"/>
              <w:jc w:val="center"/>
              <w:rPr>
                <w:rFonts w:ascii="Arial" w:hAnsi="Arial" w:cs="Arial"/>
              </w:rPr>
            </w:pPr>
            <w:r>
              <w:rPr>
                <w:rFonts w:ascii="Arial" w:hAnsi="Arial" w:cs="Arial"/>
              </w:rPr>
              <w:t>-</w:t>
            </w:r>
          </w:p>
        </w:tc>
        <w:tc>
          <w:tcPr>
            <w:tcW w:w="1005" w:type="pct"/>
          </w:tcPr>
          <w:p>
            <w:pPr>
              <w:pStyle w:val="Sansinterligne1"/>
              <w:jc w:val="center"/>
              <w:rPr>
                <w:rFonts w:ascii="Arial" w:hAnsi="Arial" w:cs="Arial"/>
              </w:rPr>
            </w:pPr>
            <w:r>
              <w:rPr>
                <w:rFonts w:ascii="Arial" w:hAnsi="Arial" w:cs="Arial"/>
              </w:rPr>
              <w:t>29</w:t>
            </w:r>
          </w:p>
        </w:tc>
      </w:tr>
      <w:tr>
        <w:tc>
          <w:tcPr>
            <w:tcW w:w="2990" w:type="pct"/>
          </w:tcPr>
          <w:p>
            <w:pPr>
              <w:rPr>
                <w:rFonts w:cs="Arial"/>
                <w:szCs w:val="22"/>
              </w:rPr>
            </w:pPr>
            <w:r>
              <w:rPr>
                <w:rFonts w:cs="Arial"/>
                <w:szCs w:val="22"/>
              </w:rPr>
              <w:t xml:space="preserve">Dépassements automatiques autorisés et soumis pour information aux organes de concertations: 3 cas: </w:t>
            </w:r>
          </w:p>
          <w:p>
            <w:pPr>
              <w:numPr>
                <w:ilvl w:val="0"/>
                <w:numId w:val="146"/>
              </w:numPr>
              <w:tabs>
                <w:tab w:val="clear" w:pos="720"/>
                <w:tab w:val="num" w:pos="180"/>
              </w:tabs>
              <w:spacing w:line="276" w:lineRule="auto"/>
              <w:ind w:left="180" w:hanging="180"/>
              <w:rPr>
                <w:rFonts w:cs="Arial"/>
                <w:i/>
                <w:szCs w:val="22"/>
              </w:rPr>
            </w:pPr>
            <w:r>
              <w:rPr>
                <w:rFonts w:cs="Arial"/>
                <w:szCs w:val="22"/>
              </w:rPr>
              <w:t xml:space="preserve">communes à tension démographique (voir </w:t>
            </w:r>
            <w:hyperlink w:anchor="annexe3_4_5" w:history="1">
              <w:r>
                <w:rPr>
                  <w:rStyle w:val="Lienhypertexte"/>
                  <w:rFonts w:cs="Arial"/>
                  <w:color w:val="auto"/>
                  <w:szCs w:val="22"/>
                </w:rPr>
                <w:t>annexe 3.4.5</w:t>
              </w:r>
            </w:hyperlink>
            <w:r>
              <w:rPr>
                <w:rFonts w:cs="Arial"/>
                <w:szCs w:val="22"/>
              </w:rPr>
              <w:t>) ;</w:t>
            </w:r>
          </w:p>
          <w:p>
            <w:pPr>
              <w:numPr>
                <w:ilvl w:val="0"/>
                <w:numId w:val="146"/>
              </w:numPr>
              <w:tabs>
                <w:tab w:val="clear" w:pos="720"/>
                <w:tab w:val="num" w:pos="180"/>
              </w:tabs>
              <w:spacing w:line="276" w:lineRule="auto"/>
              <w:ind w:left="180" w:hanging="180"/>
              <w:rPr>
                <w:rFonts w:cs="Arial"/>
                <w:szCs w:val="22"/>
              </w:rPr>
            </w:pPr>
            <w:r>
              <w:rPr>
                <w:rFonts w:cs="Arial"/>
                <w:szCs w:val="22"/>
              </w:rPr>
              <w:t>manque de locaux;</w:t>
            </w:r>
          </w:p>
          <w:p>
            <w:pPr>
              <w:numPr>
                <w:ilvl w:val="0"/>
                <w:numId w:val="146"/>
              </w:numPr>
              <w:tabs>
                <w:tab w:val="clear" w:pos="720"/>
                <w:tab w:val="num" w:pos="180"/>
              </w:tabs>
              <w:spacing w:line="276" w:lineRule="auto"/>
              <w:ind w:left="180" w:hanging="180"/>
              <w:rPr>
                <w:rFonts w:cs="Arial"/>
                <w:szCs w:val="22"/>
              </w:rPr>
            </w:pPr>
            <w:r>
              <w:rPr>
                <w:rFonts w:cs="Arial"/>
                <w:szCs w:val="22"/>
              </w:rPr>
              <w:t>augmentation de + de 10%;</w:t>
            </w:r>
          </w:p>
          <w:p>
            <w:pPr>
              <w:rPr>
                <w:rFonts w:cs="Arial"/>
                <w:szCs w:val="22"/>
              </w:rPr>
            </w:pPr>
            <w:r>
              <w:rPr>
                <w:rFonts w:cs="Arial"/>
                <w:szCs w:val="22"/>
              </w:rPr>
              <w:t>(voir point 2.2)</w:t>
            </w:r>
          </w:p>
        </w:tc>
        <w:tc>
          <w:tcPr>
            <w:tcW w:w="1005" w:type="pct"/>
          </w:tcPr>
          <w:p>
            <w:pPr>
              <w:pStyle w:val="Sansinterligne1"/>
              <w:jc w:val="center"/>
              <w:rPr>
                <w:rFonts w:ascii="Arial" w:hAnsi="Arial" w:cs="Arial"/>
              </w:rPr>
            </w:pPr>
          </w:p>
        </w:tc>
        <w:tc>
          <w:tcPr>
            <w:tcW w:w="1005" w:type="pct"/>
          </w:tcPr>
          <w:p>
            <w:pPr>
              <w:pStyle w:val="Sansinterligne1"/>
              <w:jc w:val="center"/>
              <w:rPr>
                <w:rFonts w:ascii="Arial" w:hAnsi="Arial" w:cs="Arial"/>
              </w:rPr>
            </w:pPr>
          </w:p>
        </w:tc>
      </w:tr>
      <w:tr>
        <w:tc>
          <w:tcPr>
            <w:tcW w:w="2990" w:type="pct"/>
            <w:tcBorders>
              <w:bottom w:val="single" w:sz="4" w:space="0" w:color="auto"/>
            </w:tcBorders>
          </w:tcPr>
          <w:p>
            <w:pPr>
              <w:rPr>
                <w:rFonts w:cs="Arial"/>
                <w:szCs w:val="22"/>
              </w:rPr>
            </w:pPr>
            <w:r>
              <w:rPr>
                <w:rFonts w:cs="Arial"/>
                <w:szCs w:val="22"/>
              </w:rPr>
              <w:t>Dépassements automatiques accordés et soumis à l’avis des organes de concertation (cas où le capital-périodes ne permet pas de dédoublement de classe)</w:t>
            </w:r>
          </w:p>
          <w:p>
            <w:pPr>
              <w:rPr>
                <w:rFonts w:cs="Arial"/>
                <w:szCs w:val="22"/>
              </w:rPr>
            </w:pPr>
            <w:r>
              <w:rPr>
                <w:rFonts w:cs="Arial"/>
                <w:szCs w:val="22"/>
              </w:rPr>
              <w:t>(voir point 2.3)</w:t>
            </w:r>
          </w:p>
        </w:tc>
        <w:tc>
          <w:tcPr>
            <w:tcW w:w="1005" w:type="pct"/>
            <w:tcBorders>
              <w:bottom w:val="single" w:sz="4" w:space="0" w:color="auto"/>
            </w:tcBorders>
          </w:tcPr>
          <w:p>
            <w:pPr>
              <w:pStyle w:val="Sansinterligne1"/>
              <w:jc w:val="center"/>
              <w:rPr>
                <w:rFonts w:ascii="Arial" w:hAnsi="Arial" w:cs="Arial"/>
              </w:rPr>
            </w:pPr>
            <w:r>
              <w:rPr>
                <w:rFonts w:ascii="Arial" w:hAnsi="Arial" w:cs="Arial"/>
              </w:rPr>
              <w:t>-</w:t>
            </w:r>
          </w:p>
        </w:tc>
        <w:tc>
          <w:tcPr>
            <w:tcW w:w="1005" w:type="pct"/>
            <w:tcBorders>
              <w:bottom w:val="single" w:sz="4" w:space="0" w:color="auto"/>
            </w:tcBorders>
          </w:tcPr>
          <w:p>
            <w:pPr>
              <w:pStyle w:val="Sansinterligne1"/>
              <w:jc w:val="center"/>
              <w:rPr>
                <w:rFonts w:ascii="Arial" w:hAnsi="Arial" w:cs="Arial"/>
              </w:rPr>
            </w:pPr>
            <w:r>
              <w:rPr>
                <w:rFonts w:ascii="Arial" w:hAnsi="Arial" w:cs="Arial"/>
              </w:rPr>
              <w:t>-</w:t>
            </w:r>
          </w:p>
        </w:tc>
      </w:tr>
      <w:tr>
        <w:tc>
          <w:tcPr>
            <w:tcW w:w="2990" w:type="pct"/>
            <w:tcBorders>
              <w:bottom w:val="nil"/>
            </w:tcBorders>
          </w:tcPr>
          <w:p>
            <w:pPr>
              <w:rPr>
                <w:rFonts w:cs="Arial"/>
                <w:szCs w:val="22"/>
              </w:rPr>
            </w:pPr>
            <w:r>
              <w:rPr>
                <w:rFonts w:cs="Arial"/>
                <w:szCs w:val="22"/>
              </w:rPr>
              <w:t xml:space="preserve">Dérogations accordées par le Gouvernement sur base d’un avis favorable des organes de concertation et après introduction d’une demande à </w:t>
            </w:r>
            <w:smartTag w:uri="urn:schemas-microsoft-com:office:smarttags" w:element="PersonName">
              <w:smartTagPr>
                <w:attr w:name="ProductID" w:val="la DGEO"/>
              </w:smartTagPr>
              <w:r>
                <w:rPr>
                  <w:rFonts w:cs="Arial"/>
                  <w:szCs w:val="22"/>
                </w:rPr>
                <w:t>la DGEO</w:t>
              </w:r>
            </w:smartTag>
            <w:r>
              <w:rPr>
                <w:rFonts w:cs="Arial"/>
                <w:szCs w:val="22"/>
              </w:rPr>
              <w:t>: 3 cas:</w:t>
            </w:r>
          </w:p>
        </w:tc>
        <w:tc>
          <w:tcPr>
            <w:tcW w:w="1005" w:type="pct"/>
            <w:tcBorders>
              <w:bottom w:val="nil"/>
            </w:tcBorders>
          </w:tcPr>
          <w:p>
            <w:pPr>
              <w:pStyle w:val="Sansinterligne1"/>
              <w:jc w:val="center"/>
              <w:rPr>
                <w:rFonts w:ascii="Arial" w:hAnsi="Arial" w:cs="Arial"/>
              </w:rPr>
            </w:pPr>
          </w:p>
          <w:p>
            <w:pPr>
              <w:pStyle w:val="Sansinterligne1"/>
              <w:jc w:val="center"/>
              <w:rPr>
                <w:rFonts w:ascii="Arial" w:hAnsi="Arial" w:cs="Arial"/>
              </w:rPr>
            </w:pPr>
          </w:p>
          <w:p>
            <w:pPr>
              <w:pStyle w:val="Sansinterligne1"/>
              <w:rPr>
                <w:rFonts w:ascii="Arial" w:hAnsi="Arial" w:cs="Arial"/>
              </w:rPr>
            </w:pPr>
          </w:p>
        </w:tc>
        <w:tc>
          <w:tcPr>
            <w:tcW w:w="1005" w:type="pct"/>
            <w:tcBorders>
              <w:bottom w:val="nil"/>
            </w:tcBorders>
          </w:tcPr>
          <w:p>
            <w:pPr>
              <w:pStyle w:val="Sansinterligne1"/>
              <w:jc w:val="center"/>
              <w:rPr>
                <w:rFonts w:ascii="Arial" w:hAnsi="Arial" w:cs="Arial"/>
              </w:rPr>
            </w:pPr>
          </w:p>
          <w:p>
            <w:pPr>
              <w:pStyle w:val="Sansinterligne1"/>
              <w:jc w:val="center"/>
              <w:rPr>
                <w:rFonts w:ascii="Arial" w:hAnsi="Arial" w:cs="Arial"/>
              </w:rPr>
            </w:pPr>
          </w:p>
          <w:p>
            <w:pPr>
              <w:pStyle w:val="Sansinterligne1"/>
              <w:rPr>
                <w:rFonts w:ascii="Arial" w:hAnsi="Arial" w:cs="Arial"/>
              </w:rPr>
            </w:pPr>
          </w:p>
        </w:tc>
      </w:tr>
      <w:tr>
        <w:tc>
          <w:tcPr>
            <w:tcW w:w="2990" w:type="pct"/>
            <w:tcBorders>
              <w:top w:val="nil"/>
              <w:bottom w:val="nil"/>
            </w:tcBorders>
          </w:tcPr>
          <w:p>
            <w:pPr>
              <w:numPr>
                <w:ilvl w:val="0"/>
                <w:numId w:val="171"/>
              </w:numPr>
              <w:ind w:left="284"/>
              <w:rPr>
                <w:rFonts w:cs="Arial"/>
                <w:szCs w:val="22"/>
              </w:rPr>
            </w:pPr>
            <w:r>
              <w:rPr>
                <w:rFonts w:cs="Arial"/>
                <w:szCs w:val="22"/>
              </w:rPr>
              <w:t>si ratio respecté et au moins 12 périodes de dédoublement</w:t>
            </w:r>
          </w:p>
        </w:tc>
        <w:tc>
          <w:tcPr>
            <w:tcW w:w="1005" w:type="pct"/>
            <w:tcBorders>
              <w:top w:val="nil"/>
              <w:bottom w:val="nil"/>
            </w:tcBorders>
          </w:tcPr>
          <w:p>
            <w:pPr>
              <w:pStyle w:val="Sansinterligne1"/>
              <w:jc w:val="center"/>
              <w:rPr>
                <w:rFonts w:ascii="Arial" w:hAnsi="Arial" w:cs="Arial"/>
              </w:rPr>
            </w:pPr>
            <w:r>
              <w:rPr>
                <w:rFonts w:ascii="Arial" w:hAnsi="Arial" w:cs="Arial"/>
              </w:rPr>
              <w:t>26</w:t>
            </w:r>
          </w:p>
        </w:tc>
        <w:tc>
          <w:tcPr>
            <w:tcW w:w="1005" w:type="pct"/>
            <w:tcBorders>
              <w:top w:val="nil"/>
              <w:bottom w:val="nil"/>
            </w:tcBorders>
          </w:tcPr>
          <w:p>
            <w:pPr>
              <w:pStyle w:val="Sansinterligne1"/>
              <w:jc w:val="center"/>
              <w:rPr>
                <w:rFonts w:ascii="Arial" w:hAnsi="Arial" w:cs="Arial"/>
              </w:rPr>
            </w:pPr>
            <w:r>
              <w:rPr>
                <w:rFonts w:ascii="Arial" w:hAnsi="Arial" w:cs="Arial"/>
              </w:rPr>
              <w:t>30</w:t>
            </w:r>
          </w:p>
        </w:tc>
      </w:tr>
      <w:tr>
        <w:tc>
          <w:tcPr>
            <w:tcW w:w="2990" w:type="pct"/>
            <w:tcBorders>
              <w:top w:val="nil"/>
              <w:bottom w:val="nil"/>
            </w:tcBorders>
          </w:tcPr>
          <w:p>
            <w:pPr>
              <w:numPr>
                <w:ilvl w:val="0"/>
                <w:numId w:val="171"/>
              </w:numPr>
              <w:ind w:left="284"/>
              <w:rPr>
                <w:rFonts w:cs="Arial"/>
                <w:szCs w:val="22"/>
              </w:rPr>
            </w:pPr>
            <w:r>
              <w:rPr>
                <w:rFonts w:cs="Arial"/>
                <w:szCs w:val="22"/>
              </w:rPr>
              <w:t>si ration respecté et au moins 18 périodes de dédoublement</w:t>
            </w:r>
          </w:p>
        </w:tc>
        <w:tc>
          <w:tcPr>
            <w:tcW w:w="1005" w:type="pct"/>
            <w:tcBorders>
              <w:top w:val="nil"/>
              <w:bottom w:val="nil"/>
            </w:tcBorders>
          </w:tcPr>
          <w:p>
            <w:pPr>
              <w:pStyle w:val="Sansinterligne1"/>
              <w:jc w:val="center"/>
              <w:rPr>
                <w:rFonts w:ascii="Arial" w:hAnsi="Arial" w:cs="Arial"/>
              </w:rPr>
            </w:pPr>
            <w:r>
              <w:rPr>
                <w:rFonts w:ascii="Arial" w:hAnsi="Arial" w:cs="Arial"/>
              </w:rPr>
              <w:t>28</w:t>
            </w:r>
          </w:p>
        </w:tc>
        <w:tc>
          <w:tcPr>
            <w:tcW w:w="1005" w:type="pct"/>
            <w:tcBorders>
              <w:top w:val="nil"/>
              <w:bottom w:val="nil"/>
            </w:tcBorders>
          </w:tcPr>
          <w:p>
            <w:pPr>
              <w:pStyle w:val="Sansinterligne1"/>
              <w:jc w:val="center"/>
              <w:rPr>
                <w:rFonts w:ascii="Arial" w:hAnsi="Arial" w:cs="Arial"/>
              </w:rPr>
            </w:pPr>
            <w:r>
              <w:rPr>
                <w:rFonts w:ascii="Arial" w:hAnsi="Arial" w:cs="Arial"/>
              </w:rPr>
              <w:t>32</w:t>
            </w:r>
          </w:p>
        </w:tc>
      </w:tr>
      <w:tr>
        <w:tc>
          <w:tcPr>
            <w:tcW w:w="2990" w:type="pct"/>
            <w:tcBorders>
              <w:top w:val="nil"/>
            </w:tcBorders>
          </w:tcPr>
          <w:p>
            <w:pPr>
              <w:numPr>
                <w:ilvl w:val="0"/>
                <w:numId w:val="171"/>
              </w:numPr>
              <w:ind w:left="284"/>
              <w:rPr>
                <w:rFonts w:cs="Arial"/>
                <w:szCs w:val="22"/>
              </w:rPr>
            </w:pPr>
            <w:r>
              <w:rPr>
                <w:rFonts w:cs="Arial"/>
                <w:szCs w:val="22"/>
              </w:rPr>
              <w:t>situation locale non répertoriée (voir point 2.4.)</w:t>
            </w:r>
          </w:p>
        </w:tc>
        <w:tc>
          <w:tcPr>
            <w:tcW w:w="1005" w:type="pct"/>
            <w:tcBorders>
              <w:top w:val="nil"/>
            </w:tcBorders>
          </w:tcPr>
          <w:p>
            <w:pPr>
              <w:pStyle w:val="Sansinterligne1"/>
              <w:jc w:val="center"/>
              <w:rPr>
                <w:rFonts w:ascii="Arial" w:hAnsi="Arial" w:cs="Arial"/>
              </w:rPr>
            </w:pPr>
          </w:p>
        </w:tc>
        <w:tc>
          <w:tcPr>
            <w:tcW w:w="1005" w:type="pct"/>
            <w:tcBorders>
              <w:top w:val="nil"/>
            </w:tcBorders>
          </w:tcPr>
          <w:p>
            <w:pPr>
              <w:pStyle w:val="Sansinterligne1"/>
              <w:jc w:val="center"/>
              <w:rPr>
                <w:rFonts w:ascii="Arial" w:hAnsi="Arial" w:cs="Arial"/>
              </w:rPr>
            </w:pPr>
          </w:p>
        </w:tc>
      </w:tr>
    </w:tbl>
    <w:p>
      <w:pPr>
        <w:rPr>
          <w:rFonts w:cs="Arial"/>
          <w:szCs w:val="22"/>
        </w:rPr>
      </w:pPr>
    </w:p>
    <w:p>
      <w:pPr>
        <w:pStyle w:val="Titre3"/>
      </w:pPr>
      <w:bookmarkStart w:id="1138" w:name="_Toc423420074"/>
      <w:bookmarkStart w:id="1139" w:name="_Toc450645281"/>
      <w:bookmarkStart w:id="1140" w:name="_Toc453942517"/>
      <w:bookmarkStart w:id="1141" w:name="_Toc454888134"/>
      <w:bookmarkStart w:id="1142" w:name="_Toc486241795"/>
      <w:r>
        <w:t>3.3.3. Des périodes complémentaires</w:t>
      </w:r>
      <w:bookmarkEnd w:id="1138"/>
      <w:bookmarkEnd w:id="1139"/>
      <w:bookmarkEnd w:id="1140"/>
      <w:bookmarkEnd w:id="1141"/>
      <w:bookmarkEnd w:id="1142"/>
    </w:p>
    <w:p>
      <w:pPr>
        <w:rPr>
          <w:rFonts w:cs="Arial"/>
          <w:szCs w:val="22"/>
        </w:rPr>
      </w:pPr>
    </w:p>
    <w:p>
      <w:pPr>
        <w:autoSpaceDE w:val="0"/>
        <w:autoSpaceDN w:val="0"/>
        <w:adjustRightInd w:val="0"/>
        <w:jc w:val="both"/>
        <w:rPr>
          <w:rFonts w:cs="Arial"/>
          <w:szCs w:val="22"/>
        </w:rPr>
      </w:pPr>
      <w:r>
        <w:rPr>
          <w:rFonts w:cs="Arial"/>
          <w:szCs w:val="22"/>
        </w:rPr>
        <w:t xml:space="preserve">Le Gouvernement de </w:t>
      </w:r>
      <w:smartTag w:uri="urn:schemas-microsoft-com:office:smarttags" w:element="PersonName">
        <w:smartTagPr>
          <w:attr w:name="ProductID" w:val="la F￩d￩ration Wallonie-Bruxelles"/>
        </w:smartTagPr>
        <w:r>
          <w:rPr>
            <w:rFonts w:cs="Arial"/>
            <w:szCs w:val="22"/>
          </w:rPr>
          <w:t xml:space="preserve">la </w:t>
        </w:r>
        <w:r>
          <w:t>Fédération Wallonie-Bruxelles</w:t>
        </w:r>
      </w:smartTag>
      <w:r>
        <w:rPr>
          <w:rFonts w:cs="Arial"/>
          <w:szCs w:val="22"/>
        </w:rPr>
        <w:t xml:space="preserve"> a dégagé un montant de 1 million d’euros, convertis en périodes (764 périodes) à allouer à certaines </w:t>
      </w:r>
      <w:r>
        <w:rPr>
          <w:rFonts w:cs="Arial"/>
          <w:szCs w:val="22"/>
          <w:u w:val="single"/>
        </w:rPr>
        <w:t>implantations</w:t>
      </w:r>
      <w:r>
        <w:rPr>
          <w:rFonts w:cs="Arial"/>
          <w:szCs w:val="22"/>
        </w:rPr>
        <w:t xml:space="preserve"> primaires, sous certaines conditions.</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b/>
          <w:i/>
          <w:szCs w:val="22"/>
        </w:rPr>
        <w:t>Six conditions à respecter pour pouvoir introduire une demande de périodes complémentaires</w:t>
      </w:r>
      <w:r>
        <w:rPr>
          <w:rFonts w:cs="Arial"/>
          <w:szCs w:val="22"/>
        </w:rPr>
        <w:t xml:space="preserve">: </w:t>
      </w:r>
    </w:p>
    <w:p>
      <w:pPr>
        <w:numPr>
          <w:ilvl w:val="0"/>
          <w:numId w:val="144"/>
        </w:numPr>
        <w:autoSpaceDE w:val="0"/>
        <w:autoSpaceDN w:val="0"/>
        <w:adjustRightInd w:val="0"/>
        <w:jc w:val="both"/>
        <w:rPr>
          <w:rFonts w:cs="Arial"/>
          <w:szCs w:val="22"/>
        </w:rPr>
      </w:pPr>
      <w:r>
        <w:rPr>
          <w:rFonts w:cs="Arial"/>
          <w:szCs w:val="22"/>
        </w:rPr>
        <w:t>L’implantation concernée doit compter au moins une classe dépassant les maxima d’élèves autorisés en P1-P2 (24 élèves) et de P3 à P6 (28 élèves ; 29 en Région de Bruxelles-Capitale et dans les communes à statut linguistique spécial) ;</w:t>
      </w:r>
    </w:p>
    <w:p>
      <w:pPr>
        <w:numPr>
          <w:ilvl w:val="0"/>
          <w:numId w:val="144"/>
        </w:numPr>
        <w:shd w:val="clear" w:color="auto" w:fill="FFFFFF"/>
        <w:autoSpaceDE w:val="0"/>
        <w:autoSpaceDN w:val="0"/>
        <w:adjustRightInd w:val="0"/>
        <w:jc w:val="both"/>
        <w:rPr>
          <w:rFonts w:cs="Arial"/>
          <w:szCs w:val="22"/>
        </w:rPr>
      </w:pPr>
      <w:r>
        <w:rPr>
          <w:rFonts w:cs="Arial"/>
          <w:szCs w:val="22"/>
        </w:rPr>
        <w:t xml:space="preserve">L’implantation concernée doit avoir une augmentation de plus de 10% de sa population scolaire entre le 15 janvier et le 30 septembre; </w:t>
      </w:r>
    </w:p>
    <w:p>
      <w:pPr>
        <w:numPr>
          <w:ilvl w:val="0"/>
          <w:numId w:val="144"/>
        </w:numPr>
        <w:shd w:val="clear" w:color="auto" w:fill="FFFFFF"/>
        <w:autoSpaceDE w:val="0"/>
        <w:autoSpaceDN w:val="0"/>
        <w:adjustRightInd w:val="0"/>
        <w:jc w:val="both"/>
        <w:rPr>
          <w:rFonts w:cs="Arial"/>
          <w:szCs w:val="22"/>
        </w:rPr>
      </w:pPr>
      <w:r>
        <w:rPr>
          <w:rFonts w:cs="Arial"/>
          <w:szCs w:val="22"/>
        </w:rPr>
        <w:t>L’école dont dépend l’implantation concernée n’est pas en situation de recomptage primaire au 30 septembre (art 27 du Décret du 13/7/98);</w:t>
      </w:r>
    </w:p>
    <w:p>
      <w:pPr>
        <w:numPr>
          <w:ilvl w:val="0"/>
          <w:numId w:val="144"/>
        </w:numPr>
        <w:shd w:val="clear" w:color="auto" w:fill="FFFFFF"/>
        <w:autoSpaceDE w:val="0"/>
        <w:autoSpaceDN w:val="0"/>
        <w:adjustRightInd w:val="0"/>
        <w:jc w:val="both"/>
        <w:rPr>
          <w:rFonts w:cs="Arial"/>
          <w:szCs w:val="22"/>
        </w:rPr>
      </w:pPr>
      <w:r>
        <w:rPr>
          <w:rFonts w:cs="Arial"/>
          <w:szCs w:val="22"/>
        </w:rPr>
        <w:t>L’implantation concernée n’a pas la possibilité de faire un transfert de périodes tel que prévu à l’art 37 du Décret du 13/7/98;</w:t>
      </w:r>
    </w:p>
    <w:p>
      <w:pPr>
        <w:numPr>
          <w:ilvl w:val="0"/>
          <w:numId w:val="144"/>
        </w:numPr>
        <w:shd w:val="clear" w:color="auto" w:fill="FFFFFF"/>
        <w:autoSpaceDE w:val="0"/>
        <w:autoSpaceDN w:val="0"/>
        <w:adjustRightInd w:val="0"/>
        <w:jc w:val="both"/>
        <w:rPr>
          <w:rFonts w:cs="Arial"/>
          <w:szCs w:val="22"/>
        </w:rPr>
      </w:pPr>
      <w:r>
        <w:rPr>
          <w:rFonts w:cs="Arial"/>
          <w:szCs w:val="22"/>
        </w:rPr>
        <w:t>Cette augmentation ne résulte pas d’une restructuration ;</w:t>
      </w:r>
    </w:p>
    <w:p>
      <w:pPr>
        <w:numPr>
          <w:ilvl w:val="0"/>
          <w:numId w:val="144"/>
        </w:numPr>
        <w:shd w:val="clear" w:color="auto" w:fill="FFFFFF"/>
        <w:autoSpaceDE w:val="0"/>
        <w:autoSpaceDN w:val="0"/>
        <w:adjustRightInd w:val="0"/>
        <w:jc w:val="both"/>
        <w:rPr>
          <w:rFonts w:cs="Arial"/>
          <w:szCs w:val="22"/>
        </w:rPr>
      </w:pPr>
      <w:r>
        <w:rPr>
          <w:rFonts w:cs="Arial"/>
          <w:szCs w:val="22"/>
        </w:rPr>
        <w:t xml:space="preserve">L’implantation n’a pas obtenu 26 périodes </w:t>
      </w:r>
      <w:r>
        <w:rPr>
          <w:rFonts w:cs="Arial"/>
        </w:rPr>
        <w:t xml:space="preserve">complémentaires </w:t>
      </w:r>
      <w:r>
        <w:rPr>
          <w:rFonts w:cs="Arial"/>
          <w:szCs w:val="22"/>
        </w:rPr>
        <w:t xml:space="preserve">pour </w:t>
      </w:r>
      <w:r>
        <w:rPr>
          <w:rFonts w:cs="Arial"/>
        </w:rPr>
        <w:t>l’encadrement d’une classe nouvellement créée au 1</w:t>
      </w:r>
      <w:r>
        <w:rPr>
          <w:rFonts w:cs="Arial"/>
          <w:vertAlign w:val="superscript"/>
        </w:rPr>
        <w:t>er</w:t>
      </w:r>
      <w:r>
        <w:rPr>
          <w:rFonts w:cs="Arial"/>
        </w:rPr>
        <w:t xml:space="preserve"> septembre</w:t>
      </w:r>
      <w:r>
        <w:rPr>
          <w:rFonts w:cs="Arial"/>
          <w:szCs w:val="22"/>
        </w:rPr>
        <w:t>.</w:t>
      </w:r>
    </w:p>
    <w:p>
      <w:pPr>
        <w:autoSpaceDE w:val="0"/>
        <w:autoSpaceDN w:val="0"/>
        <w:adjustRightInd w:val="0"/>
        <w:jc w:val="both"/>
        <w:rPr>
          <w:rFonts w:cs="Arial"/>
          <w:szCs w:val="22"/>
        </w:rPr>
      </w:pPr>
    </w:p>
    <w:p>
      <w:pPr>
        <w:autoSpaceDE w:val="0"/>
        <w:autoSpaceDN w:val="0"/>
        <w:adjustRightInd w:val="0"/>
        <w:jc w:val="both"/>
        <w:rPr>
          <w:rFonts w:cs="Arial"/>
          <w:b/>
          <w:i/>
          <w:szCs w:val="22"/>
        </w:rPr>
      </w:pPr>
      <w:r>
        <w:rPr>
          <w:rFonts w:cs="Arial"/>
          <w:b/>
          <w:i/>
          <w:szCs w:val="22"/>
        </w:rPr>
        <w:t>Combien de périodes complémentaires peut-on solliciter ?</w:t>
      </w:r>
    </w:p>
    <w:p>
      <w:pPr>
        <w:autoSpaceDE w:val="0"/>
        <w:autoSpaceDN w:val="0"/>
        <w:adjustRightInd w:val="0"/>
        <w:jc w:val="both"/>
        <w:rPr>
          <w:rFonts w:cs="Arial"/>
          <w:szCs w:val="22"/>
        </w:rPr>
      </w:pPr>
      <w:r>
        <w:rPr>
          <w:rFonts w:cs="Arial"/>
          <w:szCs w:val="22"/>
        </w:rPr>
        <w:t xml:space="preserve">Le nombre de périodes complémentaires correspond à la différence entre le nombre d’élèves du 15 janvier et celui du 30 septembre multiplié par 0,5 période et arrondi à l’unité supérieure. </w:t>
      </w:r>
    </w:p>
    <w:p>
      <w:pPr>
        <w:autoSpaceDE w:val="0"/>
        <w:autoSpaceDN w:val="0"/>
        <w:adjustRightInd w:val="0"/>
        <w:jc w:val="both"/>
        <w:rPr>
          <w:rFonts w:cs="Arial"/>
          <w:szCs w:val="22"/>
        </w:rPr>
      </w:pPr>
      <w:r>
        <w:rPr>
          <w:rFonts w:cs="Arial"/>
          <w:b/>
          <w:i/>
          <w:szCs w:val="22"/>
        </w:rPr>
        <w:t>Introduction des demandes</w:t>
      </w:r>
      <w:r>
        <w:rPr>
          <w:rFonts w:cs="Arial"/>
          <w:szCs w:val="22"/>
        </w:rPr>
        <w:t>:</w:t>
      </w:r>
    </w:p>
    <w:p>
      <w:pPr>
        <w:autoSpaceDE w:val="0"/>
        <w:autoSpaceDN w:val="0"/>
        <w:adjustRightInd w:val="0"/>
        <w:jc w:val="both"/>
        <w:rPr>
          <w:rFonts w:cs="Arial"/>
          <w:sz w:val="16"/>
          <w:szCs w:val="16"/>
        </w:rPr>
      </w:pPr>
    </w:p>
    <w:p>
      <w:pPr>
        <w:pStyle w:val="Sansinterligne1"/>
        <w:jc w:val="both"/>
        <w:rPr>
          <w:rFonts w:ascii="Arial" w:hAnsi="Arial" w:cs="Arial"/>
          <w:i/>
          <w:u w:val="single"/>
        </w:rPr>
      </w:pPr>
      <w:r>
        <w:rPr>
          <w:rFonts w:ascii="Arial" w:hAnsi="Arial" w:cs="Arial"/>
          <w:i/>
          <w:u w:val="single"/>
        </w:rPr>
        <w:t xml:space="preserve">Qui peut introduire la demande ? </w:t>
      </w:r>
    </w:p>
    <w:p>
      <w:pPr>
        <w:spacing w:before="60"/>
        <w:jc w:val="both"/>
        <w:rPr>
          <w:rFonts w:cs="Arial"/>
          <w:szCs w:val="22"/>
        </w:rPr>
      </w:pPr>
      <w:r>
        <w:rPr>
          <w:rFonts w:cs="Arial"/>
          <w:szCs w:val="22"/>
        </w:rPr>
        <w:t xml:space="preserve">Le chef d’établissement pour l’enseignement organisé par la FWB. Le Pouvoir organisateur pour l’enseignement subventionné. </w:t>
      </w:r>
    </w:p>
    <w:p>
      <w:pPr>
        <w:rPr>
          <w:rFonts w:cs="Arial"/>
          <w:sz w:val="16"/>
          <w:szCs w:val="16"/>
        </w:rPr>
      </w:pPr>
    </w:p>
    <w:p>
      <w:pPr>
        <w:pStyle w:val="Sansinterligne1"/>
        <w:jc w:val="both"/>
        <w:rPr>
          <w:rFonts w:ascii="Arial" w:hAnsi="Arial" w:cs="Arial"/>
          <w:i/>
          <w:u w:val="single"/>
        </w:rPr>
      </w:pPr>
      <w:r>
        <w:rPr>
          <w:rFonts w:ascii="Arial" w:hAnsi="Arial" w:cs="Arial"/>
          <w:i/>
          <w:u w:val="single"/>
        </w:rPr>
        <w:t>Comment introduire la demande et pour quelle date ?</w:t>
      </w:r>
    </w:p>
    <w:p>
      <w:pPr>
        <w:pStyle w:val="Sansinterligne1"/>
        <w:jc w:val="both"/>
        <w:rPr>
          <w:rFonts w:ascii="Arial" w:hAnsi="Arial" w:cs="Arial"/>
          <w:i/>
          <w:sz w:val="16"/>
          <w:szCs w:val="16"/>
        </w:rPr>
      </w:pPr>
    </w:p>
    <w:p>
      <w:pPr>
        <w:pStyle w:val="Sansinterligne1"/>
        <w:spacing w:after="60"/>
        <w:jc w:val="both"/>
        <w:rPr>
          <w:rFonts w:ascii="Arial" w:hAnsi="Arial" w:cs="Arial"/>
        </w:rPr>
      </w:pPr>
      <w:r>
        <w:rPr>
          <w:rFonts w:ascii="Arial" w:hAnsi="Arial" w:cs="Arial"/>
        </w:rPr>
        <w:t xml:space="preserve">La demande doit être introduite </w:t>
      </w:r>
      <w:r>
        <w:rPr>
          <w:rFonts w:ascii="Arial" w:hAnsi="Arial" w:cs="Arial"/>
          <w:u w:val="single"/>
        </w:rPr>
        <w:t xml:space="preserve">pour le </w:t>
      </w:r>
      <w:r>
        <w:rPr>
          <w:rFonts w:ascii="Arial" w:hAnsi="Arial" w:cs="Arial"/>
          <w:i/>
          <w:u w:val="single"/>
        </w:rPr>
        <w:t xml:space="preserve">mercredi 4 octobre 2017 </w:t>
      </w:r>
      <w:r>
        <w:rPr>
          <w:rFonts w:ascii="Arial" w:hAnsi="Arial" w:cs="Arial"/>
        </w:rPr>
        <w:t>au plus tard au moyen de l’</w:t>
      </w:r>
      <w:hyperlink w:anchor="Annexe_333" w:history="1">
        <w:r>
          <w:rPr>
            <w:rStyle w:val="Lienhypertexte"/>
            <w:rFonts w:ascii="Arial" w:hAnsi="Arial" w:cs="Arial"/>
            <w:color w:val="auto"/>
          </w:rPr>
          <w:t>annexe 3.3.3</w:t>
        </w:r>
      </w:hyperlink>
      <w:r>
        <w:rPr>
          <w:rFonts w:ascii="Arial" w:hAnsi="Arial" w:cs="Arial"/>
        </w:rPr>
        <w:t xml:space="preserve"> à l’adresse suivante:</w:t>
      </w:r>
    </w:p>
    <w:p>
      <w:pPr>
        <w:pStyle w:val="Sansinterligne1"/>
        <w:pBdr>
          <w:top w:val="single" w:sz="4" w:space="1" w:color="auto"/>
          <w:left w:val="single" w:sz="4" w:space="4" w:color="auto"/>
          <w:bottom w:val="single" w:sz="4" w:space="1" w:color="auto"/>
          <w:right w:val="single" w:sz="4" w:space="4" w:color="auto"/>
        </w:pBdr>
        <w:ind w:left="720"/>
        <w:jc w:val="center"/>
        <w:rPr>
          <w:rFonts w:ascii="Arial" w:hAnsi="Arial" w:cs="Arial"/>
        </w:rPr>
      </w:pPr>
      <w:r>
        <w:rPr>
          <w:rFonts w:ascii="Arial" w:hAnsi="Arial" w:cs="Arial"/>
        </w:rPr>
        <w:t>Direction générale de l’Enseignement obligatoire</w:t>
      </w:r>
    </w:p>
    <w:p>
      <w:pPr>
        <w:pStyle w:val="Sansinterligne1"/>
        <w:pBdr>
          <w:top w:val="single" w:sz="4" w:space="1" w:color="auto"/>
          <w:left w:val="single" w:sz="4" w:space="4" w:color="auto"/>
          <w:bottom w:val="single" w:sz="4" w:space="1" w:color="auto"/>
          <w:right w:val="single" w:sz="4" w:space="4" w:color="auto"/>
        </w:pBdr>
        <w:ind w:left="720"/>
        <w:jc w:val="center"/>
        <w:rPr>
          <w:rFonts w:ascii="Arial" w:hAnsi="Arial" w:cs="Arial"/>
        </w:rPr>
      </w:pPr>
      <w:r>
        <w:rPr>
          <w:rFonts w:ascii="Arial" w:hAnsi="Arial" w:cs="Arial"/>
        </w:rPr>
        <w:t>Direction de l’organisation des établissements d’enseignement fondamental ordinaire</w:t>
      </w:r>
    </w:p>
    <w:p>
      <w:pPr>
        <w:pStyle w:val="Sansinterligne1"/>
        <w:pBdr>
          <w:top w:val="single" w:sz="4" w:space="1" w:color="auto"/>
          <w:left w:val="single" w:sz="4" w:space="4" w:color="auto"/>
          <w:bottom w:val="single" w:sz="4" w:space="1" w:color="auto"/>
          <w:right w:val="single" w:sz="4" w:space="4" w:color="auto"/>
        </w:pBdr>
        <w:ind w:left="720"/>
        <w:jc w:val="center"/>
        <w:rPr>
          <w:rFonts w:ascii="Arial" w:hAnsi="Arial" w:cs="Arial"/>
        </w:rPr>
      </w:pPr>
      <w:r>
        <w:rPr>
          <w:rFonts w:ascii="Arial" w:hAnsi="Arial" w:cs="Arial"/>
        </w:rPr>
        <w:t>Bureau 2F211,</w:t>
      </w:r>
    </w:p>
    <w:p>
      <w:pPr>
        <w:pStyle w:val="Sansinterligne1"/>
        <w:pBdr>
          <w:top w:val="single" w:sz="4" w:space="1" w:color="auto"/>
          <w:left w:val="single" w:sz="4" w:space="4" w:color="auto"/>
          <w:bottom w:val="single" w:sz="4" w:space="1" w:color="auto"/>
          <w:right w:val="single" w:sz="4" w:space="4" w:color="auto"/>
        </w:pBdr>
        <w:ind w:left="720"/>
        <w:jc w:val="center"/>
        <w:rPr>
          <w:rFonts w:ascii="Arial" w:hAnsi="Arial" w:cs="Arial"/>
        </w:rPr>
      </w:pPr>
      <w:r>
        <w:rPr>
          <w:rFonts w:ascii="Arial" w:hAnsi="Arial" w:cs="Arial"/>
        </w:rPr>
        <w:t>Rue Adolphe Lavallée, 1,</w:t>
      </w:r>
    </w:p>
    <w:p>
      <w:pPr>
        <w:pStyle w:val="Sansinterligne1"/>
        <w:pBdr>
          <w:top w:val="single" w:sz="4" w:space="1" w:color="auto"/>
          <w:left w:val="single" w:sz="4" w:space="4" w:color="auto"/>
          <w:bottom w:val="single" w:sz="4" w:space="1" w:color="auto"/>
          <w:right w:val="single" w:sz="4" w:space="4" w:color="auto"/>
        </w:pBdr>
        <w:ind w:left="720"/>
        <w:jc w:val="center"/>
        <w:rPr>
          <w:rFonts w:ascii="Arial" w:hAnsi="Arial" w:cs="Arial"/>
        </w:rPr>
      </w:pPr>
      <w:r>
        <w:rPr>
          <w:rFonts w:ascii="Arial" w:hAnsi="Arial" w:cs="Arial"/>
        </w:rPr>
        <w:t>1080 – Bruxelles</w:t>
      </w:r>
    </w:p>
    <w:p>
      <w:pPr>
        <w:pStyle w:val="Sansinterligne1"/>
        <w:jc w:val="both"/>
        <w:rPr>
          <w:rFonts w:ascii="Arial" w:hAnsi="Arial" w:cs="Arial"/>
          <w:b/>
          <w:i/>
          <w:sz w:val="16"/>
          <w:szCs w:val="16"/>
        </w:rPr>
      </w:pPr>
    </w:p>
    <w:p>
      <w:pPr>
        <w:pStyle w:val="Sansinterligne1"/>
        <w:jc w:val="both"/>
        <w:rPr>
          <w:rFonts w:ascii="Arial" w:hAnsi="Arial" w:cs="Arial"/>
          <w:b/>
          <w:i/>
        </w:rPr>
      </w:pPr>
      <w:r>
        <w:rPr>
          <w:rFonts w:ascii="Arial" w:hAnsi="Arial" w:cs="Arial"/>
          <w:b/>
          <w:i/>
        </w:rPr>
        <w:t>Octroi des périodes</w:t>
      </w:r>
    </w:p>
    <w:p>
      <w:pPr>
        <w:spacing w:before="120"/>
        <w:jc w:val="both"/>
        <w:rPr>
          <w:rFonts w:cs="Arial"/>
          <w:szCs w:val="22"/>
        </w:rPr>
      </w:pPr>
      <w:r>
        <w:rPr>
          <w:rFonts w:cs="Arial"/>
          <w:szCs w:val="22"/>
        </w:rPr>
        <w:t xml:space="preserve">Les demandes introduites auprès de la DGEO sont classées selon le pourcentage que représente l’augmentation du nombre d’élève entre le 15 janvier et le 30 septembre, de manière décroissante. </w:t>
      </w:r>
    </w:p>
    <w:p>
      <w:pPr>
        <w:jc w:val="both"/>
        <w:rPr>
          <w:rFonts w:cs="Arial"/>
          <w:szCs w:val="22"/>
        </w:rPr>
      </w:pPr>
      <w:r>
        <w:rPr>
          <w:rFonts w:cs="Arial"/>
          <w:szCs w:val="22"/>
        </w:rPr>
        <w:t xml:space="preserve">Elles sont rencontrées dans cet ordre jusqu’à épuisement du nombre de périodes prévu. </w:t>
      </w:r>
    </w:p>
    <w:p>
      <w:pPr>
        <w:jc w:val="both"/>
        <w:rPr>
          <w:rFonts w:cs="Arial"/>
          <w:szCs w:val="22"/>
        </w:rPr>
      </w:pPr>
      <w:r>
        <w:rPr>
          <w:rFonts w:cs="Arial"/>
          <w:szCs w:val="22"/>
        </w:rPr>
        <w:t xml:space="preserve">Les chefs d’établissement et les pouvoirs organisateurs en sont informés pour le 10 octobre au plus tard. </w:t>
      </w:r>
    </w:p>
    <w:p>
      <w:pPr>
        <w:jc w:val="both"/>
        <w:rPr>
          <w:rFonts w:cs="Arial"/>
          <w:szCs w:val="22"/>
        </w:rPr>
      </w:pPr>
      <w:r>
        <w:rPr>
          <w:rFonts w:cs="Arial"/>
          <w:szCs w:val="22"/>
        </w:rPr>
        <w:t>Les périodes octroyées sont disponibles dès le 15 octobre.</w:t>
      </w:r>
    </w:p>
    <w:p>
      <w:pPr>
        <w:pStyle w:val="Sansinterligne1"/>
        <w:ind w:left="1080"/>
        <w:jc w:val="both"/>
        <w:rPr>
          <w:rFonts w:ascii="Arial" w:hAnsi="Arial" w:cs="Arial"/>
          <w:i/>
          <w:sz w:val="16"/>
          <w:szCs w:val="16"/>
          <w:u w:val="single"/>
        </w:rPr>
      </w:pPr>
    </w:p>
    <w:p>
      <w:pPr>
        <w:pStyle w:val="Sansinterligne1"/>
        <w:ind w:left="1080"/>
        <w:jc w:val="both"/>
        <w:rPr>
          <w:rFonts w:ascii="Arial" w:hAnsi="Arial" w:cs="Arial"/>
          <w:i/>
          <w:u w:val="single"/>
        </w:rPr>
      </w:pPr>
      <w:r>
        <w:rPr>
          <w:rFonts w:ascii="Arial" w:hAnsi="Arial" w:cs="Arial"/>
          <w:i/>
          <w:u w:val="single"/>
        </w:rPr>
        <w:t>Exemple:</w:t>
      </w:r>
    </w:p>
    <w:p>
      <w:pPr>
        <w:pStyle w:val="Sansinterligne1"/>
        <w:spacing w:before="60"/>
        <w:ind w:left="1077"/>
        <w:jc w:val="both"/>
        <w:rPr>
          <w:rFonts w:ascii="Arial" w:hAnsi="Arial" w:cs="Arial"/>
          <w:i/>
        </w:rPr>
      </w:pPr>
      <w:r>
        <w:rPr>
          <w:rFonts w:ascii="Arial" w:hAnsi="Arial" w:cs="Arial"/>
          <w:i/>
        </w:rPr>
        <w:t xml:space="preserve">L’implantation A compte 185 élèves </w:t>
      </w:r>
      <w:r>
        <w:rPr>
          <w:rFonts w:ascii="Arial" w:hAnsi="Arial" w:cs="Arial"/>
          <w:i/>
          <w:u w:val="single"/>
        </w:rPr>
        <w:t>en primaire</w:t>
      </w:r>
      <w:r>
        <w:rPr>
          <w:rFonts w:ascii="Arial" w:hAnsi="Arial" w:cs="Arial"/>
          <w:i/>
        </w:rPr>
        <w:t xml:space="preserve"> au 15 janvier 2017 (population scolaire vérifiée par l’Administration). Au 30 septembre 2017, la même implantation compte 206 élèves </w:t>
      </w:r>
      <w:r>
        <w:rPr>
          <w:rFonts w:ascii="Arial" w:hAnsi="Arial" w:cs="Arial"/>
          <w:i/>
          <w:u w:val="single"/>
        </w:rPr>
        <w:t>en primaire</w:t>
      </w:r>
      <w:r>
        <w:rPr>
          <w:rFonts w:ascii="Arial" w:hAnsi="Arial" w:cs="Arial"/>
          <w:i/>
        </w:rPr>
        <w:t>, soit 21 élèves de plus (10% au moins de la population du 15 janvier).</w:t>
      </w:r>
    </w:p>
    <w:p>
      <w:pPr>
        <w:pStyle w:val="Sansinterligne1"/>
        <w:ind w:left="1080"/>
        <w:jc w:val="both"/>
        <w:rPr>
          <w:rFonts w:ascii="Arial" w:hAnsi="Arial" w:cs="Arial"/>
          <w:i/>
        </w:rPr>
      </w:pPr>
      <w:r>
        <w:rPr>
          <w:rFonts w:ascii="Arial" w:hAnsi="Arial" w:cs="Arial"/>
          <w:i/>
        </w:rPr>
        <w:t>Cette augmentation de population ne résulte pas d’une restructuration.</w:t>
      </w:r>
    </w:p>
    <w:p>
      <w:pPr>
        <w:pStyle w:val="Sansinterligne1"/>
        <w:ind w:left="1080"/>
        <w:jc w:val="both"/>
        <w:rPr>
          <w:rFonts w:ascii="Arial" w:hAnsi="Arial" w:cs="Arial"/>
          <w:i/>
        </w:rPr>
      </w:pPr>
      <w:r>
        <w:rPr>
          <w:rFonts w:ascii="Arial" w:hAnsi="Arial" w:cs="Arial"/>
          <w:i/>
        </w:rPr>
        <w:t>L’article 27 (recomptage au 1</w:t>
      </w:r>
      <w:r>
        <w:rPr>
          <w:rFonts w:ascii="Arial" w:hAnsi="Arial" w:cs="Arial"/>
          <w:i/>
          <w:vertAlign w:val="superscript"/>
        </w:rPr>
        <w:t>er</w:t>
      </w:r>
      <w:r>
        <w:rPr>
          <w:rFonts w:ascii="Arial" w:hAnsi="Arial" w:cs="Arial"/>
          <w:i/>
        </w:rPr>
        <w:t xml:space="preserve"> octobre) et l’article 37 (transfert de périodes) n’ont pu être mis en œuvre.</w:t>
      </w:r>
    </w:p>
    <w:p>
      <w:pPr>
        <w:pStyle w:val="Sansinterligne1"/>
        <w:ind w:left="1080"/>
        <w:jc w:val="both"/>
        <w:rPr>
          <w:rFonts w:ascii="Arial" w:hAnsi="Arial" w:cs="Arial"/>
          <w:i/>
        </w:rPr>
      </w:pPr>
      <w:r>
        <w:rPr>
          <w:rFonts w:ascii="Arial" w:hAnsi="Arial" w:cs="Arial"/>
          <w:i/>
        </w:rPr>
        <w:t>La direction ou le Pouvoir organisateur introduisent une demande de périodes complémentaires pour le 4 octobre 2017 au plus tard en indiquant les données de population.</w:t>
      </w:r>
    </w:p>
    <w:p>
      <w:pPr>
        <w:pStyle w:val="Sansinterligne1"/>
        <w:ind w:left="1080"/>
        <w:jc w:val="both"/>
        <w:rPr>
          <w:rFonts w:ascii="Arial" w:hAnsi="Arial" w:cs="Arial"/>
          <w:i/>
        </w:rPr>
      </w:pPr>
      <w:r>
        <w:rPr>
          <w:rFonts w:ascii="Arial" w:hAnsi="Arial" w:cs="Arial"/>
          <w:i/>
        </w:rPr>
        <w:t>L’implantation pourrait recevoir 21 x 0,5 période, arrondi à l’unité supérieure, soit 11 périodes.</w:t>
      </w:r>
    </w:p>
    <w:p>
      <w:pPr>
        <w:pStyle w:val="Sansinterligne1"/>
        <w:ind w:left="360"/>
        <w:jc w:val="both"/>
        <w:rPr>
          <w:rFonts w:ascii="Arial" w:hAnsi="Arial" w:cs="Arial"/>
          <w:i/>
          <w:sz w:val="16"/>
          <w:szCs w:val="16"/>
        </w:rPr>
      </w:pPr>
    </w:p>
    <w:p>
      <w:pPr>
        <w:pStyle w:val="Titre3"/>
      </w:pPr>
      <w:bookmarkStart w:id="1143" w:name="_Toc423420075"/>
      <w:bookmarkStart w:id="1144" w:name="_Toc450645282"/>
      <w:bookmarkStart w:id="1145" w:name="_Toc453942518"/>
      <w:bookmarkStart w:id="1146" w:name="_Toc454888135"/>
      <w:bookmarkStart w:id="1147" w:name="_Toc486241796"/>
      <w:r>
        <w:t>3.3.4. Evaluation du dispositif</w:t>
      </w:r>
      <w:bookmarkEnd w:id="1143"/>
      <w:bookmarkEnd w:id="1144"/>
      <w:bookmarkEnd w:id="1145"/>
      <w:bookmarkEnd w:id="1146"/>
      <w:bookmarkEnd w:id="1147"/>
    </w:p>
    <w:p>
      <w:pPr>
        <w:tabs>
          <w:tab w:val="left" w:pos="1129"/>
        </w:tabs>
        <w:jc w:val="both"/>
        <w:rPr>
          <w:rFonts w:cs="Arial"/>
          <w:sz w:val="16"/>
          <w:szCs w:val="16"/>
        </w:rPr>
      </w:pPr>
      <w:r>
        <w:rPr>
          <w:rFonts w:cs="Arial"/>
          <w:szCs w:val="22"/>
        </w:rPr>
        <w:tab/>
      </w:r>
    </w:p>
    <w:p>
      <w:pPr>
        <w:jc w:val="both"/>
        <w:rPr>
          <w:rFonts w:cs="Arial"/>
          <w:szCs w:val="22"/>
        </w:rPr>
      </w:pPr>
      <w:r>
        <w:rPr>
          <w:rFonts w:cs="Arial"/>
          <w:szCs w:val="22"/>
        </w:rPr>
        <w:t>Chaque année et pour la 1</w:t>
      </w:r>
      <w:r>
        <w:rPr>
          <w:rFonts w:cs="Arial"/>
          <w:szCs w:val="22"/>
          <w:vertAlign w:val="superscript"/>
        </w:rPr>
        <w:t>ère</w:t>
      </w:r>
      <w:r>
        <w:rPr>
          <w:rFonts w:cs="Arial"/>
          <w:szCs w:val="22"/>
        </w:rPr>
        <w:t xml:space="preserve"> fois au cours du 1</w:t>
      </w:r>
      <w:r>
        <w:rPr>
          <w:rFonts w:cs="Arial"/>
          <w:szCs w:val="22"/>
          <w:vertAlign w:val="superscript"/>
        </w:rPr>
        <w:t>er</w:t>
      </w:r>
      <w:r>
        <w:rPr>
          <w:rFonts w:cs="Arial"/>
          <w:szCs w:val="22"/>
        </w:rPr>
        <w:t xml:space="preserve"> trimestre de l’année scolaire 2014-2015, la Direction générale de l’Enseignement obligatoire procèdera à l’évaluation et à la vérification de la mise en œuvre des dispositions régissant la taille des classes. </w:t>
      </w:r>
    </w:p>
    <w:p>
      <w:pPr>
        <w:jc w:val="both"/>
        <w:rPr>
          <w:rFonts w:cs="Arial"/>
          <w:sz w:val="6"/>
          <w:szCs w:val="6"/>
        </w:rPr>
      </w:pPr>
    </w:p>
    <w:p>
      <w:pPr>
        <w:jc w:val="both"/>
        <w:rPr>
          <w:rFonts w:cs="Arial"/>
          <w:szCs w:val="22"/>
        </w:rPr>
      </w:pPr>
      <w:r>
        <w:rPr>
          <w:rFonts w:cs="Arial"/>
          <w:szCs w:val="22"/>
        </w:rPr>
        <w:t xml:space="preserve">Pour permettre cette évaluation et cette vérification, le chef d’établissement pour l’enseignement organisé par </w:t>
      </w:r>
      <w:smartTag w:uri="urn:schemas-microsoft-com:office:smarttags" w:element="PersonName">
        <w:smartTagPr>
          <w:attr w:name="ProductID" w:val="la F￩d￩ration Wallonie-Bruxelles"/>
        </w:smartTagPr>
        <w:r>
          <w:rPr>
            <w:rFonts w:cs="Arial"/>
            <w:szCs w:val="22"/>
          </w:rPr>
          <w:t xml:space="preserve">la </w:t>
        </w:r>
        <w:r>
          <w:rPr>
            <w:rFonts w:cs="Arial"/>
            <w:szCs w:val="22"/>
            <w:lang w:val="fr-BE"/>
          </w:rPr>
          <w:t>Fédération Wallonie-Bruxelles</w:t>
        </w:r>
      </w:smartTag>
      <w:r>
        <w:rPr>
          <w:szCs w:val="22"/>
          <w:lang w:val="fr-BE"/>
        </w:rPr>
        <w:t xml:space="preserve"> </w:t>
      </w:r>
      <w:r>
        <w:rPr>
          <w:rFonts w:cs="Arial"/>
          <w:szCs w:val="22"/>
        </w:rPr>
        <w:t>ou le Pouvoir organisateur pour de l’enseignement subventionné informera</w:t>
      </w:r>
      <w:r>
        <w:rPr>
          <w:rStyle w:val="Appelnotedebasdep"/>
          <w:szCs w:val="22"/>
        </w:rPr>
        <w:footnoteReference w:id="65"/>
      </w:r>
      <w:r>
        <w:rPr>
          <w:rFonts w:cs="Arial"/>
          <w:szCs w:val="22"/>
        </w:rPr>
        <w:t xml:space="preserve"> l’Administration des dépassements prévus et de leurs motifs au plus tard pour le 30 novembre en renvoyant l’</w:t>
      </w:r>
      <w:hyperlink w:anchor="Annexe_331" w:history="1">
        <w:r>
          <w:rPr>
            <w:rStyle w:val="Lienhypertexte"/>
            <w:rFonts w:cs="Arial"/>
            <w:color w:val="auto"/>
            <w:szCs w:val="22"/>
          </w:rPr>
          <w:t>annexe 3.3.1.</w:t>
        </w:r>
      </w:hyperlink>
      <w:r>
        <w:rPr>
          <w:rFonts w:cs="Arial"/>
          <w:szCs w:val="22"/>
        </w:rPr>
        <w:t xml:space="preserve"> ci-jointe à l’adresse suivante:</w:t>
      </w:r>
    </w:p>
    <w:p>
      <w:pPr>
        <w:pStyle w:val="Sansinterligne1"/>
        <w:pBdr>
          <w:top w:val="single" w:sz="4" w:space="4" w:color="auto"/>
          <w:left w:val="single" w:sz="4" w:space="4" w:color="auto"/>
          <w:bottom w:val="single" w:sz="4" w:space="4" w:color="auto"/>
          <w:right w:val="single" w:sz="4" w:space="4" w:color="auto"/>
        </w:pBdr>
        <w:ind w:left="720"/>
        <w:jc w:val="center"/>
        <w:rPr>
          <w:rFonts w:ascii="Arial" w:hAnsi="Arial" w:cs="Arial"/>
        </w:rPr>
      </w:pPr>
      <w:r>
        <w:rPr>
          <w:rFonts w:ascii="Arial" w:hAnsi="Arial" w:cs="Arial"/>
        </w:rPr>
        <w:t>Direction générale de l’Enseignement obligatoire</w:t>
      </w:r>
    </w:p>
    <w:p>
      <w:pPr>
        <w:pStyle w:val="Sansinterligne1"/>
        <w:pBdr>
          <w:top w:val="single" w:sz="4" w:space="4" w:color="auto"/>
          <w:left w:val="single" w:sz="4" w:space="4" w:color="auto"/>
          <w:bottom w:val="single" w:sz="4" w:space="4" w:color="auto"/>
          <w:right w:val="single" w:sz="4" w:space="4" w:color="auto"/>
        </w:pBdr>
        <w:ind w:left="720"/>
        <w:jc w:val="center"/>
        <w:rPr>
          <w:rFonts w:ascii="Arial" w:hAnsi="Arial" w:cs="Arial"/>
        </w:rPr>
      </w:pPr>
      <w:r>
        <w:rPr>
          <w:rFonts w:ascii="Arial" w:hAnsi="Arial" w:cs="Arial"/>
        </w:rPr>
        <w:t>Direction de l’organisation des établissements d’enseignement fondamental ordinaire</w:t>
      </w:r>
    </w:p>
    <w:p>
      <w:pPr>
        <w:pStyle w:val="Sansinterligne1"/>
        <w:pBdr>
          <w:top w:val="single" w:sz="4" w:space="4" w:color="auto"/>
          <w:left w:val="single" w:sz="4" w:space="4" w:color="auto"/>
          <w:bottom w:val="single" w:sz="4" w:space="4" w:color="auto"/>
          <w:right w:val="single" w:sz="4" w:space="4" w:color="auto"/>
        </w:pBdr>
        <w:ind w:left="720"/>
        <w:jc w:val="center"/>
        <w:rPr>
          <w:rFonts w:ascii="Arial" w:hAnsi="Arial" w:cs="Arial"/>
        </w:rPr>
      </w:pPr>
      <w:r>
        <w:rPr>
          <w:rFonts w:ascii="Arial" w:hAnsi="Arial" w:cs="Arial"/>
        </w:rPr>
        <w:t>Bureau 2F211,</w:t>
      </w:r>
    </w:p>
    <w:p>
      <w:pPr>
        <w:pStyle w:val="Sansinterligne1"/>
        <w:pBdr>
          <w:top w:val="single" w:sz="4" w:space="4" w:color="auto"/>
          <w:left w:val="single" w:sz="4" w:space="4" w:color="auto"/>
          <w:bottom w:val="single" w:sz="4" w:space="4" w:color="auto"/>
          <w:right w:val="single" w:sz="4" w:space="4" w:color="auto"/>
        </w:pBdr>
        <w:ind w:left="720"/>
        <w:jc w:val="center"/>
        <w:rPr>
          <w:rFonts w:ascii="Arial" w:hAnsi="Arial" w:cs="Arial"/>
        </w:rPr>
      </w:pPr>
      <w:r>
        <w:rPr>
          <w:rFonts w:ascii="Arial" w:hAnsi="Arial" w:cs="Arial"/>
        </w:rPr>
        <w:t>Rue Adolphe Lavallée, 1 à 1080 – Bruxelles</w:t>
      </w:r>
    </w:p>
    <w:p>
      <w:pPr>
        <w:pStyle w:val="Titre2"/>
      </w:pPr>
      <w:bookmarkStart w:id="1148" w:name="_Chapitre_3.4._Encadrement"/>
      <w:bookmarkEnd w:id="1148"/>
      <w:r>
        <w:br w:type="page"/>
      </w:r>
      <w:bookmarkStart w:id="1149" w:name="Chapitre3_4"/>
      <w:bookmarkStart w:id="1150" w:name="_Toc423420076"/>
      <w:bookmarkStart w:id="1151" w:name="_Toc450645283"/>
      <w:bookmarkStart w:id="1152" w:name="_Toc453942519"/>
      <w:bookmarkStart w:id="1153" w:name="_Toc454888136"/>
      <w:bookmarkStart w:id="1154" w:name="_Toc486241797"/>
      <w:r>
        <w:t>Chapitre 3.4</w:t>
      </w:r>
      <w:bookmarkEnd w:id="1149"/>
      <w:r>
        <w:t>.</w:t>
      </w:r>
      <w:r>
        <w:tab/>
        <w:t>Encadrement dans l'enseignement maternel</w:t>
      </w:r>
      <w:bookmarkEnd w:id="1076"/>
      <w:bookmarkEnd w:id="1085"/>
      <w:bookmarkEnd w:id="1086"/>
      <w:bookmarkEnd w:id="1150"/>
      <w:bookmarkEnd w:id="1151"/>
      <w:bookmarkEnd w:id="1152"/>
      <w:bookmarkEnd w:id="1153"/>
      <w:bookmarkEnd w:id="1154"/>
    </w:p>
    <w:p>
      <w:pPr>
        <w:rPr>
          <w:b/>
          <w:i/>
          <w:szCs w:val="22"/>
        </w:rPr>
      </w:pPr>
    </w:p>
    <w:p>
      <w:pPr>
        <w:rPr>
          <w:i/>
        </w:rPr>
      </w:pPr>
      <w:r>
        <w:rPr>
          <w:b/>
          <w:i/>
          <w:u w:val="single"/>
        </w:rPr>
        <w:t>Base légale</w:t>
      </w:r>
      <w:r>
        <w:rPr>
          <w:b/>
          <w:i/>
        </w:rPr>
        <w:t>:</w:t>
      </w:r>
      <w:r>
        <w:rPr>
          <w:b/>
          <w:i/>
        </w:rPr>
        <w:tab/>
      </w:r>
      <w:r>
        <w:rPr>
          <w:i/>
        </w:rPr>
        <w:t xml:space="preserve"> </w:t>
      </w:r>
      <w:hyperlink r:id="rId105" w:history="1">
        <w:r>
          <w:rPr>
            <w:rStyle w:val="Lienhypertexte"/>
            <w:i/>
            <w:color w:val="auto"/>
          </w:rPr>
          <w:t>Décret-cadre du 13/07/1998, articles 3ter et 41 à 48</w:t>
        </w:r>
      </w:hyperlink>
    </w:p>
    <w:p>
      <w:pPr>
        <w:ind w:left="1439" w:hanging="11"/>
        <w:rPr>
          <w:i/>
        </w:rPr>
      </w:pPr>
      <w:hyperlink r:id="rId106" w:history="1">
        <w:r>
          <w:rPr>
            <w:rStyle w:val="Lienhypertexte"/>
            <w:i/>
            <w:color w:val="auto"/>
          </w:rPr>
          <w:t>Décret du 30/04/2009 organisant un encadrement différencié au sein des établissements scolaires de la Communauté française afin d'assurer à chaque élève des chances égales d'émancipation sociale dans un environnement pédagogique de qualité</w:t>
        </w:r>
      </w:hyperlink>
    </w:p>
    <w:p>
      <w:pPr>
        <w:ind w:left="1439" w:hanging="11"/>
        <w:rPr>
          <w:i/>
          <w:u w:val="single"/>
        </w:rPr>
      </w:pPr>
      <w:hyperlink r:id="rId107" w:history="1">
        <w:r>
          <w:rPr>
            <w:rStyle w:val="Lienhypertexte"/>
            <w:i/>
            <w:color w:val="auto"/>
          </w:rPr>
          <w:t>Décret du 03/05/2012 portant diverses mesures relatives à l’enseignement fondamental et à l’enseignement secondaire ordinaires, notamment en matière de taille des classes</w:t>
        </w:r>
      </w:hyperlink>
    </w:p>
    <w:p>
      <w:pPr>
        <w:ind w:left="1439" w:hanging="11"/>
        <w:rPr>
          <w:i/>
        </w:rPr>
      </w:pPr>
    </w:p>
    <w:p>
      <w:pPr>
        <w:ind w:left="1439" w:hanging="11"/>
        <w:rPr>
          <w:i/>
        </w:rPr>
      </w:pPr>
    </w:p>
    <w:p>
      <w:pPr>
        <w:pStyle w:val="Titre3"/>
      </w:pPr>
      <w:bookmarkStart w:id="1155" w:name="_3.4.1._Nombre_d'emplois"/>
      <w:bookmarkStart w:id="1156" w:name="_Toc295932042"/>
      <w:bookmarkStart w:id="1157" w:name="_Toc295913772"/>
      <w:bookmarkStart w:id="1158" w:name="_Toc423420077"/>
      <w:bookmarkStart w:id="1159" w:name="_Toc450645284"/>
      <w:bookmarkStart w:id="1160" w:name="_Toc453942520"/>
      <w:bookmarkStart w:id="1161" w:name="_Toc454888137"/>
      <w:bookmarkStart w:id="1162" w:name="_Toc486241798"/>
      <w:bookmarkEnd w:id="1155"/>
      <w:r>
        <w:t>3.4.1.</w:t>
      </w:r>
      <w:r>
        <w:tab/>
        <w:t>Nombre d'emplois et populations scolaires à prendre en compte</w:t>
      </w:r>
      <w:bookmarkEnd w:id="1156"/>
      <w:bookmarkEnd w:id="1157"/>
      <w:bookmarkEnd w:id="1158"/>
      <w:bookmarkEnd w:id="1159"/>
      <w:bookmarkEnd w:id="1160"/>
      <w:bookmarkEnd w:id="1161"/>
      <w:bookmarkEnd w:id="1162"/>
    </w:p>
    <w:p>
      <w:pPr>
        <w:jc w:val="both"/>
        <w:rPr>
          <w:sz w:val="16"/>
          <w:szCs w:val="16"/>
          <w:lang w:val="fr-BE"/>
        </w:rPr>
      </w:pPr>
    </w:p>
    <w:p>
      <w:pPr>
        <w:jc w:val="both"/>
        <w:rPr>
          <w:b/>
          <w:spacing w:val="-2"/>
          <w:u w:val="single"/>
        </w:rPr>
      </w:pPr>
      <w:r>
        <w:rPr>
          <w:b/>
          <w:spacing w:val="-2"/>
          <w:u w:val="single"/>
        </w:rPr>
        <w:t>Nombre d'emplois:</w:t>
      </w:r>
    </w:p>
    <w:p>
      <w:pPr>
        <w:jc w:val="both"/>
        <w:rPr>
          <w:spacing w:val="-2"/>
          <w:sz w:val="16"/>
        </w:rPr>
      </w:pPr>
    </w:p>
    <w:p>
      <w:pPr>
        <w:jc w:val="both"/>
        <w:rPr>
          <w:spacing w:val="-2"/>
        </w:rPr>
      </w:pPr>
      <w:r>
        <w:t>L’encadrement maternel est organisé sur la base d’un système de normes déterminant le nombre d’emplois maternels. Les normes fixées forment des seuils par ½ emploi.</w:t>
      </w:r>
    </w:p>
    <w:p>
      <w:pPr>
        <w:jc w:val="both"/>
        <w:rPr>
          <w:spacing w:val="-2"/>
          <w:sz w:val="16"/>
          <w:szCs w:val="16"/>
        </w:rPr>
      </w:pPr>
    </w:p>
    <w:p>
      <w:pPr>
        <w:jc w:val="both"/>
        <w:rPr>
          <w:spacing w:val="-2"/>
        </w:rPr>
      </w:pPr>
      <w:r>
        <w:rPr>
          <w:spacing w:val="-2"/>
        </w:rPr>
        <w:t xml:space="preserve">Pour effectuer les calculs, </w:t>
      </w:r>
    </w:p>
    <w:p>
      <w:pPr>
        <w:numPr>
          <w:ilvl w:val="0"/>
          <w:numId w:val="100"/>
        </w:numPr>
        <w:tabs>
          <w:tab w:val="clear" w:pos="1077"/>
          <w:tab w:val="num" w:pos="720"/>
        </w:tabs>
        <w:spacing w:before="80"/>
        <w:ind w:left="719"/>
        <w:jc w:val="both"/>
        <w:rPr>
          <w:spacing w:val="-2"/>
        </w:rPr>
      </w:pPr>
      <w:r>
        <w:rPr>
          <w:u w:val="single"/>
        </w:rPr>
        <w:t>les implantations comprises dans la limite du nombre d’implantations existantes</w:t>
      </w:r>
      <w:r>
        <w:t xml:space="preserve">, par Pouvoir organisateur, </w:t>
      </w:r>
      <w:r>
        <w:rPr>
          <w:u w:val="single"/>
        </w:rPr>
        <w:t>au 30 juin 1984</w:t>
      </w:r>
      <w:r>
        <w:t xml:space="preserve">, ainsi que </w:t>
      </w:r>
      <w:r>
        <w:rPr>
          <w:spacing w:val="-2"/>
          <w:u w:val="single"/>
        </w:rPr>
        <w:t xml:space="preserve">les implantations créées après le 30/06/1992 et situées à au moins </w:t>
      </w:r>
      <w:smartTag w:uri="urn:schemas-microsoft-com:office:smarttags" w:element="metricconverter">
        <w:smartTagPr>
          <w:attr w:name="ProductID" w:val="2 kilom￨tres"/>
        </w:smartTagPr>
        <w:r>
          <w:rPr>
            <w:spacing w:val="-2"/>
            <w:u w:val="single"/>
          </w:rPr>
          <w:t>2 kilomètres</w:t>
        </w:r>
      </w:smartTag>
      <w:r>
        <w:rPr>
          <w:spacing w:val="-2"/>
        </w:rPr>
        <w:t xml:space="preserve"> de toute autre implantation de la même école et où le niveau fondamental est organisé, font l’objet d’un </w:t>
      </w:r>
      <w:r>
        <w:rPr>
          <w:b/>
          <w:spacing w:val="-2"/>
        </w:rPr>
        <w:t>comptage séparé</w:t>
      </w:r>
      <w:r>
        <w:rPr>
          <w:spacing w:val="-2"/>
        </w:rPr>
        <w:t xml:space="preserve">. </w:t>
      </w:r>
    </w:p>
    <w:p>
      <w:pPr>
        <w:numPr>
          <w:ilvl w:val="0"/>
          <w:numId w:val="100"/>
        </w:numPr>
        <w:tabs>
          <w:tab w:val="clear" w:pos="1077"/>
          <w:tab w:val="num" w:pos="720"/>
        </w:tabs>
        <w:spacing w:before="80"/>
        <w:ind w:left="719"/>
        <w:jc w:val="both"/>
        <w:rPr>
          <w:spacing w:val="-2"/>
        </w:rPr>
      </w:pPr>
      <w:r>
        <w:rPr>
          <w:spacing w:val="-2"/>
          <w:u w:val="single"/>
        </w:rPr>
        <w:t>les autres implantations</w:t>
      </w:r>
      <w:r>
        <w:rPr>
          <w:spacing w:val="-2"/>
        </w:rPr>
        <w:t xml:space="preserve"> font l'objet d'un </w:t>
      </w:r>
      <w:r>
        <w:rPr>
          <w:b/>
          <w:spacing w:val="-2"/>
        </w:rPr>
        <w:t>comptage global</w:t>
      </w:r>
      <w:r>
        <w:rPr>
          <w:spacing w:val="-2"/>
        </w:rPr>
        <w:t>.</w:t>
      </w:r>
    </w:p>
    <w:p>
      <w:pPr>
        <w:jc w:val="both"/>
        <w:rPr>
          <w:sz w:val="16"/>
          <w:szCs w:val="16"/>
        </w:rPr>
      </w:pPr>
    </w:p>
    <w:p>
      <w:pPr>
        <w:jc w:val="both"/>
        <w:rPr>
          <w:spacing w:val="-4"/>
        </w:rPr>
      </w:pPr>
      <w:r>
        <w:rPr>
          <w:spacing w:val="-4"/>
        </w:rPr>
        <w:t>Le nombre d'emplois est applicable du 1</w:t>
      </w:r>
      <w:r>
        <w:rPr>
          <w:spacing w:val="-4"/>
          <w:vertAlign w:val="superscript"/>
        </w:rPr>
        <w:t>er</w:t>
      </w:r>
      <w:r>
        <w:rPr>
          <w:spacing w:val="-4"/>
        </w:rPr>
        <w:t xml:space="preserve"> octobre au 30 septembre suivant, et n’est </w:t>
      </w:r>
      <w:r>
        <w:rPr>
          <w:spacing w:val="-4"/>
          <w:u w:val="single"/>
        </w:rPr>
        <w:t>jamais recalculé à la baisse,</w:t>
      </w:r>
      <w:r>
        <w:rPr>
          <w:spacing w:val="-4"/>
        </w:rPr>
        <w:t xml:space="preserve"> même si lors des comptages ultérieurs, aux dates d’augmentation de cadre maternel, l’implantation compte moins d’élèves qu’au 30 septembre.</w:t>
      </w:r>
    </w:p>
    <w:p>
      <w:pPr>
        <w:jc w:val="both"/>
        <w:rPr>
          <w:sz w:val="20"/>
          <w:szCs w:val="20"/>
        </w:rPr>
      </w:pPr>
    </w:p>
    <w:p>
      <w:pPr>
        <w:jc w:val="both"/>
        <w:rPr>
          <w:spacing w:val="-4"/>
        </w:rPr>
      </w:pPr>
      <w:r>
        <w:rPr>
          <w:bCs/>
          <w:i/>
          <w:iCs/>
        </w:rPr>
        <w:t xml:space="preserve">En cas de </w:t>
      </w:r>
      <w:r>
        <w:rPr>
          <w:bCs/>
          <w:i/>
          <w:iCs/>
          <w:u w:val="single"/>
        </w:rPr>
        <w:t>programmation</w:t>
      </w:r>
      <w:r>
        <w:rPr>
          <w:bCs/>
          <w:i/>
          <w:iCs/>
        </w:rPr>
        <w:t xml:space="preserve"> le nombre d’emplois, applicable du 1</w:t>
      </w:r>
      <w:r>
        <w:rPr>
          <w:bCs/>
          <w:i/>
          <w:iCs/>
          <w:vertAlign w:val="superscript"/>
        </w:rPr>
        <w:t>er</w:t>
      </w:r>
      <w:r>
        <w:rPr>
          <w:bCs/>
          <w:i/>
          <w:iCs/>
        </w:rPr>
        <w:t xml:space="preserve"> septembre au 30 juin suivant est calculé sur base du nombre d'élèves maternels régulièrement inscrits à la dernière heure de cours au 30 septembre de l’année en cours.</w:t>
      </w:r>
      <w:r>
        <w:rPr>
          <w:spacing w:val="-4"/>
        </w:rPr>
        <w:t xml:space="preserve"> </w:t>
      </w:r>
    </w:p>
    <w:p>
      <w:pPr>
        <w:jc w:val="both"/>
      </w:pPr>
    </w:p>
    <w:p>
      <w:pPr>
        <w:jc w:val="both"/>
        <w:rPr>
          <w:sz w:val="20"/>
          <w:szCs w:val="20"/>
        </w:rPr>
      </w:pPr>
    </w:p>
    <w:p>
      <w:pPr>
        <w:jc w:val="both"/>
        <w:rPr>
          <w:b/>
          <w:u w:val="single"/>
        </w:rPr>
      </w:pPr>
      <w:r>
        <w:rPr>
          <w:b/>
          <w:u w:val="single"/>
        </w:rPr>
        <w:t>Populations scolaires à prendre en compte:</w:t>
      </w:r>
    </w:p>
    <w:p>
      <w:pPr>
        <w:jc w:val="both"/>
        <w:rPr>
          <w:sz w:val="12"/>
        </w:rPr>
      </w:pPr>
    </w:p>
    <w:p>
      <w:pPr>
        <w:jc w:val="both"/>
        <w:rPr>
          <w:spacing w:val="-4"/>
        </w:rPr>
      </w:pPr>
      <w:r>
        <w:t xml:space="preserve">Le nombre d’emplois est déterminé sur la base du nombre total d'élèves </w:t>
      </w:r>
      <w:r>
        <w:rPr>
          <w:spacing w:val="-4"/>
        </w:rPr>
        <w:t xml:space="preserve">régulièrement inscrits </w:t>
      </w:r>
      <w:r>
        <w:rPr>
          <w:spacing w:val="-4"/>
          <w:u w:val="single"/>
        </w:rPr>
        <w:t>à la dernière heure de cours</w:t>
      </w:r>
      <w:r>
        <w:rPr>
          <w:spacing w:val="-4"/>
        </w:rPr>
        <w:t xml:space="preserve"> </w:t>
      </w:r>
      <w:r>
        <w:t>dans l’école ou l’implantation à comptage séparé</w:t>
      </w:r>
      <w:r>
        <w:rPr>
          <w:spacing w:val="-4"/>
        </w:rPr>
        <w:t xml:space="preserve"> au </w:t>
      </w:r>
      <w:r>
        <w:rPr>
          <w:spacing w:val="-4"/>
          <w:u w:val="single"/>
        </w:rPr>
        <w:t>30 septembre de l'année scolaire en cours</w:t>
      </w:r>
      <w:r>
        <w:rPr>
          <w:spacing w:val="-4"/>
        </w:rPr>
        <w:t>.</w:t>
      </w:r>
    </w:p>
    <w:p>
      <w:pPr>
        <w:pStyle w:val="Corpsdetexte2"/>
        <w:rPr>
          <w:sz w:val="16"/>
          <w:szCs w:val="16"/>
        </w:rPr>
      </w:pPr>
    </w:p>
    <w:p>
      <w:pPr>
        <w:jc w:val="both"/>
      </w:pPr>
      <w:r>
        <w:t xml:space="preserve">Un </w:t>
      </w:r>
      <w:r>
        <w:rPr>
          <w:u w:val="single"/>
        </w:rPr>
        <w:t>élève</w:t>
      </w:r>
      <w:r>
        <w:t xml:space="preserve"> est </w:t>
      </w:r>
      <w:r>
        <w:rPr>
          <w:u w:val="single"/>
        </w:rPr>
        <w:t>régulièrement inscrit</w:t>
      </w:r>
      <w:r>
        <w:rPr>
          <w:rStyle w:val="Appelnotedebasdep"/>
          <w:u w:val="single"/>
        </w:rPr>
        <w:footnoteReference w:id="66"/>
      </w:r>
      <w:r>
        <w:t xml:space="preserve"> au 30 septembre dans l'enseignement maternel s'il:</w:t>
      </w:r>
    </w:p>
    <w:p>
      <w:pPr>
        <w:numPr>
          <w:ilvl w:val="0"/>
          <w:numId w:val="35"/>
        </w:numPr>
        <w:spacing w:before="60"/>
        <w:ind w:left="713" w:hanging="357"/>
        <w:jc w:val="both"/>
      </w:pPr>
      <w:r>
        <w:t>est âgé d’au moins 2 ans et 6 mois accomplis au 30 septembre de l’année scolaire en cours (pour l'année scolaire 2017-2018, l'élève doit être né au plus tard le 31 mars 2015).</w:t>
      </w:r>
    </w:p>
    <w:p>
      <w:pPr>
        <w:numPr>
          <w:ilvl w:val="0"/>
          <w:numId w:val="35"/>
        </w:numPr>
        <w:spacing w:before="60"/>
        <w:ind w:left="713" w:hanging="357"/>
        <w:jc w:val="both"/>
      </w:pPr>
      <w:r>
        <w:t xml:space="preserve">fréquente la même école ou implantation à comptage séparé pendant le mois de septembre en </w:t>
      </w:r>
      <w:r>
        <w:rPr>
          <w:b/>
          <w:u w:val="single"/>
        </w:rPr>
        <w:t>y étant présent</w:t>
      </w:r>
      <w:r>
        <w:t xml:space="preserve"> 8 demi-jours au moins répartis sur 8 journées de présence effective de l'élève (une journée complète de fréquentation ne comptera donc ici que pour un seul demi-jour), à condition que son inscription n’ait pas été retirée au cours du mois de septembre. </w:t>
      </w:r>
    </w:p>
    <w:p>
      <w:pPr>
        <w:jc w:val="both"/>
        <w:rPr>
          <w:sz w:val="16"/>
        </w:rPr>
      </w:pPr>
    </w:p>
    <w:p>
      <w:pPr>
        <w:jc w:val="both"/>
      </w:pPr>
      <w:r>
        <w:t>L’inscription est effective le 8</w:t>
      </w:r>
      <w:r>
        <w:rPr>
          <w:vertAlign w:val="superscript"/>
        </w:rPr>
        <w:t>e</w:t>
      </w:r>
      <w:r>
        <w:t xml:space="preserve"> jour de présence. Les 8 journées de présence effective ne doivent pas nécessairement être consécutives.</w:t>
      </w:r>
    </w:p>
    <w:p>
      <w:pPr>
        <w:pStyle w:val="Corpsdetexte"/>
        <w:rPr>
          <w:rFonts w:cs="Times New Roman"/>
          <w:spacing w:val="0"/>
        </w:rPr>
      </w:pPr>
    </w:p>
    <w:p>
      <w:pPr>
        <w:pStyle w:val="Corpsdetexte"/>
        <w:rPr>
          <w:rFonts w:cs="Times New Roman"/>
          <w:spacing w:val="0"/>
        </w:rPr>
      </w:pPr>
      <w:r>
        <w:rPr>
          <w:rFonts w:cs="Times New Roman"/>
          <w:spacing w:val="0"/>
        </w:rPr>
        <w:t>L’élève maintenu en 3</w:t>
      </w:r>
      <w:r>
        <w:rPr>
          <w:rFonts w:cs="Times New Roman"/>
          <w:spacing w:val="0"/>
          <w:vertAlign w:val="superscript"/>
        </w:rPr>
        <w:t>e</w:t>
      </w:r>
      <w:r>
        <w:rPr>
          <w:rFonts w:cs="Times New Roman"/>
          <w:spacing w:val="0"/>
        </w:rPr>
        <w:t xml:space="preserve"> maternelle sans dérogation ne peut être comptabilisé aux différentes dates de comptage. </w:t>
      </w:r>
    </w:p>
    <w:p>
      <w:pPr>
        <w:jc w:val="both"/>
        <w:rPr>
          <w:szCs w:val="22"/>
        </w:rPr>
      </w:pPr>
    </w:p>
    <w:p>
      <w:pPr>
        <w:jc w:val="both"/>
        <w:rPr>
          <w:i/>
          <w:iCs/>
          <w:spacing w:val="-4"/>
          <w:szCs w:val="22"/>
        </w:rPr>
      </w:pPr>
      <w:r>
        <w:rPr>
          <w:i/>
          <w:iCs/>
          <w:spacing w:val="-4"/>
          <w:szCs w:val="22"/>
        </w:rPr>
        <w:t xml:space="preserve">La suspension des cours dans le cadre de journées de formation en cours de carrière obligatoire n’a pas d'implication sur le comptage: la journée de formation est prise en compte dans les 8 demi-jours. </w:t>
      </w:r>
    </w:p>
    <w:p>
      <w:pPr>
        <w:jc w:val="both"/>
        <w:rPr>
          <w:spacing w:val="-4"/>
          <w:sz w:val="16"/>
        </w:rPr>
      </w:pPr>
    </w:p>
    <w:p>
      <w:pPr>
        <w:jc w:val="both"/>
      </w:pPr>
      <w:r>
        <w:t>Un élève ne peut compter que dans l’école et l’implantation où il est inscrit le 30 septembre.</w:t>
      </w:r>
    </w:p>
    <w:p>
      <w:pPr>
        <w:jc w:val="both"/>
        <w:rPr>
          <w:sz w:val="16"/>
        </w:rPr>
      </w:pPr>
    </w:p>
    <w:p>
      <w:pPr>
        <w:jc w:val="both"/>
      </w:pPr>
      <w:r>
        <w:t xml:space="preserve">Chaque élève compte pour 1, à l'exception des élèves ci-dessous qui sont comptabilisés au </w:t>
      </w:r>
      <w:r>
        <w:rPr>
          <w:u w:val="single"/>
        </w:rPr>
        <w:t>coefficient 1,5.</w:t>
      </w:r>
      <w:r>
        <w:t xml:space="preserve"> Si le total des élèves comptés à 1,5 n'est pas un nombre entier, on arrondit à l'unité supérieure (</w:t>
      </w:r>
      <w:r>
        <w:rPr>
          <w:i/>
        </w:rPr>
        <w:t xml:space="preserve">documents à fournir : voir les </w:t>
      </w:r>
      <w:hyperlink w:anchor="Section6_2_4" w:history="1">
        <w:r>
          <w:rPr>
            <w:rStyle w:val="Lienhypertexte"/>
            <w:i/>
            <w:color w:val="auto"/>
          </w:rPr>
          <w:t>sections 6.2.4. à 6.2.7.</w:t>
        </w:r>
      </w:hyperlink>
      <w:r>
        <w:rPr>
          <w:i/>
        </w:rPr>
        <w:t>)</w:t>
      </w:r>
      <w:r>
        <w:t>.</w:t>
      </w:r>
    </w:p>
    <w:p>
      <w:pPr>
        <w:autoSpaceDE w:val="0"/>
        <w:autoSpaceDN w:val="0"/>
        <w:adjustRightInd w:val="0"/>
        <w:jc w:val="both"/>
        <w:rPr>
          <w:sz w:val="12"/>
        </w:rPr>
      </w:pPr>
    </w:p>
    <w:p>
      <w:pPr>
        <w:autoSpaceDE w:val="0"/>
        <w:autoSpaceDN w:val="0"/>
        <w:adjustRightInd w:val="0"/>
        <w:spacing w:after="40"/>
        <w:ind w:left="537" w:hanging="357"/>
        <w:jc w:val="both"/>
      </w:pPr>
      <w:r>
        <w:t>a)</w:t>
      </w:r>
      <w:r>
        <w:tab/>
        <w:t>les élèves qui fréquentent les écoles:</w:t>
      </w:r>
    </w:p>
    <w:p>
      <w:pPr>
        <w:numPr>
          <w:ilvl w:val="0"/>
          <w:numId w:val="27"/>
        </w:numPr>
        <w:tabs>
          <w:tab w:val="clear" w:pos="1440"/>
        </w:tabs>
        <w:autoSpaceDE w:val="0"/>
        <w:autoSpaceDN w:val="0"/>
        <w:adjustRightInd w:val="0"/>
        <w:ind w:left="1079" w:hanging="180"/>
        <w:jc w:val="both"/>
        <w:rPr>
          <w:i/>
        </w:rPr>
      </w:pPr>
      <w:r>
        <w:rPr>
          <w:i/>
        </w:rPr>
        <w:t>annexées à un centre d’accueil organisé ou reconnu par l’ONE;</w:t>
      </w:r>
    </w:p>
    <w:p>
      <w:pPr>
        <w:numPr>
          <w:ilvl w:val="0"/>
          <w:numId w:val="27"/>
        </w:numPr>
        <w:tabs>
          <w:tab w:val="clear" w:pos="1440"/>
        </w:tabs>
        <w:autoSpaceDE w:val="0"/>
        <w:autoSpaceDN w:val="0"/>
        <w:adjustRightInd w:val="0"/>
        <w:ind w:left="1079" w:hanging="180"/>
        <w:jc w:val="both"/>
        <w:rPr>
          <w:i/>
        </w:rPr>
      </w:pPr>
      <w:r>
        <w:rPr>
          <w:i/>
        </w:rPr>
        <w:t>annexées à un internat pour enfants dont les parents n’ont pas de résidence fixe;</w:t>
      </w:r>
    </w:p>
    <w:p>
      <w:pPr>
        <w:numPr>
          <w:ilvl w:val="0"/>
          <w:numId w:val="27"/>
        </w:numPr>
        <w:tabs>
          <w:tab w:val="clear" w:pos="1440"/>
        </w:tabs>
        <w:autoSpaceDE w:val="0"/>
        <w:autoSpaceDN w:val="0"/>
        <w:adjustRightInd w:val="0"/>
        <w:ind w:left="1079" w:hanging="180"/>
        <w:jc w:val="both"/>
        <w:rPr>
          <w:i/>
        </w:rPr>
      </w:pPr>
      <w:r>
        <w:rPr>
          <w:i/>
        </w:rPr>
        <w:t>relevant d’un home d’enfants placés par le juge.</w:t>
      </w:r>
    </w:p>
    <w:p>
      <w:pPr>
        <w:pStyle w:val="Retraitcorpsdetexte"/>
        <w:autoSpaceDE w:val="0"/>
        <w:autoSpaceDN w:val="0"/>
        <w:adjustRightInd w:val="0"/>
        <w:spacing w:before="80" w:after="40"/>
        <w:ind w:left="537" w:hanging="357"/>
      </w:pPr>
      <w:r>
        <w:t>b)</w:t>
      </w:r>
      <w:r>
        <w:tab/>
        <w:t>les élèves provenant, quelle que soit l’école fréquentée:</w:t>
      </w:r>
    </w:p>
    <w:p>
      <w:pPr>
        <w:numPr>
          <w:ilvl w:val="0"/>
          <w:numId w:val="27"/>
        </w:numPr>
        <w:tabs>
          <w:tab w:val="clear" w:pos="1440"/>
        </w:tabs>
        <w:autoSpaceDE w:val="0"/>
        <w:autoSpaceDN w:val="0"/>
        <w:adjustRightInd w:val="0"/>
        <w:ind w:left="1079" w:hanging="180"/>
        <w:jc w:val="both"/>
        <w:rPr>
          <w:i/>
        </w:rPr>
      </w:pPr>
      <w:r>
        <w:rPr>
          <w:i/>
        </w:rPr>
        <w:t xml:space="preserve">d’une structure ou d’une famille d’accueil pour autant qu’ils aient été placés par un </w:t>
      </w:r>
      <w:r>
        <w:rPr>
          <w:i/>
          <w:u w:val="single"/>
        </w:rPr>
        <w:t>Juge de la jeunesse agissant sur le territoire belge</w:t>
      </w:r>
      <w:r>
        <w:rPr>
          <w:i/>
        </w:rPr>
        <w:t xml:space="preserve"> ou un </w:t>
      </w:r>
      <w:r>
        <w:rPr>
          <w:i/>
          <w:u w:val="single"/>
        </w:rPr>
        <w:t>conseiller de l’aide à la jeunesse en Belgique</w:t>
      </w:r>
      <w:r>
        <w:rPr>
          <w:i/>
        </w:rPr>
        <w:t xml:space="preserve">; </w:t>
      </w:r>
    </w:p>
    <w:p>
      <w:pPr>
        <w:numPr>
          <w:ilvl w:val="0"/>
          <w:numId w:val="27"/>
        </w:numPr>
        <w:tabs>
          <w:tab w:val="clear" w:pos="1440"/>
        </w:tabs>
        <w:autoSpaceDE w:val="0"/>
        <w:autoSpaceDN w:val="0"/>
        <w:adjustRightInd w:val="0"/>
        <w:ind w:left="1079" w:hanging="180"/>
        <w:jc w:val="both"/>
        <w:rPr>
          <w:i/>
        </w:rPr>
      </w:pPr>
      <w:r>
        <w:rPr>
          <w:i/>
        </w:rPr>
        <w:t>d’un internat pour les enfants dont les parents n’ont pas de résidence fixe;</w:t>
      </w:r>
    </w:p>
    <w:p>
      <w:pPr>
        <w:numPr>
          <w:ilvl w:val="0"/>
          <w:numId w:val="27"/>
        </w:numPr>
        <w:tabs>
          <w:tab w:val="clear" w:pos="1440"/>
        </w:tabs>
        <w:autoSpaceDE w:val="0"/>
        <w:autoSpaceDN w:val="0"/>
        <w:adjustRightInd w:val="0"/>
        <w:ind w:left="1079" w:hanging="180"/>
        <w:jc w:val="both"/>
        <w:rPr>
          <w:i/>
        </w:rPr>
      </w:pPr>
      <w:r>
        <w:rPr>
          <w:i/>
        </w:rPr>
        <w:t>d’un centre d’accueil organisé ou reconnu par l’ONE.</w:t>
      </w:r>
    </w:p>
    <w:p>
      <w:pPr>
        <w:spacing w:before="120"/>
        <w:ind w:left="539" w:hanging="360"/>
        <w:jc w:val="both"/>
      </w:pPr>
      <w:r>
        <w:t>c)</w:t>
      </w:r>
      <w:r>
        <w:tab/>
        <w:t>les élèves primo-arrivants</w:t>
      </w:r>
      <w:r>
        <w:rPr>
          <w:rStyle w:val="Appelnotedebasdep"/>
        </w:rPr>
        <w:footnoteReference w:id="67"/>
      </w:r>
      <w:r>
        <w:t xml:space="preserve"> (ou qui l’ont été le jour de leur première inscription</w:t>
      </w:r>
      <w:r>
        <w:rPr>
          <w:rStyle w:val="Appelnotedebasdep"/>
        </w:rPr>
        <w:footnoteReference w:id="68"/>
      </w:r>
      <w:r>
        <w:t xml:space="preserve"> dans une école organisée ou subventionnée par </w:t>
      </w:r>
      <w:smartTag w:uri="urn:schemas-microsoft-com:office:smarttags" w:element="PersonName">
        <w:smartTagPr>
          <w:attr w:name="ProductID" w:val="la F￩d￩ration Wallonie-Bruxelles"/>
        </w:smartTagPr>
        <w:r>
          <w:t>la Fédération Wallonie-Bruxelles</w:t>
        </w:r>
      </w:smartTag>
      <w:r>
        <w:t xml:space="preserve">) selon les modalités de comptage détaillées ci-après. </w:t>
      </w:r>
    </w:p>
    <w:p>
      <w:pPr>
        <w:ind w:left="537" w:hanging="357"/>
        <w:jc w:val="both"/>
        <w:rPr>
          <w:sz w:val="16"/>
          <w:szCs w:val="16"/>
        </w:rPr>
      </w:pPr>
    </w:p>
    <w:p>
      <w:pPr>
        <w:pStyle w:val="Corpsdetexte"/>
        <w:rPr>
          <w:i/>
          <w:u w:val="single"/>
        </w:rPr>
      </w:pPr>
      <w:r>
        <w:rPr>
          <w:spacing w:val="0"/>
          <w:szCs w:val="22"/>
          <w:u w:val="single"/>
        </w:rPr>
        <w:t>Rappel de la définition d’un élève primo-arrivant (voir</w:t>
      </w:r>
      <w:hyperlink w:anchor="Section2_2_6" w:history="1">
        <w:r>
          <w:rPr>
            <w:i/>
            <w:u w:val="single"/>
          </w:rPr>
          <w:t xml:space="preserve"> </w:t>
        </w:r>
        <w:r>
          <w:rPr>
            <w:rStyle w:val="Lienhypertexte"/>
            <w:i/>
            <w:color w:val="auto"/>
          </w:rPr>
          <w:t>section 2.2.6.</w:t>
        </w:r>
      </w:hyperlink>
      <w:r>
        <w:rPr>
          <w:i/>
          <w:u w:val="single"/>
        </w:rPr>
        <w:t>):</w:t>
      </w:r>
    </w:p>
    <w:p>
      <w:pPr>
        <w:pStyle w:val="Corpsdetexte"/>
        <w:rPr>
          <w:i/>
          <w:sz w:val="8"/>
          <w:szCs w:val="8"/>
        </w:rPr>
      </w:pPr>
    </w:p>
    <w:p>
      <w:pPr>
        <w:spacing w:before="20"/>
        <w:jc w:val="both"/>
        <w:rPr>
          <w:b/>
          <w:i/>
        </w:rPr>
      </w:pPr>
      <w:r>
        <w:t>Un élève est primo-arrivant si, au moment de son inscription</w:t>
      </w:r>
      <w:r>
        <w:rPr>
          <w:rStyle w:val="Appelnotedebasdep"/>
        </w:rPr>
        <w:footnoteReference w:id="69"/>
      </w:r>
      <w:r>
        <w:t>, il répond conjointement aux 3 conditions ci-dessous. Il perd la qualité d’élève primo-arrivant le jour où au moins une des ces conditions n’est plus remplie mais il peut toutefois conserver le bénéfice d’un comptage préférentiel jusqu’au terme des trois premières années scolaires de scolarisation</w:t>
      </w:r>
      <w:r>
        <w:rPr>
          <w:b/>
          <w:i/>
        </w:rPr>
        <w:t>:</w:t>
      </w:r>
    </w:p>
    <w:p>
      <w:pPr>
        <w:rPr>
          <w:b/>
          <w:i/>
          <w:sz w:val="8"/>
          <w:szCs w:val="8"/>
        </w:rPr>
      </w:pPr>
    </w:p>
    <w:p>
      <w:pPr>
        <w:pStyle w:val="Corpsdetexte2"/>
        <w:tabs>
          <w:tab w:val="left" w:pos="360"/>
        </w:tabs>
      </w:pPr>
      <w:r>
        <w:t xml:space="preserve">a) </w:t>
      </w:r>
      <w:r>
        <w:tab/>
      </w:r>
      <w:r>
        <w:rPr>
          <w:u w:val="single"/>
        </w:rPr>
        <w:t>Conditions d’âge:</w:t>
      </w:r>
      <w:r>
        <w:t xml:space="preserve"> être âgés de 2 ans et demi au moins</w:t>
      </w:r>
      <w:r>
        <w:rPr>
          <w:rStyle w:val="Appelnotedebasdep"/>
        </w:rPr>
        <w:footnoteReference w:id="70"/>
      </w:r>
      <w:r>
        <w:t xml:space="preserve"> et de moins de 18 ans;</w:t>
      </w:r>
    </w:p>
    <w:p>
      <w:pPr>
        <w:pStyle w:val="Corpsdetexte2"/>
        <w:tabs>
          <w:tab w:val="left" w:pos="360"/>
        </w:tabs>
        <w:rPr>
          <w:sz w:val="8"/>
          <w:szCs w:val="8"/>
        </w:rPr>
      </w:pPr>
    </w:p>
    <w:p>
      <w:pPr>
        <w:pStyle w:val="Corpsdetexte2"/>
        <w:tabs>
          <w:tab w:val="left" w:pos="360"/>
        </w:tabs>
        <w:ind w:left="356" w:hanging="357"/>
      </w:pPr>
      <w:r>
        <w:t>b)</w:t>
      </w:r>
      <w:r>
        <w:tab/>
      </w:r>
      <w:r>
        <w:rPr>
          <w:u w:val="single"/>
        </w:rPr>
        <w:t>Temps de présence sur le territoire belge</w:t>
      </w:r>
      <w:r>
        <w:t>: être arrivé sur le territoire national depuis moins d’un an au moment de sa première inscription dans une école;</w:t>
      </w:r>
    </w:p>
    <w:p>
      <w:pPr>
        <w:pStyle w:val="Corpsdetexte2"/>
        <w:tabs>
          <w:tab w:val="left" w:pos="360"/>
        </w:tabs>
        <w:rPr>
          <w:sz w:val="8"/>
          <w:szCs w:val="8"/>
        </w:rPr>
      </w:pPr>
    </w:p>
    <w:p>
      <w:pPr>
        <w:pStyle w:val="Corpsdetexte2"/>
        <w:tabs>
          <w:tab w:val="left" w:pos="360"/>
        </w:tabs>
        <w:spacing w:after="60"/>
      </w:pPr>
      <w:r>
        <w:t xml:space="preserve">c) </w:t>
      </w:r>
      <w:r>
        <w:tab/>
      </w:r>
      <w:r>
        <w:rPr>
          <w:u w:val="single"/>
        </w:rPr>
        <w:t>Conditions de statut</w:t>
      </w:r>
      <w:r>
        <w:t>:</w:t>
      </w:r>
    </w:p>
    <w:p>
      <w:pPr>
        <w:pStyle w:val="Corpsdetexte2"/>
        <w:spacing w:before="60" w:after="40"/>
        <w:ind w:left="539" w:hanging="181"/>
      </w:pPr>
      <w:r>
        <w:t>-</w:t>
      </w:r>
      <w:r>
        <w:tab/>
        <w:t>soit avoir introduit une demande de reconnaissance de la qualité de réfugié ou s’être vu reconnaître la qualité de réfugié conformément à la loi du 15 décembre 1980 sur l’accès au territoire, le séjour, l’établissement et l’éloignement des étrangers;</w:t>
      </w:r>
    </w:p>
    <w:p>
      <w:pPr>
        <w:pStyle w:val="Corpsdetexte2"/>
        <w:spacing w:after="120"/>
        <w:ind w:left="538" w:hanging="181"/>
      </w:pPr>
      <w:r>
        <w:t>-</w:t>
      </w:r>
      <w:r>
        <w:tab/>
        <w:t>soit être mineur accompagnant une personne ayant introduit une demande de reconnaissance de la qualité de réfugié ou s’étant vu reconnaître la qualité de réfugié conformément à la loi du 15 décembre 1980 sur l’accès au territoire, le séjour, l’établissement et l’éloignement des étrangers;</w:t>
      </w:r>
    </w:p>
    <w:p>
      <w:pPr>
        <w:pStyle w:val="Corpsdetexte2"/>
        <w:numPr>
          <w:ilvl w:val="0"/>
          <w:numId w:val="139"/>
        </w:numPr>
      </w:pPr>
      <w:r>
        <w:rPr>
          <w:spacing w:val="-10"/>
        </w:rPr>
        <w:t>soit être reconnu comme apatride;</w:t>
      </w:r>
    </w:p>
    <w:p>
      <w:pPr>
        <w:pStyle w:val="Corpsdetexte2"/>
        <w:numPr>
          <w:ilvl w:val="0"/>
          <w:numId w:val="139"/>
        </w:numPr>
        <w:spacing w:after="120"/>
        <w:ind w:left="714" w:hanging="357"/>
      </w:pPr>
      <w:r>
        <w:t>soit être ressortissant</w:t>
      </w:r>
      <w:r>
        <w:rPr>
          <w:rStyle w:val="Appelnotedebasdep"/>
        </w:rPr>
        <w:footnoteReference w:id="71"/>
      </w:r>
      <w:r>
        <w:t xml:space="preserve"> d’un pays bénéficiaire de l’aide au développement du Comité d’aide au développement de l’Organisation de Coopération et de Développement économique (voir la liste page 32).</w:t>
      </w:r>
    </w:p>
    <w:p>
      <w:pPr>
        <w:pStyle w:val="Corpsdetexte2"/>
        <w:ind w:left="360"/>
      </w:pPr>
      <w:r>
        <w:rPr>
          <w:b/>
          <w:u w:val="single"/>
        </w:rPr>
        <w:t>Remarque :</w:t>
      </w:r>
      <w:r>
        <w:rPr>
          <w:b/>
        </w:rPr>
        <w:t xml:space="preserve"> </w:t>
      </w:r>
      <w:r>
        <w:t xml:space="preserve">un élève qui dispose d’une double nationalité (belge et étrangère) ne peut être considéré comme primo-arrivant. </w:t>
      </w:r>
    </w:p>
    <w:p>
      <w:pPr>
        <w:pStyle w:val="Corpsdetexte2"/>
      </w:pPr>
    </w:p>
    <w:p>
      <w:pPr>
        <w:pStyle w:val="Corpsdetexte2"/>
      </w:pPr>
    </w:p>
    <w:p>
      <w:pPr>
        <w:pStyle w:val="Corpsdetexte2"/>
        <w:rPr>
          <w:u w:val="single"/>
        </w:rPr>
      </w:pPr>
      <w:r>
        <w:rPr>
          <w:b/>
          <w:i/>
          <w:u w:val="single"/>
        </w:rPr>
        <w:t>Modalités et coefficient de comptage des élèves primo-arrivants durant leur scolarité maternelle:</w:t>
      </w:r>
    </w:p>
    <w:p>
      <w:pPr>
        <w:pStyle w:val="Corpsdetexte2"/>
        <w:rPr>
          <w:u w:val="single"/>
        </w:rPr>
      </w:pPr>
    </w:p>
    <w:p>
      <w:pPr>
        <w:pStyle w:val="Corpsdetexte"/>
        <w:rPr>
          <w:spacing w:val="0"/>
          <w:szCs w:val="22"/>
        </w:rPr>
      </w:pPr>
      <w:r>
        <w:rPr>
          <w:spacing w:val="0"/>
          <w:szCs w:val="22"/>
        </w:rPr>
        <w:t xml:space="preserve">L’intention du législateur est que tous les élèves qui remplissent les conditions précitées d’élèves primo-arrivants, quelle que soit leur date de première </w:t>
      </w:r>
      <w:r>
        <w:t>inscription</w:t>
      </w:r>
      <w:r>
        <w:rPr>
          <w:rStyle w:val="Appelnotedebasdep"/>
        </w:rPr>
        <w:footnoteReference w:id="72"/>
      </w:r>
      <w:r>
        <w:rPr>
          <w:spacing w:val="0"/>
          <w:szCs w:val="22"/>
        </w:rPr>
        <w:t xml:space="preserve"> dans une école de la FWB mais </w:t>
      </w:r>
      <w:r>
        <w:rPr>
          <w:u w:val="single"/>
        </w:rPr>
        <w:t>pour autant que leur langue maternelle ou usuelle diffère de la langue de l’enseignement</w:t>
      </w:r>
      <w:r>
        <w:rPr>
          <w:spacing w:val="0"/>
          <w:szCs w:val="22"/>
        </w:rPr>
        <w:t xml:space="preserve">, puissent bénéficier d’un coefficient de comptage préférentiel de 1,5 dans le </w:t>
      </w:r>
      <w:r>
        <w:rPr>
          <w:b/>
          <w:spacing w:val="0"/>
          <w:szCs w:val="22"/>
          <w:u w:val="single"/>
        </w:rPr>
        <w:t>mécanisme de calculs de l’encadrement maternel de 3 années scolaires complètes au minimum:</w:t>
      </w:r>
    </w:p>
    <w:p>
      <w:pPr>
        <w:pStyle w:val="Corpsdetexte"/>
        <w:rPr>
          <w:spacing w:val="0"/>
          <w:szCs w:val="22"/>
        </w:rPr>
      </w:pPr>
    </w:p>
    <w:p>
      <w:pPr>
        <w:pStyle w:val="Corpsdetexte2"/>
      </w:pPr>
      <w:r>
        <w:t xml:space="preserve">Si la date de </w:t>
      </w:r>
      <w:r>
        <w:rPr>
          <w:u w:val="single"/>
        </w:rPr>
        <w:t>première inscription se situe entre le 1</w:t>
      </w:r>
      <w:r>
        <w:rPr>
          <w:u w:val="single"/>
          <w:vertAlign w:val="superscript"/>
        </w:rPr>
        <w:t>er</w:t>
      </w:r>
      <w:r>
        <w:rPr>
          <w:u w:val="single"/>
        </w:rPr>
        <w:t xml:space="preserve"> et le 30 septembre</w:t>
      </w:r>
      <w:r>
        <w:t xml:space="preserve">: </w:t>
      </w:r>
    </w:p>
    <w:p>
      <w:pPr>
        <w:pStyle w:val="Corpsdetexte2"/>
        <w:numPr>
          <w:ilvl w:val="0"/>
          <w:numId w:val="122"/>
        </w:numPr>
        <w:tabs>
          <w:tab w:val="clear" w:pos="1069"/>
          <w:tab w:val="num" w:pos="540"/>
        </w:tabs>
        <w:ind w:left="540"/>
      </w:pPr>
      <w:r>
        <w:t>1</w:t>
      </w:r>
      <w:r>
        <w:rPr>
          <w:vertAlign w:val="superscript"/>
        </w:rPr>
        <w:t>ière</w:t>
      </w:r>
      <w:r>
        <w:t xml:space="preserve"> année scolaire: coefficient 1,5 </w:t>
      </w:r>
    </w:p>
    <w:p>
      <w:pPr>
        <w:pStyle w:val="Corpsdetexte2"/>
        <w:numPr>
          <w:ilvl w:val="0"/>
          <w:numId w:val="122"/>
        </w:numPr>
        <w:tabs>
          <w:tab w:val="clear" w:pos="1069"/>
          <w:tab w:val="num" w:pos="540"/>
        </w:tabs>
        <w:ind w:left="540"/>
      </w:pPr>
      <w:r>
        <w:t>2</w:t>
      </w:r>
      <w:r>
        <w:rPr>
          <w:vertAlign w:val="superscript"/>
        </w:rPr>
        <w:t>ième</w:t>
      </w:r>
      <w:r>
        <w:t xml:space="preserve"> année scolaire: coefficient 1,5</w:t>
      </w:r>
    </w:p>
    <w:p>
      <w:pPr>
        <w:pStyle w:val="Corpsdetexte2"/>
        <w:numPr>
          <w:ilvl w:val="0"/>
          <w:numId w:val="122"/>
        </w:numPr>
        <w:tabs>
          <w:tab w:val="clear" w:pos="1069"/>
          <w:tab w:val="num" w:pos="540"/>
        </w:tabs>
        <w:ind w:left="540"/>
      </w:pPr>
      <w:r>
        <w:t>3</w:t>
      </w:r>
      <w:r>
        <w:rPr>
          <w:vertAlign w:val="superscript"/>
        </w:rPr>
        <w:t>ième</w:t>
      </w:r>
      <w:r>
        <w:t xml:space="preserve"> année scolaire: coefficient 1,5</w:t>
      </w:r>
    </w:p>
    <w:p>
      <w:pPr>
        <w:pStyle w:val="Corpsdetexte2"/>
      </w:pPr>
    </w:p>
    <w:p>
      <w:pPr>
        <w:pStyle w:val="Corpsdetexte2"/>
      </w:pPr>
      <w:r>
        <w:t xml:space="preserve">Si la date de </w:t>
      </w:r>
      <w:r>
        <w:rPr>
          <w:u w:val="single"/>
        </w:rPr>
        <w:t>première inscription se situe entre le 1</w:t>
      </w:r>
      <w:r>
        <w:rPr>
          <w:u w:val="single"/>
          <w:vertAlign w:val="superscript"/>
        </w:rPr>
        <w:t>er</w:t>
      </w:r>
      <w:r>
        <w:rPr>
          <w:u w:val="single"/>
        </w:rPr>
        <w:t xml:space="preserve"> octobre et le 30 juin</w:t>
      </w:r>
      <w:r>
        <w:t xml:space="preserve">: </w:t>
      </w:r>
    </w:p>
    <w:p>
      <w:pPr>
        <w:pStyle w:val="Corpsdetexte2"/>
        <w:numPr>
          <w:ilvl w:val="0"/>
          <w:numId w:val="122"/>
        </w:numPr>
        <w:tabs>
          <w:tab w:val="clear" w:pos="1069"/>
          <w:tab w:val="num" w:pos="540"/>
        </w:tabs>
        <w:ind w:left="540"/>
      </w:pPr>
      <w:r>
        <w:t>1</w:t>
      </w:r>
      <w:r>
        <w:rPr>
          <w:vertAlign w:val="superscript"/>
        </w:rPr>
        <w:t>ière</w:t>
      </w:r>
      <w:r>
        <w:t xml:space="preserve"> année scolaire (incomplète): coefficient 1,5 </w:t>
      </w:r>
    </w:p>
    <w:p>
      <w:pPr>
        <w:pStyle w:val="Corpsdetexte2"/>
        <w:numPr>
          <w:ilvl w:val="0"/>
          <w:numId w:val="122"/>
        </w:numPr>
        <w:tabs>
          <w:tab w:val="clear" w:pos="1069"/>
          <w:tab w:val="num" w:pos="540"/>
        </w:tabs>
        <w:ind w:left="540"/>
      </w:pPr>
      <w:r>
        <w:t>2</w:t>
      </w:r>
      <w:r>
        <w:rPr>
          <w:vertAlign w:val="superscript"/>
        </w:rPr>
        <w:t>ième</w:t>
      </w:r>
      <w:r>
        <w:t xml:space="preserve"> année scolaire: coefficient 1,5</w:t>
      </w:r>
    </w:p>
    <w:p>
      <w:pPr>
        <w:pStyle w:val="Corpsdetexte2"/>
        <w:numPr>
          <w:ilvl w:val="0"/>
          <w:numId w:val="122"/>
        </w:numPr>
        <w:tabs>
          <w:tab w:val="clear" w:pos="1069"/>
          <w:tab w:val="num" w:pos="540"/>
        </w:tabs>
        <w:ind w:left="540"/>
      </w:pPr>
      <w:r>
        <w:t>3</w:t>
      </w:r>
      <w:r>
        <w:rPr>
          <w:vertAlign w:val="superscript"/>
        </w:rPr>
        <w:t>ième</w:t>
      </w:r>
      <w:r>
        <w:t xml:space="preserve"> année scolaire: coefficient 1,5</w:t>
      </w:r>
    </w:p>
    <w:p>
      <w:pPr>
        <w:pStyle w:val="Corpsdetexte2"/>
        <w:numPr>
          <w:ilvl w:val="0"/>
          <w:numId w:val="122"/>
        </w:numPr>
        <w:tabs>
          <w:tab w:val="clear" w:pos="1069"/>
          <w:tab w:val="num" w:pos="540"/>
        </w:tabs>
        <w:ind w:left="540"/>
      </w:pPr>
      <w:r>
        <w:t>4</w:t>
      </w:r>
      <w:r>
        <w:rPr>
          <w:vertAlign w:val="superscript"/>
        </w:rPr>
        <w:t>ième</w:t>
      </w:r>
      <w:r>
        <w:t xml:space="preserve"> année scolaire (si l’élève est toujours en âge d’être en maternelle): coefficient 1,5</w:t>
      </w:r>
    </w:p>
    <w:p>
      <w:pPr>
        <w:pStyle w:val="Corpsdetexte2"/>
      </w:pPr>
    </w:p>
    <w:p>
      <w:pPr>
        <w:pStyle w:val="Corpsdetexte2"/>
      </w:pPr>
      <w:r>
        <w:rPr>
          <w:i/>
          <w:u w:val="single"/>
        </w:rPr>
        <w:t>Tableau récapitulatif de comptage des élèves primo-arrivants ou qui l’ont été</w:t>
      </w:r>
      <w:r>
        <w:t>:</w:t>
      </w:r>
    </w:p>
    <w:p>
      <w:pPr>
        <w:pStyle w:val="Corpsdetexte2"/>
      </w:pP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05"/>
        <w:gridCol w:w="1862"/>
        <w:gridCol w:w="1800"/>
        <w:gridCol w:w="1440"/>
        <w:gridCol w:w="1495"/>
      </w:tblGrid>
      <w:tr>
        <w:trPr>
          <w:cantSplit/>
          <w:trHeight w:hRule="exact" w:val="397"/>
          <w:jc w:val="center"/>
        </w:trPr>
        <w:tc>
          <w:tcPr>
            <w:tcW w:w="3105" w:type="dxa"/>
            <w:vMerge w:val="restart"/>
            <w:shd w:val="clear" w:color="auto" w:fill="auto"/>
            <w:vAlign w:val="bottom"/>
          </w:tcPr>
          <w:p>
            <w:pPr>
              <w:spacing w:after="120"/>
              <w:rPr>
                <w:sz w:val="20"/>
              </w:rPr>
            </w:pPr>
            <w:r>
              <w:rPr>
                <w:b/>
                <w:sz w:val="20"/>
              </w:rPr>
              <w:t xml:space="preserve">Date de </w:t>
            </w:r>
            <w:r>
              <w:rPr>
                <w:b/>
                <w:sz w:val="20"/>
                <w:u w:val="single"/>
              </w:rPr>
              <w:t>1</w:t>
            </w:r>
            <w:r>
              <w:rPr>
                <w:b/>
                <w:sz w:val="20"/>
                <w:u w:val="single"/>
                <w:vertAlign w:val="superscript"/>
              </w:rPr>
              <w:t>ère</w:t>
            </w:r>
            <w:r>
              <w:rPr>
                <w:b/>
                <w:sz w:val="20"/>
                <w:u w:val="single"/>
              </w:rPr>
              <w:t xml:space="preserve"> inscription</w:t>
            </w:r>
            <w:r>
              <w:rPr>
                <w:b/>
                <w:sz w:val="20"/>
              </w:rPr>
              <w:t xml:space="preserve"> de l’élève dans une école de la Fédération Wallonie-Bruxelles:</w:t>
            </w:r>
          </w:p>
        </w:tc>
        <w:tc>
          <w:tcPr>
            <w:tcW w:w="6597" w:type="dxa"/>
            <w:gridSpan w:val="4"/>
            <w:shd w:val="clear" w:color="auto" w:fill="auto"/>
            <w:vAlign w:val="center"/>
          </w:tcPr>
          <w:p>
            <w:pPr>
              <w:jc w:val="center"/>
              <w:rPr>
                <w:b/>
                <w:sz w:val="20"/>
              </w:rPr>
            </w:pPr>
            <w:r>
              <w:rPr>
                <w:b/>
                <w:sz w:val="20"/>
              </w:rPr>
              <w:t>Années scolaires</w:t>
            </w:r>
          </w:p>
        </w:tc>
      </w:tr>
      <w:tr>
        <w:trPr>
          <w:cantSplit/>
          <w:trHeight w:hRule="exact" w:val="284"/>
          <w:jc w:val="center"/>
        </w:trPr>
        <w:tc>
          <w:tcPr>
            <w:tcW w:w="3105" w:type="dxa"/>
            <w:vMerge/>
            <w:shd w:val="clear" w:color="auto" w:fill="auto"/>
            <w:vAlign w:val="center"/>
          </w:tcPr>
          <w:p>
            <w:pPr>
              <w:jc w:val="center"/>
              <w:rPr>
                <w:b/>
                <w:sz w:val="20"/>
              </w:rPr>
            </w:pPr>
          </w:p>
        </w:tc>
        <w:tc>
          <w:tcPr>
            <w:tcW w:w="1862" w:type="dxa"/>
            <w:shd w:val="clear" w:color="auto" w:fill="auto"/>
            <w:vAlign w:val="center"/>
          </w:tcPr>
          <w:p>
            <w:pPr>
              <w:jc w:val="center"/>
              <w:rPr>
                <w:b/>
                <w:sz w:val="20"/>
              </w:rPr>
            </w:pPr>
            <w:r>
              <w:rPr>
                <w:b/>
                <w:sz w:val="20"/>
              </w:rPr>
              <w:t>2017-2018</w:t>
            </w:r>
          </w:p>
        </w:tc>
        <w:tc>
          <w:tcPr>
            <w:tcW w:w="1800" w:type="dxa"/>
            <w:shd w:val="clear" w:color="auto" w:fill="auto"/>
            <w:vAlign w:val="center"/>
          </w:tcPr>
          <w:p>
            <w:pPr>
              <w:jc w:val="center"/>
              <w:rPr>
                <w:b/>
                <w:sz w:val="20"/>
              </w:rPr>
            </w:pPr>
            <w:r>
              <w:rPr>
                <w:b/>
                <w:sz w:val="20"/>
              </w:rPr>
              <w:t>2018-2019</w:t>
            </w:r>
          </w:p>
        </w:tc>
        <w:tc>
          <w:tcPr>
            <w:tcW w:w="1440" w:type="dxa"/>
            <w:shd w:val="clear" w:color="auto" w:fill="auto"/>
            <w:vAlign w:val="center"/>
          </w:tcPr>
          <w:p>
            <w:pPr>
              <w:jc w:val="center"/>
              <w:rPr>
                <w:b/>
                <w:sz w:val="20"/>
              </w:rPr>
            </w:pPr>
            <w:r>
              <w:rPr>
                <w:b/>
                <w:sz w:val="20"/>
              </w:rPr>
              <w:t>2019-2020</w:t>
            </w:r>
          </w:p>
        </w:tc>
        <w:tc>
          <w:tcPr>
            <w:tcW w:w="1495" w:type="dxa"/>
            <w:shd w:val="clear" w:color="auto" w:fill="auto"/>
            <w:vAlign w:val="center"/>
          </w:tcPr>
          <w:p>
            <w:pPr>
              <w:jc w:val="center"/>
              <w:rPr>
                <w:b/>
                <w:sz w:val="20"/>
              </w:rPr>
            </w:pPr>
            <w:r>
              <w:rPr>
                <w:b/>
                <w:sz w:val="20"/>
              </w:rPr>
              <w:t>2020-2021</w:t>
            </w:r>
          </w:p>
        </w:tc>
      </w:tr>
      <w:tr>
        <w:trPr>
          <w:trHeight w:hRule="exact" w:val="487"/>
          <w:jc w:val="center"/>
        </w:trPr>
        <w:tc>
          <w:tcPr>
            <w:tcW w:w="3105" w:type="dxa"/>
            <w:shd w:val="clear" w:color="auto" w:fill="auto"/>
            <w:vAlign w:val="center"/>
          </w:tcPr>
          <w:p>
            <w:pPr>
              <w:jc w:val="center"/>
              <w:rPr>
                <w:sz w:val="20"/>
              </w:rPr>
            </w:pPr>
            <w:r>
              <w:rPr>
                <w:sz w:val="20"/>
              </w:rPr>
              <w:t>Entre le 1/10/2014 et le 30/09/2015</w:t>
            </w:r>
          </w:p>
        </w:tc>
        <w:tc>
          <w:tcPr>
            <w:tcW w:w="1862" w:type="dxa"/>
            <w:shd w:val="clear" w:color="auto" w:fill="auto"/>
            <w:vAlign w:val="center"/>
          </w:tcPr>
          <w:p>
            <w:pPr>
              <w:jc w:val="center"/>
              <w:rPr>
                <w:b/>
                <w:sz w:val="20"/>
              </w:rPr>
            </w:pPr>
            <w:r>
              <w:rPr>
                <w:b/>
                <w:sz w:val="20"/>
              </w:rPr>
              <w:t>1,5</w:t>
            </w:r>
          </w:p>
        </w:tc>
        <w:tc>
          <w:tcPr>
            <w:tcW w:w="1800" w:type="dxa"/>
            <w:shd w:val="clear" w:color="auto" w:fill="auto"/>
            <w:vAlign w:val="center"/>
          </w:tcPr>
          <w:p>
            <w:pPr>
              <w:jc w:val="center"/>
              <w:rPr>
                <w:sz w:val="20"/>
              </w:rPr>
            </w:pPr>
          </w:p>
        </w:tc>
        <w:tc>
          <w:tcPr>
            <w:tcW w:w="1440" w:type="dxa"/>
            <w:shd w:val="clear" w:color="auto" w:fill="auto"/>
            <w:vAlign w:val="center"/>
          </w:tcPr>
          <w:p>
            <w:pPr>
              <w:jc w:val="center"/>
              <w:rPr>
                <w:sz w:val="20"/>
              </w:rPr>
            </w:pPr>
          </w:p>
        </w:tc>
        <w:tc>
          <w:tcPr>
            <w:tcW w:w="1495" w:type="dxa"/>
            <w:shd w:val="clear" w:color="auto" w:fill="auto"/>
            <w:vAlign w:val="center"/>
          </w:tcPr>
          <w:p>
            <w:pPr>
              <w:jc w:val="center"/>
              <w:rPr>
                <w:sz w:val="20"/>
              </w:rPr>
            </w:pPr>
          </w:p>
        </w:tc>
      </w:tr>
      <w:tr>
        <w:trPr>
          <w:trHeight w:hRule="exact" w:val="537"/>
          <w:jc w:val="center"/>
        </w:trPr>
        <w:tc>
          <w:tcPr>
            <w:tcW w:w="3105" w:type="dxa"/>
            <w:shd w:val="clear" w:color="auto" w:fill="auto"/>
            <w:vAlign w:val="center"/>
          </w:tcPr>
          <w:p>
            <w:pPr>
              <w:jc w:val="center"/>
              <w:rPr>
                <w:sz w:val="20"/>
              </w:rPr>
            </w:pPr>
            <w:r>
              <w:rPr>
                <w:sz w:val="20"/>
              </w:rPr>
              <w:t>Entre le 1/10/2015 et le 30/09/2016</w:t>
            </w:r>
          </w:p>
        </w:tc>
        <w:tc>
          <w:tcPr>
            <w:tcW w:w="1862" w:type="dxa"/>
            <w:shd w:val="clear" w:color="auto" w:fill="auto"/>
            <w:vAlign w:val="center"/>
          </w:tcPr>
          <w:p>
            <w:pPr>
              <w:jc w:val="center"/>
              <w:rPr>
                <w:b/>
                <w:sz w:val="20"/>
              </w:rPr>
            </w:pPr>
            <w:r>
              <w:rPr>
                <w:b/>
                <w:sz w:val="20"/>
              </w:rPr>
              <w:t>1,5</w:t>
            </w:r>
          </w:p>
        </w:tc>
        <w:tc>
          <w:tcPr>
            <w:tcW w:w="1800" w:type="dxa"/>
            <w:shd w:val="clear" w:color="auto" w:fill="auto"/>
            <w:vAlign w:val="center"/>
          </w:tcPr>
          <w:p>
            <w:pPr>
              <w:jc w:val="center"/>
              <w:rPr>
                <w:b/>
                <w:sz w:val="20"/>
              </w:rPr>
            </w:pPr>
            <w:r>
              <w:rPr>
                <w:b/>
                <w:sz w:val="20"/>
              </w:rPr>
              <w:t>1,5</w:t>
            </w:r>
          </w:p>
        </w:tc>
        <w:tc>
          <w:tcPr>
            <w:tcW w:w="1440" w:type="dxa"/>
            <w:shd w:val="clear" w:color="auto" w:fill="auto"/>
            <w:vAlign w:val="center"/>
          </w:tcPr>
          <w:p>
            <w:pPr>
              <w:jc w:val="center"/>
              <w:rPr>
                <w:sz w:val="20"/>
              </w:rPr>
            </w:pPr>
          </w:p>
        </w:tc>
        <w:tc>
          <w:tcPr>
            <w:tcW w:w="1495" w:type="dxa"/>
            <w:shd w:val="clear" w:color="auto" w:fill="auto"/>
            <w:vAlign w:val="center"/>
          </w:tcPr>
          <w:p>
            <w:pPr>
              <w:jc w:val="center"/>
              <w:rPr>
                <w:sz w:val="20"/>
              </w:rPr>
            </w:pPr>
          </w:p>
        </w:tc>
      </w:tr>
      <w:tr>
        <w:trPr>
          <w:trHeight w:hRule="exact" w:val="454"/>
          <w:jc w:val="center"/>
        </w:trPr>
        <w:tc>
          <w:tcPr>
            <w:tcW w:w="3105" w:type="dxa"/>
            <w:shd w:val="clear" w:color="auto" w:fill="auto"/>
            <w:vAlign w:val="center"/>
          </w:tcPr>
          <w:p>
            <w:pPr>
              <w:jc w:val="center"/>
              <w:rPr>
                <w:sz w:val="20"/>
              </w:rPr>
            </w:pPr>
            <w:r>
              <w:rPr>
                <w:sz w:val="20"/>
              </w:rPr>
              <w:t>Entre le 1/10/2016 et le 30/09/2017</w:t>
            </w:r>
          </w:p>
        </w:tc>
        <w:tc>
          <w:tcPr>
            <w:tcW w:w="1862" w:type="dxa"/>
            <w:shd w:val="clear" w:color="auto" w:fill="auto"/>
            <w:vAlign w:val="center"/>
          </w:tcPr>
          <w:p>
            <w:pPr>
              <w:ind w:left="-187" w:right="-133"/>
              <w:jc w:val="center"/>
              <w:rPr>
                <w:b/>
                <w:sz w:val="20"/>
              </w:rPr>
            </w:pPr>
            <w:r>
              <w:rPr>
                <w:b/>
                <w:sz w:val="20"/>
              </w:rPr>
              <w:t>1,5</w:t>
            </w:r>
          </w:p>
        </w:tc>
        <w:tc>
          <w:tcPr>
            <w:tcW w:w="1800" w:type="dxa"/>
            <w:shd w:val="clear" w:color="auto" w:fill="auto"/>
            <w:vAlign w:val="center"/>
          </w:tcPr>
          <w:p>
            <w:pPr>
              <w:jc w:val="center"/>
              <w:rPr>
                <w:b/>
                <w:sz w:val="20"/>
              </w:rPr>
            </w:pPr>
            <w:r>
              <w:rPr>
                <w:b/>
                <w:sz w:val="20"/>
              </w:rPr>
              <w:t>1,5</w:t>
            </w:r>
          </w:p>
        </w:tc>
        <w:tc>
          <w:tcPr>
            <w:tcW w:w="1440" w:type="dxa"/>
            <w:shd w:val="clear" w:color="auto" w:fill="auto"/>
            <w:vAlign w:val="center"/>
          </w:tcPr>
          <w:p>
            <w:pPr>
              <w:jc w:val="center"/>
              <w:rPr>
                <w:b/>
                <w:sz w:val="20"/>
              </w:rPr>
            </w:pPr>
            <w:r>
              <w:rPr>
                <w:b/>
                <w:sz w:val="20"/>
              </w:rPr>
              <w:t>1,5</w:t>
            </w:r>
          </w:p>
        </w:tc>
        <w:tc>
          <w:tcPr>
            <w:tcW w:w="1495" w:type="dxa"/>
            <w:shd w:val="clear" w:color="auto" w:fill="auto"/>
            <w:vAlign w:val="center"/>
          </w:tcPr>
          <w:p>
            <w:pPr>
              <w:jc w:val="center"/>
              <w:rPr>
                <w:sz w:val="20"/>
              </w:rPr>
            </w:pPr>
          </w:p>
        </w:tc>
      </w:tr>
      <w:tr>
        <w:trPr>
          <w:trHeight w:hRule="exact" w:val="711"/>
          <w:jc w:val="center"/>
        </w:trPr>
        <w:tc>
          <w:tcPr>
            <w:tcW w:w="3105" w:type="dxa"/>
            <w:shd w:val="clear" w:color="auto" w:fill="auto"/>
            <w:vAlign w:val="center"/>
          </w:tcPr>
          <w:p>
            <w:pPr>
              <w:jc w:val="center"/>
              <w:rPr>
                <w:sz w:val="20"/>
              </w:rPr>
            </w:pPr>
            <w:r>
              <w:rPr>
                <w:sz w:val="20"/>
              </w:rPr>
              <w:t>Entre le 1/10/2017 et le 30/09/2018</w:t>
            </w:r>
          </w:p>
        </w:tc>
        <w:tc>
          <w:tcPr>
            <w:tcW w:w="1862" w:type="dxa"/>
            <w:shd w:val="clear" w:color="auto" w:fill="auto"/>
            <w:vAlign w:val="center"/>
          </w:tcPr>
          <w:p>
            <w:pPr>
              <w:jc w:val="center"/>
              <w:rPr>
                <w:b/>
                <w:sz w:val="20"/>
              </w:rPr>
            </w:pPr>
            <w:r>
              <w:rPr>
                <w:b/>
                <w:sz w:val="20"/>
              </w:rPr>
              <w:t xml:space="preserve">1,5 </w:t>
            </w:r>
          </w:p>
          <w:p>
            <w:pPr>
              <w:jc w:val="center"/>
              <w:rPr>
                <w:sz w:val="20"/>
              </w:rPr>
            </w:pPr>
            <w:r>
              <w:rPr>
                <w:sz w:val="20"/>
              </w:rPr>
              <w:t>(</w:t>
            </w:r>
            <w:r>
              <w:rPr>
                <w:i/>
                <w:sz w:val="16"/>
                <w:szCs w:val="16"/>
              </w:rPr>
              <w:t>année scolaire</w:t>
            </w:r>
            <w:r>
              <w:rPr>
                <w:b/>
                <w:sz w:val="20"/>
              </w:rPr>
              <w:t xml:space="preserve"> </w:t>
            </w:r>
            <w:r>
              <w:rPr>
                <w:i/>
                <w:sz w:val="16"/>
                <w:szCs w:val="16"/>
              </w:rPr>
              <w:t>incomplète)</w:t>
            </w:r>
          </w:p>
        </w:tc>
        <w:tc>
          <w:tcPr>
            <w:tcW w:w="1800" w:type="dxa"/>
            <w:shd w:val="clear" w:color="auto" w:fill="auto"/>
            <w:vAlign w:val="center"/>
          </w:tcPr>
          <w:p>
            <w:pPr>
              <w:ind w:left="-187" w:right="-133"/>
              <w:jc w:val="center"/>
              <w:rPr>
                <w:b/>
                <w:sz w:val="20"/>
              </w:rPr>
            </w:pPr>
            <w:r>
              <w:rPr>
                <w:b/>
                <w:sz w:val="20"/>
              </w:rPr>
              <w:t>1,5</w:t>
            </w:r>
          </w:p>
        </w:tc>
        <w:tc>
          <w:tcPr>
            <w:tcW w:w="1440" w:type="dxa"/>
            <w:shd w:val="clear" w:color="auto" w:fill="auto"/>
            <w:vAlign w:val="center"/>
          </w:tcPr>
          <w:p>
            <w:pPr>
              <w:jc w:val="center"/>
              <w:rPr>
                <w:b/>
                <w:sz w:val="20"/>
              </w:rPr>
            </w:pPr>
            <w:r>
              <w:rPr>
                <w:b/>
                <w:sz w:val="20"/>
              </w:rPr>
              <w:t>1,5</w:t>
            </w:r>
          </w:p>
        </w:tc>
        <w:tc>
          <w:tcPr>
            <w:tcW w:w="1495" w:type="dxa"/>
            <w:shd w:val="clear" w:color="auto" w:fill="auto"/>
            <w:vAlign w:val="center"/>
          </w:tcPr>
          <w:p>
            <w:pPr>
              <w:jc w:val="center"/>
              <w:rPr>
                <w:b/>
                <w:sz w:val="20"/>
              </w:rPr>
            </w:pPr>
            <w:r>
              <w:rPr>
                <w:b/>
                <w:sz w:val="20"/>
              </w:rPr>
              <w:t>1,5</w:t>
            </w:r>
          </w:p>
        </w:tc>
      </w:tr>
    </w:tbl>
    <w:p>
      <w:pPr>
        <w:pStyle w:val="Corpsdetexte2"/>
        <w:spacing w:before="120"/>
        <w:rPr>
          <w:i/>
          <w:sz w:val="20"/>
          <w:szCs w:val="20"/>
          <w:u w:val="single"/>
        </w:rPr>
      </w:pPr>
      <w:r>
        <w:rPr>
          <w:i/>
          <w:sz w:val="20"/>
          <w:szCs w:val="20"/>
          <w:u w:val="single"/>
        </w:rPr>
        <w:t>Remarque: les élèves primo-arrivants de maternelle ne sont pas admis en DASPA</w:t>
      </w:r>
      <w:r>
        <w:rPr>
          <w:rStyle w:val="Appelnotedebasdep"/>
          <w:i/>
          <w:sz w:val="20"/>
          <w:szCs w:val="20"/>
          <w:u w:val="single"/>
        </w:rPr>
        <w:footnoteReference w:id="73"/>
      </w:r>
    </w:p>
    <w:p>
      <w:pPr>
        <w:pStyle w:val="Corpsdetexte2"/>
      </w:pPr>
    </w:p>
    <w:p>
      <w:pPr>
        <w:pStyle w:val="Corpsdetexte2"/>
        <w:rPr>
          <w:b/>
          <w:u w:val="single"/>
        </w:rPr>
      </w:pPr>
      <w:r>
        <w:rPr>
          <w:b/>
          <w:u w:val="single"/>
        </w:rPr>
        <w:br w:type="page"/>
        <w:t>Exemples</w:t>
      </w:r>
    </w:p>
    <w:p>
      <w:pPr>
        <w:pStyle w:val="Corpsdetexte2"/>
        <w:rPr>
          <w:i/>
          <w:u w:val="single"/>
        </w:rPr>
      </w:pPr>
    </w:p>
    <w:p>
      <w:pPr>
        <w:pStyle w:val="Corpsdetexte2"/>
      </w:pPr>
      <w:r>
        <w:t>Un enfant brésilien, né le 06/07/2014 à Brasilia, arrive en Belgique le 30/06/2017.</w:t>
      </w:r>
    </w:p>
    <w:p>
      <w:pPr>
        <w:pStyle w:val="Corpsdetexte2"/>
      </w:pPr>
      <w:r>
        <w:t>Il est inscrit en 1</w:t>
      </w:r>
      <w:r>
        <w:rPr>
          <w:vertAlign w:val="superscript"/>
        </w:rPr>
        <w:t>ière</w:t>
      </w:r>
      <w:r>
        <w:t xml:space="preserve"> maternelle dans une école de la FWB le 01/09/2017. Cet élève est donc primo-arrivant.</w:t>
      </w:r>
    </w:p>
    <w:p>
      <w:pPr>
        <w:pStyle w:val="Corpsdetexte2"/>
        <w:numPr>
          <w:ilvl w:val="0"/>
          <w:numId w:val="135"/>
        </w:numPr>
        <w:ind w:left="719"/>
      </w:pPr>
      <w:r>
        <w:t xml:space="preserve">Pour tous les comptages de l’année scolaire 2017-2018, il comptera pour 1,5 </w:t>
      </w:r>
    </w:p>
    <w:p>
      <w:pPr>
        <w:pStyle w:val="Corpsdetexte2"/>
        <w:numPr>
          <w:ilvl w:val="0"/>
          <w:numId w:val="135"/>
        </w:numPr>
        <w:ind w:left="719"/>
      </w:pPr>
      <w:r>
        <w:t>Pour tous les comptages de l’année scolaire 2018-2019, il comptera pour 1,5</w:t>
      </w:r>
    </w:p>
    <w:p>
      <w:pPr>
        <w:pStyle w:val="Corpsdetexte2"/>
        <w:numPr>
          <w:ilvl w:val="0"/>
          <w:numId w:val="135"/>
        </w:numPr>
        <w:ind w:left="719"/>
      </w:pPr>
      <w:r>
        <w:t>Pour tous les comptages de l’année scolaire 2019-2020, il comptera pour 1,5</w:t>
      </w:r>
    </w:p>
    <w:p>
      <w:pPr>
        <w:pStyle w:val="Corpsdetexte2"/>
      </w:pPr>
    </w:p>
    <w:p>
      <w:pPr>
        <w:pStyle w:val="Corpsdetexte2"/>
      </w:pPr>
      <w:r>
        <w:t>Un enfant Ukrainien, né le 01/04/2015 à Kiev, arrive en Belgique le 01/10/2017.</w:t>
      </w:r>
    </w:p>
    <w:p>
      <w:pPr>
        <w:pStyle w:val="Corpsdetexte2"/>
      </w:pPr>
      <w:r>
        <w:t>Il est inscrit en 1</w:t>
      </w:r>
      <w:r>
        <w:rPr>
          <w:vertAlign w:val="superscript"/>
        </w:rPr>
        <w:t>ère</w:t>
      </w:r>
      <w:r>
        <w:t xml:space="preserve"> maternelle dans une école de la FWB le 15/10/2017. Cet élève est donc primo-arrivant.</w:t>
      </w:r>
    </w:p>
    <w:p>
      <w:pPr>
        <w:pStyle w:val="Corpsdetexte2"/>
        <w:numPr>
          <w:ilvl w:val="0"/>
          <w:numId w:val="135"/>
        </w:numPr>
        <w:ind w:left="719"/>
      </w:pPr>
      <w:r>
        <w:t xml:space="preserve">Pour les comptages de l’année scolaire 2017-2018 postérieurs au 15/10/2017, il comptera pour 1,5 </w:t>
      </w:r>
    </w:p>
    <w:p>
      <w:pPr>
        <w:pStyle w:val="Corpsdetexte2"/>
        <w:numPr>
          <w:ilvl w:val="0"/>
          <w:numId w:val="135"/>
        </w:numPr>
        <w:ind w:left="719"/>
      </w:pPr>
      <w:r>
        <w:t>Pour tous les comptages de l’année scolaire 2018-2019, il comptera pour 1,5</w:t>
      </w:r>
    </w:p>
    <w:p>
      <w:pPr>
        <w:pStyle w:val="Corpsdetexte2"/>
        <w:numPr>
          <w:ilvl w:val="0"/>
          <w:numId w:val="136"/>
        </w:numPr>
        <w:ind w:left="719"/>
      </w:pPr>
      <w:r>
        <w:t>Pour tous les comptages de l’année scolaire 2019-2020, il comptera pour 1,5</w:t>
      </w:r>
    </w:p>
    <w:p>
      <w:pPr>
        <w:pStyle w:val="Corpsdetexte2"/>
        <w:numPr>
          <w:ilvl w:val="0"/>
          <w:numId w:val="136"/>
        </w:numPr>
        <w:ind w:left="719"/>
      </w:pPr>
      <w:r>
        <w:t xml:space="preserve">Pour tous les comptages de l’année scolaire 2020-2021, il comptera pour 1,5 </w:t>
      </w:r>
    </w:p>
    <w:p>
      <w:pPr>
        <w:pStyle w:val="Corpsdetexte2"/>
        <w:ind w:left="359"/>
      </w:pPr>
    </w:p>
    <w:p>
      <w:pPr>
        <w:pStyle w:val="Corpsdetexte2"/>
      </w:pPr>
      <w:r>
        <w:t>Un enfant équatorien, né le 5/11/2013 à Quito, arrive en Belgique le 01/01/2016. Il fréquente une école de la Communauté flamande du 01/09/2016 au 30/06/2017. Le 01/09/2017, il est inscrit en 2</w:t>
      </w:r>
      <w:r>
        <w:rPr>
          <w:vertAlign w:val="superscript"/>
        </w:rPr>
        <w:t>e</w:t>
      </w:r>
      <w:r>
        <w:t xml:space="preserve"> maternelle dans une école de la FWB. A cette date, cet élève n’est plus primo-arrivant puisqu’il y a plus d’un an qu’il est sur le territoire belge. Cet élève ne bénéficiera donc pas de coefficient préférentiel et comptera pour 1.</w:t>
      </w:r>
    </w:p>
    <w:p>
      <w:pPr>
        <w:pStyle w:val="Corpsdetexte2"/>
      </w:pPr>
    </w:p>
    <w:p>
      <w:pPr>
        <w:pStyle w:val="Corpsdetexte2"/>
      </w:pPr>
      <w:r>
        <w:t>Un enfant marocain, né le 24/2/2013 à Casablanca, arrive en Belgique le 04/01/2016. Il est inscrit en 1</w:t>
      </w:r>
      <w:r>
        <w:rPr>
          <w:vertAlign w:val="superscript"/>
        </w:rPr>
        <w:t>ère</w:t>
      </w:r>
      <w:r>
        <w:t xml:space="preserve"> maternelle dans une école de la FWB le 01/09/2016. Il est donc primo-arrivant au moment de son inscription. Le 30/05/2017, cet enfant acquiert la nationalité belge.</w:t>
      </w:r>
    </w:p>
    <w:p>
      <w:pPr>
        <w:pStyle w:val="Corpsdetexte2"/>
        <w:numPr>
          <w:ilvl w:val="0"/>
          <w:numId w:val="135"/>
        </w:numPr>
        <w:ind w:left="719"/>
      </w:pPr>
      <w:r>
        <w:t xml:space="preserve">Pour tous les comptages de l’année scolaire 2016-2017, il a compté pour 1,5 </w:t>
      </w:r>
    </w:p>
    <w:p>
      <w:pPr>
        <w:pStyle w:val="Corpsdetexte2"/>
        <w:numPr>
          <w:ilvl w:val="0"/>
          <w:numId w:val="135"/>
        </w:numPr>
        <w:ind w:left="719"/>
      </w:pPr>
      <w:r>
        <w:t xml:space="preserve">Pour tous les comptages de l’année scolaire 2017-2018, il comptera pour 1,5 </w:t>
      </w:r>
      <w:r>
        <w:rPr>
          <w:szCs w:val="22"/>
        </w:rPr>
        <w:t>(</w:t>
      </w:r>
      <w:r>
        <w:rPr>
          <w:i/>
          <w:sz w:val="18"/>
          <w:szCs w:val="18"/>
        </w:rPr>
        <w:t>bien qu’il soit devenu belge depuis son inscription, cet élève conserve le bénéfice d’un coefficient préférentiel</w:t>
      </w:r>
      <w:r>
        <w:rPr>
          <w:szCs w:val="22"/>
        </w:rPr>
        <w:t>)</w:t>
      </w:r>
    </w:p>
    <w:p>
      <w:pPr>
        <w:pStyle w:val="Corpsdetexte2"/>
        <w:numPr>
          <w:ilvl w:val="0"/>
          <w:numId w:val="135"/>
        </w:numPr>
        <w:ind w:left="719"/>
      </w:pPr>
      <w:r>
        <w:t>Pour tous les comptages de l’année scolaire 2018-2019, il comptera pour 1,5</w:t>
      </w:r>
    </w:p>
    <w:p>
      <w:pPr>
        <w:pStyle w:val="Corpsdetexte2"/>
      </w:pPr>
    </w:p>
    <w:p>
      <w:pPr>
        <w:tabs>
          <w:tab w:val="left" w:pos="1260"/>
          <w:tab w:val="left" w:pos="3600"/>
          <w:tab w:val="left" w:pos="5940"/>
        </w:tabs>
        <w:jc w:val="both"/>
        <w:rPr>
          <w:rFonts w:cs="Arial"/>
          <w:szCs w:val="22"/>
        </w:rPr>
      </w:pPr>
      <w:r>
        <w:rPr>
          <w:rFonts w:cs="Arial"/>
          <w:szCs w:val="22"/>
        </w:rPr>
        <w:t>Un enfant, réfugié de nationalité russe est né le 31-03-2014. Il est arrivé en Belgique le 15-09-2016. Il est inscrit dans une école maternelle de Gand dès le 05-11-2016. Suite à un déménagement de la famille en région wallonne durant l’été 2015, il est inscrit le 01-09-2017 dans une école maternelle de la FWB.</w:t>
      </w:r>
    </w:p>
    <w:p>
      <w:pPr>
        <w:pStyle w:val="Corpsdetexte2"/>
        <w:numPr>
          <w:ilvl w:val="0"/>
          <w:numId w:val="138"/>
        </w:numPr>
        <w:ind w:left="719"/>
      </w:pPr>
      <w:r>
        <w:t xml:space="preserve">Pour tous les comptages de l’année scolaire 2017-2018, il comptera pour 1,5 </w:t>
      </w:r>
      <w:r>
        <w:rPr>
          <w:szCs w:val="22"/>
        </w:rPr>
        <w:t>(</w:t>
      </w:r>
      <w:r>
        <w:rPr>
          <w:sz w:val="18"/>
          <w:szCs w:val="18"/>
        </w:rPr>
        <w:t>bien qu’il ait été scolarisé en Flandres en 2016-2017, il y a moins d’un an le 1-9-2017, lors de son inscription en FWB que cet élève est en Belgique. Bien qu’il soit Russe, il a par ailleurs bien le statut de réfugié et peut donc être considéré comme primo</w:t>
      </w:r>
      <w:r>
        <w:rPr>
          <w:szCs w:val="22"/>
        </w:rPr>
        <w:t>)</w:t>
      </w:r>
    </w:p>
    <w:p>
      <w:pPr>
        <w:pStyle w:val="Corpsdetexte2"/>
        <w:numPr>
          <w:ilvl w:val="0"/>
          <w:numId w:val="138"/>
        </w:numPr>
      </w:pPr>
      <w:r>
        <w:t>Pour tous les comptages de l’année scolaire 2018-2019, il comptera pour 1,5</w:t>
      </w:r>
    </w:p>
    <w:p>
      <w:pPr>
        <w:pStyle w:val="Corpsdetexte2"/>
        <w:numPr>
          <w:ilvl w:val="0"/>
          <w:numId w:val="138"/>
        </w:numPr>
      </w:pPr>
      <w:r>
        <w:t>Pour tous les comptages de l’année scolaire 2019-2020, il comptera pour 1,5</w:t>
      </w:r>
    </w:p>
    <w:p>
      <w:pPr>
        <w:rPr>
          <w:b/>
          <w:szCs w:val="22"/>
          <w:u w:val="single"/>
        </w:rPr>
      </w:pPr>
    </w:p>
    <w:p>
      <w:pPr>
        <w:rPr>
          <w:b/>
          <w:szCs w:val="22"/>
          <w:u w:val="single"/>
        </w:rPr>
      </w:pPr>
    </w:p>
    <w:p>
      <w:pPr>
        <w:autoSpaceDE w:val="0"/>
        <w:autoSpaceDN w:val="0"/>
        <w:adjustRightInd w:val="0"/>
        <w:ind w:firstLine="13"/>
        <w:rPr>
          <w:b/>
          <w:u w:val="single"/>
        </w:rPr>
      </w:pPr>
      <w:r>
        <w:rPr>
          <w:b/>
          <w:u w:val="single"/>
        </w:rPr>
        <w:br w:type="page"/>
      </w:r>
      <w:bookmarkStart w:id="1163" w:name="Tableau3_4_1"/>
      <w:r>
        <w:rPr>
          <w:b/>
          <w:u w:val="single"/>
        </w:rPr>
        <w:t>Tableau 3.4.1.</w:t>
      </w:r>
      <w:bookmarkEnd w:id="1163"/>
      <w:r>
        <w:rPr>
          <w:b/>
        </w:rPr>
        <w:tab/>
      </w:r>
      <w:r>
        <w:rPr>
          <w:b/>
          <w:u w:val="single"/>
        </w:rPr>
        <w:t>Emplois à réserver au niveau maternel</w:t>
      </w:r>
    </w:p>
    <w:p>
      <w:pPr>
        <w:autoSpaceDE w:val="0"/>
        <w:autoSpaceDN w:val="0"/>
        <w:adjustRightInd w:val="0"/>
        <w:jc w:val="both"/>
        <w:rPr>
          <w:b/>
          <w:sz w:val="16"/>
          <w:szCs w:val="16"/>
        </w:rPr>
      </w:pPr>
    </w:p>
    <w:p>
      <w:pPr>
        <w:jc w:val="both"/>
      </w:pPr>
      <w:r>
        <w:t>Le nombre d'emplois par école ou implantation à comptage séparé est établi comme suit:</w:t>
      </w:r>
    </w:p>
    <w:p>
      <w:pPr>
        <w:autoSpaceDE w:val="0"/>
        <w:autoSpaceDN w:val="0"/>
        <w:adjustRightInd w:val="0"/>
        <w:jc w:val="both"/>
        <w:rPr>
          <w:b/>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31"/>
        <w:gridCol w:w="1247"/>
        <w:gridCol w:w="1531"/>
        <w:gridCol w:w="1247"/>
      </w:tblGrid>
      <w:tr>
        <w:trPr>
          <w:trHeight w:val="227"/>
          <w:jc w:val="center"/>
        </w:trPr>
        <w:tc>
          <w:tcPr>
            <w:tcW w:w="1531" w:type="dxa"/>
            <w:vAlign w:val="center"/>
          </w:tcPr>
          <w:p>
            <w:pPr>
              <w:autoSpaceDE w:val="0"/>
              <w:autoSpaceDN w:val="0"/>
              <w:adjustRightInd w:val="0"/>
              <w:jc w:val="center"/>
              <w:rPr>
                <w:b/>
                <w:sz w:val="20"/>
                <w:szCs w:val="20"/>
                <w:u w:val="single"/>
              </w:rPr>
            </w:pPr>
            <w:r>
              <w:rPr>
                <w:b/>
                <w:sz w:val="20"/>
                <w:szCs w:val="20"/>
                <w:u w:val="single"/>
              </w:rPr>
              <w:t>Elèves</w:t>
            </w:r>
          </w:p>
        </w:tc>
        <w:tc>
          <w:tcPr>
            <w:tcW w:w="1247" w:type="dxa"/>
            <w:vAlign w:val="center"/>
          </w:tcPr>
          <w:p>
            <w:pPr>
              <w:autoSpaceDE w:val="0"/>
              <w:autoSpaceDN w:val="0"/>
              <w:adjustRightInd w:val="0"/>
              <w:jc w:val="center"/>
              <w:rPr>
                <w:b/>
                <w:sz w:val="20"/>
                <w:szCs w:val="20"/>
                <w:u w:val="single"/>
              </w:rPr>
            </w:pPr>
            <w:r>
              <w:rPr>
                <w:b/>
                <w:sz w:val="20"/>
                <w:szCs w:val="20"/>
                <w:u w:val="single"/>
              </w:rPr>
              <w:t>Emplois</w:t>
            </w:r>
          </w:p>
        </w:tc>
        <w:tc>
          <w:tcPr>
            <w:tcW w:w="1531" w:type="dxa"/>
            <w:vAlign w:val="center"/>
          </w:tcPr>
          <w:p>
            <w:pPr>
              <w:autoSpaceDE w:val="0"/>
              <w:autoSpaceDN w:val="0"/>
              <w:adjustRightInd w:val="0"/>
              <w:jc w:val="center"/>
              <w:rPr>
                <w:b/>
                <w:sz w:val="20"/>
                <w:szCs w:val="20"/>
                <w:u w:val="single"/>
              </w:rPr>
            </w:pPr>
            <w:r>
              <w:rPr>
                <w:b/>
                <w:sz w:val="20"/>
                <w:szCs w:val="20"/>
                <w:u w:val="single"/>
              </w:rPr>
              <w:t>Elèves</w:t>
            </w:r>
          </w:p>
        </w:tc>
        <w:tc>
          <w:tcPr>
            <w:tcW w:w="1247" w:type="dxa"/>
            <w:vAlign w:val="center"/>
          </w:tcPr>
          <w:p>
            <w:pPr>
              <w:autoSpaceDE w:val="0"/>
              <w:autoSpaceDN w:val="0"/>
              <w:adjustRightInd w:val="0"/>
              <w:jc w:val="center"/>
              <w:rPr>
                <w:b/>
                <w:sz w:val="20"/>
                <w:szCs w:val="20"/>
                <w:u w:val="single"/>
              </w:rPr>
            </w:pPr>
            <w:r>
              <w:rPr>
                <w:b/>
                <w:sz w:val="20"/>
                <w:szCs w:val="20"/>
                <w:u w:val="single"/>
              </w:rPr>
              <w:t>Emplois</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6 – 19</w:t>
            </w:r>
          </w:p>
        </w:tc>
        <w:tc>
          <w:tcPr>
            <w:tcW w:w="1247" w:type="dxa"/>
            <w:vAlign w:val="center"/>
          </w:tcPr>
          <w:p>
            <w:pPr>
              <w:autoSpaceDE w:val="0"/>
              <w:autoSpaceDN w:val="0"/>
              <w:adjustRightInd w:val="0"/>
              <w:jc w:val="center"/>
              <w:rPr>
                <w:sz w:val="20"/>
                <w:szCs w:val="20"/>
              </w:rPr>
            </w:pPr>
            <w:r>
              <w:rPr>
                <w:sz w:val="20"/>
                <w:szCs w:val="20"/>
              </w:rPr>
              <w:t>1</w:t>
            </w:r>
          </w:p>
        </w:tc>
        <w:tc>
          <w:tcPr>
            <w:tcW w:w="1531" w:type="dxa"/>
            <w:vAlign w:val="center"/>
          </w:tcPr>
          <w:p>
            <w:pPr>
              <w:autoSpaceDE w:val="0"/>
              <w:autoSpaceDN w:val="0"/>
              <w:adjustRightInd w:val="0"/>
              <w:jc w:val="center"/>
              <w:rPr>
                <w:sz w:val="20"/>
                <w:szCs w:val="20"/>
              </w:rPr>
            </w:pPr>
            <w:r>
              <w:rPr>
                <w:sz w:val="20"/>
                <w:szCs w:val="20"/>
              </w:rPr>
              <w:t>212 – 221</w:t>
            </w:r>
          </w:p>
        </w:tc>
        <w:tc>
          <w:tcPr>
            <w:tcW w:w="1247" w:type="dxa"/>
            <w:vAlign w:val="center"/>
          </w:tcPr>
          <w:p>
            <w:pPr>
              <w:autoSpaceDE w:val="0"/>
              <w:autoSpaceDN w:val="0"/>
              <w:adjustRightInd w:val="0"/>
              <w:jc w:val="center"/>
              <w:rPr>
                <w:sz w:val="20"/>
                <w:szCs w:val="20"/>
              </w:rPr>
            </w:pPr>
            <w:r>
              <w:rPr>
                <w:sz w:val="20"/>
                <w:szCs w:val="20"/>
              </w:rPr>
              <w:t>11</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20 – 25</w:t>
            </w:r>
          </w:p>
        </w:tc>
        <w:tc>
          <w:tcPr>
            <w:tcW w:w="1247" w:type="dxa"/>
            <w:vAlign w:val="center"/>
          </w:tcPr>
          <w:p>
            <w:pPr>
              <w:autoSpaceDE w:val="0"/>
              <w:autoSpaceDN w:val="0"/>
              <w:adjustRightInd w:val="0"/>
              <w:jc w:val="center"/>
              <w:rPr>
                <w:sz w:val="20"/>
                <w:szCs w:val="20"/>
              </w:rPr>
            </w:pPr>
            <w:r>
              <w:rPr>
                <w:sz w:val="20"/>
                <w:szCs w:val="20"/>
              </w:rPr>
              <w:t>1,5</w:t>
            </w:r>
          </w:p>
        </w:tc>
        <w:tc>
          <w:tcPr>
            <w:tcW w:w="1531" w:type="dxa"/>
            <w:vAlign w:val="center"/>
          </w:tcPr>
          <w:p>
            <w:pPr>
              <w:autoSpaceDE w:val="0"/>
              <w:autoSpaceDN w:val="0"/>
              <w:adjustRightInd w:val="0"/>
              <w:jc w:val="center"/>
              <w:rPr>
                <w:sz w:val="20"/>
                <w:szCs w:val="20"/>
              </w:rPr>
            </w:pPr>
            <w:r>
              <w:rPr>
                <w:sz w:val="20"/>
                <w:szCs w:val="20"/>
              </w:rPr>
              <w:t>222 – 231</w:t>
            </w:r>
          </w:p>
        </w:tc>
        <w:tc>
          <w:tcPr>
            <w:tcW w:w="1247" w:type="dxa"/>
            <w:vAlign w:val="center"/>
          </w:tcPr>
          <w:p>
            <w:pPr>
              <w:autoSpaceDE w:val="0"/>
              <w:autoSpaceDN w:val="0"/>
              <w:adjustRightInd w:val="0"/>
              <w:jc w:val="center"/>
              <w:rPr>
                <w:sz w:val="20"/>
                <w:szCs w:val="20"/>
              </w:rPr>
            </w:pPr>
            <w:r>
              <w:rPr>
                <w:sz w:val="20"/>
                <w:szCs w:val="20"/>
              </w:rPr>
              <w:t>11,5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26 – 35</w:t>
            </w:r>
          </w:p>
        </w:tc>
        <w:tc>
          <w:tcPr>
            <w:tcW w:w="1247" w:type="dxa"/>
            <w:vAlign w:val="center"/>
          </w:tcPr>
          <w:p>
            <w:pPr>
              <w:autoSpaceDE w:val="0"/>
              <w:autoSpaceDN w:val="0"/>
              <w:adjustRightInd w:val="0"/>
              <w:jc w:val="center"/>
              <w:rPr>
                <w:sz w:val="20"/>
                <w:szCs w:val="20"/>
              </w:rPr>
            </w:pPr>
            <w:r>
              <w:rPr>
                <w:sz w:val="20"/>
                <w:szCs w:val="20"/>
              </w:rPr>
              <w:t>2</w:t>
            </w:r>
          </w:p>
        </w:tc>
        <w:tc>
          <w:tcPr>
            <w:tcW w:w="1531" w:type="dxa"/>
            <w:vAlign w:val="center"/>
          </w:tcPr>
          <w:p>
            <w:pPr>
              <w:autoSpaceDE w:val="0"/>
              <w:autoSpaceDN w:val="0"/>
              <w:adjustRightInd w:val="0"/>
              <w:jc w:val="center"/>
              <w:rPr>
                <w:sz w:val="20"/>
                <w:szCs w:val="20"/>
              </w:rPr>
            </w:pPr>
            <w:r>
              <w:rPr>
                <w:sz w:val="20"/>
                <w:szCs w:val="20"/>
              </w:rPr>
              <w:t>232 – 241</w:t>
            </w:r>
          </w:p>
        </w:tc>
        <w:tc>
          <w:tcPr>
            <w:tcW w:w="1247" w:type="dxa"/>
            <w:vAlign w:val="center"/>
          </w:tcPr>
          <w:p>
            <w:pPr>
              <w:autoSpaceDE w:val="0"/>
              <w:autoSpaceDN w:val="0"/>
              <w:adjustRightInd w:val="0"/>
              <w:jc w:val="center"/>
              <w:rPr>
                <w:sz w:val="20"/>
                <w:szCs w:val="20"/>
              </w:rPr>
            </w:pPr>
            <w:r>
              <w:rPr>
                <w:sz w:val="20"/>
                <w:szCs w:val="20"/>
              </w:rPr>
              <w:t>12</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36 – 45</w:t>
            </w:r>
          </w:p>
        </w:tc>
        <w:tc>
          <w:tcPr>
            <w:tcW w:w="1247" w:type="dxa"/>
            <w:vAlign w:val="center"/>
          </w:tcPr>
          <w:p>
            <w:pPr>
              <w:autoSpaceDE w:val="0"/>
              <w:autoSpaceDN w:val="0"/>
              <w:adjustRightInd w:val="0"/>
              <w:jc w:val="center"/>
              <w:rPr>
                <w:sz w:val="20"/>
                <w:szCs w:val="20"/>
              </w:rPr>
            </w:pPr>
            <w:r>
              <w:rPr>
                <w:sz w:val="20"/>
                <w:szCs w:val="20"/>
              </w:rPr>
              <w:t>2,5</w:t>
            </w:r>
          </w:p>
        </w:tc>
        <w:tc>
          <w:tcPr>
            <w:tcW w:w="1531" w:type="dxa"/>
            <w:vAlign w:val="center"/>
          </w:tcPr>
          <w:p>
            <w:pPr>
              <w:autoSpaceDE w:val="0"/>
              <w:autoSpaceDN w:val="0"/>
              <w:adjustRightInd w:val="0"/>
              <w:jc w:val="center"/>
              <w:rPr>
                <w:sz w:val="20"/>
                <w:szCs w:val="20"/>
              </w:rPr>
            </w:pPr>
            <w:r>
              <w:rPr>
                <w:sz w:val="20"/>
                <w:szCs w:val="20"/>
              </w:rPr>
              <w:t>242 – 251</w:t>
            </w:r>
          </w:p>
        </w:tc>
        <w:tc>
          <w:tcPr>
            <w:tcW w:w="1247" w:type="dxa"/>
            <w:vAlign w:val="center"/>
          </w:tcPr>
          <w:p>
            <w:pPr>
              <w:autoSpaceDE w:val="0"/>
              <w:autoSpaceDN w:val="0"/>
              <w:adjustRightInd w:val="0"/>
              <w:jc w:val="center"/>
              <w:rPr>
                <w:sz w:val="20"/>
                <w:szCs w:val="20"/>
              </w:rPr>
            </w:pPr>
            <w:r>
              <w:rPr>
                <w:sz w:val="20"/>
                <w:szCs w:val="20"/>
              </w:rPr>
              <w:t>12,5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46 – 61</w:t>
            </w:r>
          </w:p>
        </w:tc>
        <w:tc>
          <w:tcPr>
            <w:tcW w:w="1247" w:type="dxa"/>
            <w:vAlign w:val="center"/>
          </w:tcPr>
          <w:p>
            <w:pPr>
              <w:autoSpaceDE w:val="0"/>
              <w:autoSpaceDN w:val="0"/>
              <w:adjustRightInd w:val="0"/>
              <w:jc w:val="center"/>
              <w:rPr>
                <w:sz w:val="20"/>
                <w:szCs w:val="20"/>
              </w:rPr>
            </w:pPr>
            <w:r>
              <w:rPr>
                <w:sz w:val="20"/>
                <w:szCs w:val="20"/>
              </w:rPr>
              <w:t>3</w:t>
            </w:r>
          </w:p>
        </w:tc>
        <w:tc>
          <w:tcPr>
            <w:tcW w:w="1531" w:type="dxa"/>
            <w:vAlign w:val="center"/>
          </w:tcPr>
          <w:p>
            <w:pPr>
              <w:autoSpaceDE w:val="0"/>
              <w:autoSpaceDN w:val="0"/>
              <w:adjustRightInd w:val="0"/>
              <w:jc w:val="center"/>
              <w:rPr>
                <w:sz w:val="20"/>
                <w:szCs w:val="20"/>
              </w:rPr>
            </w:pPr>
            <w:r>
              <w:rPr>
                <w:sz w:val="20"/>
                <w:szCs w:val="20"/>
              </w:rPr>
              <w:t>252 – 261</w:t>
            </w:r>
          </w:p>
        </w:tc>
        <w:tc>
          <w:tcPr>
            <w:tcW w:w="1247" w:type="dxa"/>
            <w:vAlign w:val="center"/>
          </w:tcPr>
          <w:p>
            <w:pPr>
              <w:autoSpaceDE w:val="0"/>
              <w:autoSpaceDN w:val="0"/>
              <w:adjustRightInd w:val="0"/>
              <w:jc w:val="center"/>
              <w:rPr>
                <w:sz w:val="20"/>
                <w:szCs w:val="20"/>
              </w:rPr>
            </w:pPr>
            <w:r>
              <w:rPr>
                <w:sz w:val="20"/>
                <w:szCs w:val="20"/>
              </w:rPr>
              <w:t>13</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62 – 71</w:t>
            </w:r>
          </w:p>
        </w:tc>
        <w:tc>
          <w:tcPr>
            <w:tcW w:w="1247" w:type="dxa"/>
            <w:vAlign w:val="center"/>
          </w:tcPr>
          <w:p>
            <w:pPr>
              <w:autoSpaceDE w:val="0"/>
              <w:autoSpaceDN w:val="0"/>
              <w:adjustRightInd w:val="0"/>
              <w:jc w:val="center"/>
              <w:rPr>
                <w:sz w:val="20"/>
                <w:szCs w:val="20"/>
              </w:rPr>
            </w:pPr>
            <w:r>
              <w:rPr>
                <w:sz w:val="20"/>
                <w:szCs w:val="20"/>
              </w:rPr>
              <w:t>3,5</w:t>
            </w:r>
          </w:p>
        </w:tc>
        <w:tc>
          <w:tcPr>
            <w:tcW w:w="1531" w:type="dxa"/>
            <w:vAlign w:val="center"/>
          </w:tcPr>
          <w:p>
            <w:pPr>
              <w:autoSpaceDE w:val="0"/>
              <w:autoSpaceDN w:val="0"/>
              <w:adjustRightInd w:val="0"/>
              <w:jc w:val="center"/>
              <w:rPr>
                <w:sz w:val="20"/>
                <w:szCs w:val="20"/>
              </w:rPr>
            </w:pPr>
            <w:r>
              <w:rPr>
                <w:sz w:val="20"/>
                <w:szCs w:val="20"/>
              </w:rPr>
              <w:t>262 – 271</w:t>
            </w:r>
          </w:p>
        </w:tc>
        <w:tc>
          <w:tcPr>
            <w:tcW w:w="1247" w:type="dxa"/>
            <w:vAlign w:val="center"/>
          </w:tcPr>
          <w:p>
            <w:pPr>
              <w:autoSpaceDE w:val="0"/>
              <w:autoSpaceDN w:val="0"/>
              <w:adjustRightInd w:val="0"/>
              <w:jc w:val="center"/>
              <w:rPr>
                <w:sz w:val="20"/>
                <w:szCs w:val="20"/>
              </w:rPr>
            </w:pPr>
            <w:r>
              <w:rPr>
                <w:sz w:val="20"/>
                <w:szCs w:val="20"/>
              </w:rPr>
              <w:t>13,5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72 – 81</w:t>
            </w:r>
          </w:p>
        </w:tc>
        <w:tc>
          <w:tcPr>
            <w:tcW w:w="1247" w:type="dxa"/>
            <w:vAlign w:val="center"/>
          </w:tcPr>
          <w:p>
            <w:pPr>
              <w:autoSpaceDE w:val="0"/>
              <w:autoSpaceDN w:val="0"/>
              <w:adjustRightInd w:val="0"/>
              <w:jc w:val="center"/>
              <w:rPr>
                <w:sz w:val="20"/>
                <w:szCs w:val="20"/>
              </w:rPr>
            </w:pPr>
            <w:r>
              <w:rPr>
                <w:sz w:val="20"/>
                <w:szCs w:val="20"/>
              </w:rPr>
              <w:t>4</w:t>
            </w:r>
          </w:p>
        </w:tc>
        <w:tc>
          <w:tcPr>
            <w:tcW w:w="1531" w:type="dxa"/>
            <w:vAlign w:val="center"/>
          </w:tcPr>
          <w:p>
            <w:pPr>
              <w:autoSpaceDE w:val="0"/>
              <w:autoSpaceDN w:val="0"/>
              <w:adjustRightInd w:val="0"/>
              <w:jc w:val="center"/>
              <w:rPr>
                <w:sz w:val="20"/>
                <w:szCs w:val="20"/>
              </w:rPr>
            </w:pPr>
            <w:r>
              <w:rPr>
                <w:sz w:val="20"/>
                <w:szCs w:val="20"/>
              </w:rPr>
              <w:t>272 – 281</w:t>
            </w:r>
          </w:p>
        </w:tc>
        <w:tc>
          <w:tcPr>
            <w:tcW w:w="1247" w:type="dxa"/>
            <w:vAlign w:val="center"/>
          </w:tcPr>
          <w:p>
            <w:pPr>
              <w:autoSpaceDE w:val="0"/>
              <w:autoSpaceDN w:val="0"/>
              <w:adjustRightInd w:val="0"/>
              <w:jc w:val="center"/>
              <w:rPr>
                <w:sz w:val="20"/>
                <w:szCs w:val="20"/>
              </w:rPr>
            </w:pPr>
            <w:r>
              <w:rPr>
                <w:sz w:val="20"/>
                <w:szCs w:val="20"/>
              </w:rPr>
              <w:t>14</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82 – 91</w:t>
            </w:r>
          </w:p>
        </w:tc>
        <w:tc>
          <w:tcPr>
            <w:tcW w:w="1247" w:type="dxa"/>
            <w:vAlign w:val="center"/>
          </w:tcPr>
          <w:p>
            <w:pPr>
              <w:autoSpaceDE w:val="0"/>
              <w:autoSpaceDN w:val="0"/>
              <w:adjustRightInd w:val="0"/>
              <w:jc w:val="center"/>
              <w:rPr>
                <w:sz w:val="20"/>
                <w:szCs w:val="20"/>
              </w:rPr>
            </w:pPr>
            <w:r>
              <w:rPr>
                <w:sz w:val="20"/>
                <w:szCs w:val="20"/>
              </w:rPr>
              <w:t>4,5</w:t>
            </w:r>
          </w:p>
        </w:tc>
        <w:tc>
          <w:tcPr>
            <w:tcW w:w="1531" w:type="dxa"/>
            <w:vAlign w:val="center"/>
          </w:tcPr>
          <w:p>
            <w:pPr>
              <w:autoSpaceDE w:val="0"/>
              <w:autoSpaceDN w:val="0"/>
              <w:adjustRightInd w:val="0"/>
              <w:jc w:val="center"/>
              <w:rPr>
                <w:sz w:val="20"/>
                <w:szCs w:val="20"/>
              </w:rPr>
            </w:pPr>
            <w:r>
              <w:rPr>
                <w:sz w:val="20"/>
                <w:szCs w:val="20"/>
              </w:rPr>
              <w:t>282 – 291</w:t>
            </w:r>
          </w:p>
        </w:tc>
        <w:tc>
          <w:tcPr>
            <w:tcW w:w="1247" w:type="dxa"/>
            <w:vAlign w:val="center"/>
          </w:tcPr>
          <w:p>
            <w:pPr>
              <w:autoSpaceDE w:val="0"/>
              <w:autoSpaceDN w:val="0"/>
              <w:adjustRightInd w:val="0"/>
              <w:jc w:val="center"/>
              <w:rPr>
                <w:sz w:val="20"/>
                <w:szCs w:val="20"/>
              </w:rPr>
            </w:pPr>
            <w:r>
              <w:rPr>
                <w:sz w:val="20"/>
                <w:szCs w:val="20"/>
              </w:rPr>
              <w:t>14,5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92 – 101</w:t>
            </w:r>
          </w:p>
        </w:tc>
        <w:tc>
          <w:tcPr>
            <w:tcW w:w="1247" w:type="dxa"/>
            <w:vAlign w:val="center"/>
          </w:tcPr>
          <w:p>
            <w:pPr>
              <w:autoSpaceDE w:val="0"/>
              <w:autoSpaceDN w:val="0"/>
              <w:adjustRightInd w:val="0"/>
              <w:jc w:val="center"/>
              <w:rPr>
                <w:sz w:val="20"/>
                <w:szCs w:val="20"/>
              </w:rPr>
            </w:pPr>
            <w:r>
              <w:rPr>
                <w:sz w:val="20"/>
                <w:szCs w:val="20"/>
              </w:rPr>
              <w:t>5</w:t>
            </w:r>
          </w:p>
        </w:tc>
        <w:tc>
          <w:tcPr>
            <w:tcW w:w="1531" w:type="dxa"/>
            <w:vAlign w:val="center"/>
          </w:tcPr>
          <w:p>
            <w:pPr>
              <w:autoSpaceDE w:val="0"/>
              <w:autoSpaceDN w:val="0"/>
              <w:adjustRightInd w:val="0"/>
              <w:jc w:val="center"/>
              <w:rPr>
                <w:sz w:val="20"/>
                <w:szCs w:val="20"/>
              </w:rPr>
            </w:pPr>
            <w:r>
              <w:rPr>
                <w:sz w:val="20"/>
                <w:szCs w:val="20"/>
              </w:rPr>
              <w:t>292 – 301</w:t>
            </w:r>
          </w:p>
        </w:tc>
        <w:tc>
          <w:tcPr>
            <w:tcW w:w="1247" w:type="dxa"/>
            <w:vAlign w:val="center"/>
          </w:tcPr>
          <w:p>
            <w:pPr>
              <w:autoSpaceDE w:val="0"/>
              <w:autoSpaceDN w:val="0"/>
              <w:adjustRightInd w:val="0"/>
              <w:jc w:val="center"/>
              <w:rPr>
                <w:sz w:val="20"/>
                <w:szCs w:val="20"/>
              </w:rPr>
            </w:pPr>
            <w:r>
              <w:rPr>
                <w:sz w:val="20"/>
                <w:szCs w:val="20"/>
              </w:rPr>
              <w:t>15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102 – 111</w:t>
            </w:r>
          </w:p>
        </w:tc>
        <w:tc>
          <w:tcPr>
            <w:tcW w:w="1247" w:type="dxa"/>
            <w:vAlign w:val="center"/>
          </w:tcPr>
          <w:p>
            <w:pPr>
              <w:autoSpaceDE w:val="0"/>
              <w:autoSpaceDN w:val="0"/>
              <w:adjustRightInd w:val="0"/>
              <w:jc w:val="center"/>
              <w:rPr>
                <w:sz w:val="20"/>
                <w:szCs w:val="20"/>
              </w:rPr>
            </w:pPr>
            <w:r>
              <w:rPr>
                <w:sz w:val="20"/>
                <w:szCs w:val="20"/>
              </w:rPr>
              <w:t>5,5</w:t>
            </w:r>
          </w:p>
        </w:tc>
        <w:tc>
          <w:tcPr>
            <w:tcW w:w="1531" w:type="dxa"/>
            <w:vAlign w:val="center"/>
          </w:tcPr>
          <w:p>
            <w:pPr>
              <w:autoSpaceDE w:val="0"/>
              <w:autoSpaceDN w:val="0"/>
              <w:adjustRightInd w:val="0"/>
              <w:jc w:val="center"/>
              <w:rPr>
                <w:sz w:val="20"/>
                <w:szCs w:val="20"/>
              </w:rPr>
            </w:pPr>
            <w:r>
              <w:rPr>
                <w:sz w:val="20"/>
                <w:szCs w:val="20"/>
              </w:rPr>
              <w:t>302 – 311</w:t>
            </w:r>
          </w:p>
        </w:tc>
        <w:tc>
          <w:tcPr>
            <w:tcW w:w="1247" w:type="dxa"/>
            <w:vAlign w:val="center"/>
          </w:tcPr>
          <w:p>
            <w:pPr>
              <w:autoSpaceDE w:val="0"/>
              <w:autoSpaceDN w:val="0"/>
              <w:adjustRightInd w:val="0"/>
              <w:jc w:val="center"/>
              <w:rPr>
                <w:sz w:val="20"/>
                <w:szCs w:val="20"/>
              </w:rPr>
            </w:pPr>
            <w:r>
              <w:rPr>
                <w:sz w:val="20"/>
                <w:szCs w:val="20"/>
              </w:rPr>
              <w:t>15,5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112 – 121</w:t>
            </w:r>
          </w:p>
        </w:tc>
        <w:tc>
          <w:tcPr>
            <w:tcW w:w="1247" w:type="dxa"/>
            <w:vAlign w:val="center"/>
          </w:tcPr>
          <w:p>
            <w:pPr>
              <w:autoSpaceDE w:val="0"/>
              <w:autoSpaceDN w:val="0"/>
              <w:adjustRightInd w:val="0"/>
              <w:jc w:val="center"/>
              <w:rPr>
                <w:sz w:val="20"/>
                <w:szCs w:val="20"/>
              </w:rPr>
            </w:pPr>
            <w:r>
              <w:rPr>
                <w:sz w:val="20"/>
                <w:szCs w:val="20"/>
              </w:rPr>
              <w:t>6</w:t>
            </w:r>
          </w:p>
        </w:tc>
        <w:tc>
          <w:tcPr>
            <w:tcW w:w="1531" w:type="dxa"/>
            <w:vAlign w:val="center"/>
          </w:tcPr>
          <w:p>
            <w:pPr>
              <w:autoSpaceDE w:val="0"/>
              <w:autoSpaceDN w:val="0"/>
              <w:adjustRightInd w:val="0"/>
              <w:jc w:val="center"/>
              <w:rPr>
                <w:sz w:val="20"/>
                <w:szCs w:val="20"/>
              </w:rPr>
            </w:pPr>
            <w:r>
              <w:rPr>
                <w:sz w:val="20"/>
                <w:szCs w:val="20"/>
              </w:rPr>
              <w:t>312 – 321</w:t>
            </w:r>
          </w:p>
        </w:tc>
        <w:tc>
          <w:tcPr>
            <w:tcW w:w="1247" w:type="dxa"/>
            <w:vAlign w:val="center"/>
          </w:tcPr>
          <w:p>
            <w:pPr>
              <w:autoSpaceDE w:val="0"/>
              <w:autoSpaceDN w:val="0"/>
              <w:adjustRightInd w:val="0"/>
              <w:jc w:val="center"/>
              <w:rPr>
                <w:sz w:val="20"/>
                <w:szCs w:val="20"/>
              </w:rPr>
            </w:pPr>
            <w:r>
              <w:rPr>
                <w:sz w:val="20"/>
                <w:szCs w:val="20"/>
              </w:rPr>
              <w:t>16</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122 – 131</w:t>
            </w:r>
          </w:p>
        </w:tc>
        <w:tc>
          <w:tcPr>
            <w:tcW w:w="1247" w:type="dxa"/>
            <w:vAlign w:val="center"/>
          </w:tcPr>
          <w:p>
            <w:pPr>
              <w:autoSpaceDE w:val="0"/>
              <w:autoSpaceDN w:val="0"/>
              <w:adjustRightInd w:val="0"/>
              <w:jc w:val="center"/>
              <w:rPr>
                <w:sz w:val="20"/>
                <w:szCs w:val="20"/>
              </w:rPr>
            </w:pPr>
            <w:r>
              <w:rPr>
                <w:sz w:val="20"/>
                <w:szCs w:val="20"/>
              </w:rPr>
              <w:t>6,5</w:t>
            </w:r>
          </w:p>
        </w:tc>
        <w:tc>
          <w:tcPr>
            <w:tcW w:w="1531" w:type="dxa"/>
            <w:vAlign w:val="center"/>
          </w:tcPr>
          <w:p>
            <w:pPr>
              <w:autoSpaceDE w:val="0"/>
              <w:autoSpaceDN w:val="0"/>
              <w:adjustRightInd w:val="0"/>
              <w:jc w:val="center"/>
              <w:rPr>
                <w:sz w:val="20"/>
                <w:szCs w:val="20"/>
              </w:rPr>
            </w:pPr>
            <w:r>
              <w:rPr>
                <w:sz w:val="20"/>
                <w:szCs w:val="20"/>
              </w:rPr>
              <w:t>322 – 331</w:t>
            </w:r>
          </w:p>
        </w:tc>
        <w:tc>
          <w:tcPr>
            <w:tcW w:w="1247" w:type="dxa"/>
            <w:vAlign w:val="center"/>
          </w:tcPr>
          <w:p>
            <w:pPr>
              <w:autoSpaceDE w:val="0"/>
              <w:autoSpaceDN w:val="0"/>
              <w:adjustRightInd w:val="0"/>
              <w:jc w:val="center"/>
              <w:rPr>
                <w:sz w:val="20"/>
                <w:szCs w:val="20"/>
              </w:rPr>
            </w:pPr>
            <w:r>
              <w:rPr>
                <w:sz w:val="20"/>
                <w:szCs w:val="20"/>
              </w:rPr>
              <w:t>16,5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132 – 141</w:t>
            </w:r>
          </w:p>
        </w:tc>
        <w:tc>
          <w:tcPr>
            <w:tcW w:w="1247" w:type="dxa"/>
            <w:vAlign w:val="center"/>
          </w:tcPr>
          <w:p>
            <w:pPr>
              <w:autoSpaceDE w:val="0"/>
              <w:autoSpaceDN w:val="0"/>
              <w:adjustRightInd w:val="0"/>
              <w:jc w:val="center"/>
              <w:rPr>
                <w:sz w:val="20"/>
                <w:szCs w:val="20"/>
              </w:rPr>
            </w:pPr>
            <w:r>
              <w:rPr>
                <w:sz w:val="20"/>
                <w:szCs w:val="20"/>
              </w:rPr>
              <w:t>7</w:t>
            </w:r>
          </w:p>
        </w:tc>
        <w:tc>
          <w:tcPr>
            <w:tcW w:w="1531" w:type="dxa"/>
            <w:vAlign w:val="center"/>
          </w:tcPr>
          <w:p>
            <w:pPr>
              <w:autoSpaceDE w:val="0"/>
              <w:autoSpaceDN w:val="0"/>
              <w:adjustRightInd w:val="0"/>
              <w:jc w:val="center"/>
              <w:rPr>
                <w:sz w:val="20"/>
                <w:szCs w:val="20"/>
              </w:rPr>
            </w:pPr>
            <w:r>
              <w:rPr>
                <w:sz w:val="20"/>
                <w:szCs w:val="20"/>
              </w:rPr>
              <w:t>332 – 341</w:t>
            </w:r>
          </w:p>
        </w:tc>
        <w:tc>
          <w:tcPr>
            <w:tcW w:w="1247" w:type="dxa"/>
            <w:vAlign w:val="center"/>
          </w:tcPr>
          <w:p>
            <w:pPr>
              <w:autoSpaceDE w:val="0"/>
              <w:autoSpaceDN w:val="0"/>
              <w:adjustRightInd w:val="0"/>
              <w:jc w:val="center"/>
              <w:rPr>
                <w:sz w:val="20"/>
                <w:szCs w:val="20"/>
              </w:rPr>
            </w:pPr>
            <w:r>
              <w:rPr>
                <w:sz w:val="20"/>
                <w:szCs w:val="20"/>
              </w:rPr>
              <w:t>17</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142 – 151</w:t>
            </w:r>
          </w:p>
        </w:tc>
        <w:tc>
          <w:tcPr>
            <w:tcW w:w="1247" w:type="dxa"/>
            <w:vAlign w:val="center"/>
          </w:tcPr>
          <w:p>
            <w:pPr>
              <w:autoSpaceDE w:val="0"/>
              <w:autoSpaceDN w:val="0"/>
              <w:adjustRightInd w:val="0"/>
              <w:jc w:val="center"/>
              <w:rPr>
                <w:sz w:val="20"/>
                <w:szCs w:val="20"/>
              </w:rPr>
            </w:pPr>
            <w:r>
              <w:rPr>
                <w:sz w:val="20"/>
                <w:szCs w:val="20"/>
              </w:rPr>
              <w:t>7,5</w:t>
            </w:r>
          </w:p>
        </w:tc>
        <w:tc>
          <w:tcPr>
            <w:tcW w:w="1531" w:type="dxa"/>
            <w:vAlign w:val="center"/>
          </w:tcPr>
          <w:p>
            <w:pPr>
              <w:autoSpaceDE w:val="0"/>
              <w:autoSpaceDN w:val="0"/>
              <w:adjustRightInd w:val="0"/>
              <w:jc w:val="center"/>
              <w:rPr>
                <w:sz w:val="20"/>
                <w:szCs w:val="20"/>
              </w:rPr>
            </w:pPr>
            <w:r>
              <w:rPr>
                <w:sz w:val="20"/>
                <w:szCs w:val="20"/>
              </w:rPr>
              <w:t>342 – 351</w:t>
            </w:r>
          </w:p>
        </w:tc>
        <w:tc>
          <w:tcPr>
            <w:tcW w:w="1247" w:type="dxa"/>
            <w:vAlign w:val="center"/>
          </w:tcPr>
          <w:p>
            <w:pPr>
              <w:autoSpaceDE w:val="0"/>
              <w:autoSpaceDN w:val="0"/>
              <w:adjustRightInd w:val="0"/>
              <w:jc w:val="center"/>
              <w:rPr>
                <w:sz w:val="20"/>
                <w:szCs w:val="20"/>
              </w:rPr>
            </w:pPr>
            <w:r>
              <w:rPr>
                <w:sz w:val="20"/>
                <w:szCs w:val="20"/>
              </w:rPr>
              <w:t>17,5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152 – 161</w:t>
            </w:r>
          </w:p>
        </w:tc>
        <w:tc>
          <w:tcPr>
            <w:tcW w:w="1247" w:type="dxa"/>
            <w:vAlign w:val="center"/>
          </w:tcPr>
          <w:p>
            <w:pPr>
              <w:autoSpaceDE w:val="0"/>
              <w:autoSpaceDN w:val="0"/>
              <w:adjustRightInd w:val="0"/>
              <w:jc w:val="center"/>
              <w:rPr>
                <w:sz w:val="20"/>
                <w:szCs w:val="20"/>
              </w:rPr>
            </w:pPr>
            <w:r>
              <w:rPr>
                <w:sz w:val="20"/>
                <w:szCs w:val="20"/>
              </w:rPr>
              <w:t>8</w:t>
            </w:r>
          </w:p>
        </w:tc>
        <w:tc>
          <w:tcPr>
            <w:tcW w:w="1531" w:type="dxa"/>
            <w:vAlign w:val="center"/>
          </w:tcPr>
          <w:p>
            <w:pPr>
              <w:autoSpaceDE w:val="0"/>
              <w:autoSpaceDN w:val="0"/>
              <w:adjustRightInd w:val="0"/>
              <w:jc w:val="center"/>
              <w:rPr>
                <w:sz w:val="20"/>
                <w:szCs w:val="20"/>
              </w:rPr>
            </w:pPr>
            <w:r>
              <w:rPr>
                <w:sz w:val="20"/>
                <w:szCs w:val="20"/>
              </w:rPr>
              <w:t>352 – 361</w:t>
            </w:r>
          </w:p>
        </w:tc>
        <w:tc>
          <w:tcPr>
            <w:tcW w:w="1247" w:type="dxa"/>
            <w:vAlign w:val="center"/>
          </w:tcPr>
          <w:p>
            <w:pPr>
              <w:autoSpaceDE w:val="0"/>
              <w:autoSpaceDN w:val="0"/>
              <w:adjustRightInd w:val="0"/>
              <w:jc w:val="center"/>
              <w:rPr>
                <w:sz w:val="20"/>
                <w:szCs w:val="20"/>
              </w:rPr>
            </w:pPr>
            <w:r>
              <w:rPr>
                <w:sz w:val="20"/>
                <w:szCs w:val="20"/>
              </w:rPr>
              <w:t>18</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162 – 171</w:t>
            </w:r>
          </w:p>
        </w:tc>
        <w:tc>
          <w:tcPr>
            <w:tcW w:w="1247" w:type="dxa"/>
            <w:vAlign w:val="center"/>
          </w:tcPr>
          <w:p>
            <w:pPr>
              <w:autoSpaceDE w:val="0"/>
              <w:autoSpaceDN w:val="0"/>
              <w:adjustRightInd w:val="0"/>
              <w:jc w:val="center"/>
              <w:rPr>
                <w:sz w:val="20"/>
                <w:szCs w:val="20"/>
              </w:rPr>
            </w:pPr>
            <w:r>
              <w:rPr>
                <w:sz w:val="20"/>
                <w:szCs w:val="20"/>
              </w:rPr>
              <w:t>8,5</w:t>
            </w:r>
          </w:p>
        </w:tc>
        <w:tc>
          <w:tcPr>
            <w:tcW w:w="1531" w:type="dxa"/>
            <w:vAlign w:val="center"/>
          </w:tcPr>
          <w:p>
            <w:pPr>
              <w:autoSpaceDE w:val="0"/>
              <w:autoSpaceDN w:val="0"/>
              <w:adjustRightInd w:val="0"/>
              <w:jc w:val="center"/>
              <w:rPr>
                <w:sz w:val="20"/>
                <w:szCs w:val="20"/>
              </w:rPr>
            </w:pPr>
            <w:r>
              <w:rPr>
                <w:sz w:val="20"/>
                <w:szCs w:val="20"/>
              </w:rPr>
              <w:t>362 – 371</w:t>
            </w:r>
          </w:p>
        </w:tc>
        <w:tc>
          <w:tcPr>
            <w:tcW w:w="1247" w:type="dxa"/>
            <w:vAlign w:val="center"/>
          </w:tcPr>
          <w:p>
            <w:pPr>
              <w:autoSpaceDE w:val="0"/>
              <w:autoSpaceDN w:val="0"/>
              <w:adjustRightInd w:val="0"/>
              <w:jc w:val="center"/>
              <w:rPr>
                <w:sz w:val="20"/>
                <w:szCs w:val="20"/>
              </w:rPr>
            </w:pPr>
            <w:r>
              <w:rPr>
                <w:sz w:val="20"/>
                <w:szCs w:val="20"/>
              </w:rPr>
              <w:t>18,5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172 – 181</w:t>
            </w:r>
          </w:p>
        </w:tc>
        <w:tc>
          <w:tcPr>
            <w:tcW w:w="1247" w:type="dxa"/>
            <w:vAlign w:val="center"/>
          </w:tcPr>
          <w:p>
            <w:pPr>
              <w:autoSpaceDE w:val="0"/>
              <w:autoSpaceDN w:val="0"/>
              <w:adjustRightInd w:val="0"/>
              <w:jc w:val="center"/>
              <w:rPr>
                <w:sz w:val="20"/>
                <w:szCs w:val="20"/>
              </w:rPr>
            </w:pPr>
            <w:r>
              <w:rPr>
                <w:sz w:val="20"/>
                <w:szCs w:val="20"/>
              </w:rPr>
              <w:t>9</w:t>
            </w:r>
          </w:p>
        </w:tc>
        <w:tc>
          <w:tcPr>
            <w:tcW w:w="1531" w:type="dxa"/>
            <w:vAlign w:val="center"/>
          </w:tcPr>
          <w:p>
            <w:pPr>
              <w:autoSpaceDE w:val="0"/>
              <w:autoSpaceDN w:val="0"/>
              <w:adjustRightInd w:val="0"/>
              <w:jc w:val="center"/>
              <w:rPr>
                <w:sz w:val="20"/>
                <w:szCs w:val="20"/>
              </w:rPr>
            </w:pPr>
            <w:r>
              <w:rPr>
                <w:sz w:val="20"/>
                <w:szCs w:val="20"/>
              </w:rPr>
              <w:t>372 – 381</w:t>
            </w:r>
          </w:p>
        </w:tc>
        <w:tc>
          <w:tcPr>
            <w:tcW w:w="1247" w:type="dxa"/>
            <w:vAlign w:val="center"/>
          </w:tcPr>
          <w:p>
            <w:pPr>
              <w:autoSpaceDE w:val="0"/>
              <w:autoSpaceDN w:val="0"/>
              <w:adjustRightInd w:val="0"/>
              <w:jc w:val="center"/>
              <w:rPr>
                <w:sz w:val="20"/>
                <w:szCs w:val="20"/>
              </w:rPr>
            </w:pPr>
            <w:r>
              <w:rPr>
                <w:sz w:val="20"/>
                <w:szCs w:val="20"/>
              </w:rPr>
              <w:t>19</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182 – 191</w:t>
            </w:r>
          </w:p>
        </w:tc>
        <w:tc>
          <w:tcPr>
            <w:tcW w:w="1247" w:type="dxa"/>
            <w:vAlign w:val="center"/>
          </w:tcPr>
          <w:p>
            <w:pPr>
              <w:autoSpaceDE w:val="0"/>
              <w:autoSpaceDN w:val="0"/>
              <w:adjustRightInd w:val="0"/>
              <w:jc w:val="center"/>
              <w:rPr>
                <w:sz w:val="20"/>
                <w:szCs w:val="20"/>
              </w:rPr>
            </w:pPr>
            <w:r>
              <w:rPr>
                <w:sz w:val="20"/>
                <w:szCs w:val="20"/>
              </w:rPr>
              <w:t>9,5</w:t>
            </w:r>
          </w:p>
        </w:tc>
        <w:tc>
          <w:tcPr>
            <w:tcW w:w="1531" w:type="dxa"/>
            <w:vAlign w:val="center"/>
          </w:tcPr>
          <w:p>
            <w:pPr>
              <w:autoSpaceDE w:val="0"/>
              <w:autoSpaceDN w:val="0"/>
              <w:adjustRightInd w:val="0"/>
              <w:jc w:val="center"/>
              <w:rPr>
                <w:sz w:val="20"/>
                <w:szCs w:val="20"/>
              </w:rPr>
            </w:pPr>
            <w:r>
              <w:rPr>
                <w:sz w:val="20"/>
                <w:szCs w:val="20"/>
              </w:rPr>
              <w:t>382 – 391</w:t>
            </w:r>
          </w:p>
        </w:tc>
        <w:tc>
          <w:tcPr>
            <w:tcW w:w="1247" w:type="dxa"/>
            <w:vAlign w:val="center"/>
          </w:tcPr>
          <w:p>
            <w:pPr>
              <w:autoSpaceDE w:val="0"/>
              <w:autoSpaceDN w:val="0"/>
              <w:adjustRightInd w:val="0"/>
              <w:jc w:val="center"/>
              <w:rPr>
                <w:sz w:val="20"/>
                <w:szCs w:val="20"/>
              </w:rPr>
            </w:pPr>
            <w:r>
              <w:rPr>
                <w:sz w:val="20"/>
                <w:szCs w:val="20"/>
              </w:rPr>
              <w:t>19,5</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192 – 201</w:t>
            </w:r>
          </w:p>
        </w:tc>
        <w:tc>
          <w:tcPr>
            <w:tcW w:w="1247" w:type="dxa"/>
            <w:vAlign w:val="center"/>
          </w:tcPr>
          <w:p>
            <w:pPr>
              <w:autoSpaceDE w:val="0"/>
              <w:autoSpaceDN w:val="0"/>
              <w:adjustRightInd w:val="0"/>
              <w:jc w:val="center"/>
              <w:rPr>
                <w:sz w:val="20"/>
                <w:szCs w:val="20"/>
              </w:rPr>
            </w:pPr>
            <w:r>
              <w:rPr>
                <w:sz w:val="20"/>
                <w:szCs w:val="20"/>
              </w:rPr>
              <w:t>10</w:t>
            </w:r>
          </w:p>
        </w:tc>
        <w:tc>
          <w:tcPr>
            <w:tcW w:w="1531" w:type="dxa"/>
            <w:vAlign w:val="center"/>
          </w:tcPr>
          <w:p>
            <w:pPr>
              <w:autoSpaceDE w:val="0"/>
              <w:autoSpaceDN w:val="0"/>
              <w:adjustRightInd w:val="0"/>
              <w:jc w:val="center"/>
              <w:rPr>
                <w:sz w:val="20"/>
                <w:szCs w:val="20"/>
              </w:rPr>
            </w:pPr>
            <w:r>
              <w:rPr>
                <w:sz w:val="20"/>
                <w:szCs w:val="20"/>
              </w:rPr>
              <w:t>392 – 401</w:t>
            </w:r>
          </w:p>
        </w:tc>
        <w:tc>
          <w:tcPr>
            <w:tcW w:w="1247" w:type="dxa"/>
            <w:vAlign w:val="center"/>
          </w:tcPr>
          <w:p>
            <w:pPr>
              <w:autoSpaceDE w:val="0"/>
              <w:autoSpaceDN w:val="0"/>
              <w:adjustRightInd w:val="0"/>
              <w:jc w:val="center"/>
              <w:rPr>
                <w:sz w:val="20"/>
                <w:szCs w:val="20"/>
              </w:rPr>
            </w:pPr>
            <w:r>
              <w:rPr>
                <w:sz w:val="20"/>
                <w:szCs w:val="20"/>
              </w:rPr>
              <w:t>20</w:t>
            </w:r>
          </w:p>
        </w:tc>
      </w:tr>
      <w:tr>
        <w:trPr>
          <w:trHeight w:val="227"/>
          <w:jc w:val="center"/>
        </w:trPr>
        <w:tc>
          <w:tcPr>
            <w:tcW w:w="1531" w:type="dxa"/>
            <w:vAlign w:val="center"/>
          </w:tcPr>
          <w:p>
            <w:pPr>
              <w:autoSpaceDE w:val="0"/>
              <w:autoSpaceDN w:val="0"/>
              <w:adjustRightInd w:val="0"/>
              <w:jc w:val="center"/>
              <w:rPr>
                <w:sz w:val="20"/>
                <w:szCs w:val="20"/>
              </w:rPr>
            </w:pPr>
            <w:r>
              <w:rPr>
                <w:sz w:val="20"/>
                <w:szCs w:val="20"/>
              </w:rPr>
              <w:t>202 – 211</w:t>
            </w:r>
          </w:p>
        </w:tc>
        <w:tc>
          <w:tcPr>
            <w:tcW w:w="1247" w:type="dxa"/>
            <w:vAlign w:val="center"/>
          </w:tcPr>
          <w:p>
            <w:pPr>
              <w:autoSpaceDE w:val="0"/>
              <w:autoSpaceDN w:val="0"/>
              <w:adjustRightInd w:val="0"/>
              <w:jc w:val="center"/>
              <w:rPr>
                <w:sz w:val="20"/>
                <w:szCs w:val="20"/>
              </w:rPr>
            </w:pPr>
            <w:r>
              <w:rPr>
                <w:sz w:val="20"/>
                <w:szCs w:val="20"/>
              </w:rPr>
              <w:t>10,5</w:t>
            </w:r>
          </w:p>
        </w:tc>
        <w:tc>
          <w:tcPr>
            <w:tcW w:w="1531" w:type="dxa"/>
            <w:vAlign w:val="center"/>
          </w:tcPr>
          <w:p>
            <w:pPr>
              <w:autoSpaceDE w:val="0"/>
              <w:autoSpaceDN w:val="0"/>
              <w:adjustRightInd w:val="0"/>
              <w:jc w:val="center"/>
              <w:rPr>
                <w:sz w:val="20"/>
                <w:szCs w:val="20"/>
              </w:rPr>
            </w:pPr>
            <w:r>
              <w:rPr>
                <w:sz w:val="20"/>
                <w:szCs w:val="20"/>
              </w:rPr>
              <w:t>402 – 411</w:t>
            </w:r>
          </w:p>
        </w:tc>
        <w:tc>
          <w:tcPr>
            <w:tcW w:w="1247" w:type="dxa"/>
            <w:vAlign w:val="center"/>
          </w:tcPr>
          <w:p>
            <w:pPr>
              <w:autoSpaceDE w:val="0"/>
              <w:autoSpaceDN w:val="0"/>
              <w:adjustRightInd w:val="0"/>
              <w:jc w:val="center"/>
              <w:rPr>
                <w:sz w:val="20"/>
                <w:szCs w:val="20"/>
              </w:rPr>
            </w:pPr>
            <w:r>
              <w:rPr>
                <w:sz w:val="20"/>
                <w:szCs w:val="20"/>
              </w:rPr>
              <w:t>20,5</w:t>
            </w:r>
          </w:p>
        </w:tc>
      </w:tr>
    </w:tbl>
    <w:p>
      <w:pPr>
        <w:rPr>
          <w:i/>
          <w:sz w:val="20"/>
          <w:szCs w:val="20"/>
        </w:rPr>
      </w:pPr>
      <w:bookmarkStart w:id="1164" w:name="_3.3.2._Direction_d'école"/>
      <w:bookmarkStart w:id="1165" w:name="_3.3.2._Direction_d'école_1"/>
      <w:bookmarkStart w:id="1166" w:name="_Toc295932043"/>
      <w:bookmarkStart w:id="1167" w:name="_Toc295913773"/>
      <w:bookmarkEnd w:id="1164"/>
      <w:bookmarkEnd w:id="1165"/>
      <w:r>
        <w:tab/>
      </w:r>
      <w:r>
        <w:tab/>
      </w:r>
      <w:r>
        <w:tab/>
      </w:r>
      <w:r>
        <w:rPr>
          <w:i/>
          <w:sz w:val="20"/>
          <w:szCs w:val="20"/>
        </w:rPr>
        <w:t>Et ainsi de suite par tranche de 10 élèves</w:t>
      </w:r>
    </w:p>
    <w:p/>
    <w:p>
      <w:pPr>
        <w:jc w:val="both"/>
        <w:rPr>
          <w:rFonts w:cs="Arial"/>
          <w:iCs/>
          <w:lang w:eastAsia="fr-BE"/>
        </w:rPr>
      </w:pPr>
      <w:r>
        <w:rPr>
          <w:rFonts w:cs="Arial"/>
          <w:iCs/>
          <w:lang w:eastAsia="fr-BE"/>
        </w:rPr>
        <w:t xml:space="preserve">Ce tableau est établi </w:t>
      </w:r>
      <w:r>
        <w:rPr>
          <w:rFonts w:cs="Arial"/>
          <w:iCs/>
          <w:u w:val="single"/>
          <w:lang w:eastAsia="fr-BE"/>
        </w:rPr>
        <w:t>sous réserve</w:t>
      </w:r>
      <w:r>
        <w:rPr>
          <w:rFonts w:cs="Arial"/>
          <w:iCs/>
          <w:lang w:eastAsia="fr-BE"/>
        </w:rPr>
        <w:t xml:space="preserve"> de l’approbation par le Parlement de la proposition de décret relatif à l’encadrement dans l’enseignement maternel.</w:t>
      </w:r>
    </w:p>
    <w:p/>
    <w:p>
      <w:pPr>
        <w:pStyle w:val="Titre3"/>
      </w:pPr>
      <w:bookmarkStart w:id="1168" w:name="_3.4.2._Direction_d'école"/>
      <w:bookmarkStart w:id="1169" w:name="_Toc423420078"/>
      <w:bookmarkStart w:id="1170" w:name="_Toc450645285"/>
      <w:bookmarkStart w:id="1171" w:name="_Toc453942521"/>
      <w:bookmarkStart w:id="1172" w:name="_Toc454888138"/>
      <w:bookmarkStart w:id="1173" w:name="_Toc486241799"/>
      <w:bookmarkEnd w:id="1168"/>
      <w:r>
        <w:t>3.4.2.</w:t>
      </w:r>
      <w:r>
        <w:tab/>
        <w:t>Direction d'école dans les écoles maternelles autonomes</w:t>
      </w:r>
      <w:bookmarkEnd w:id="1166"/>
      <w:bookmarkEnd w:id="1167"/>
      <w:bookmarkEnd w:id="1169"/>
      <w:bookmarkEnd w:id="1170"/>
      <w:bookmarkEnd w:id="1171"/>
      <w:bookmarkEnd w:id="1172"/>
      <w:bookmarkEnd w:id="1173"/>
    </w:p>
    <w:p>
      <w:pPr>
        <w:jc w:val="both"/>
        <w:rPr>
          <w:sz w:val="14"/>
          <w:szCs w:val="14"/>
          <w:lang w:val="fr-BE"/>
        </w:rPr>
      </w:pPr>
    </w:p>
    <w:p>
      <w:pPr>
        <w:spacing w:after="160"/>
        <w:jc w:val="both"/>
      </w:pPr>
      <w:r>
        <w:t xml:space="preserve">Dans les </w:t>
      </w:r>
      <w:r>
        <w:rPr>
          <w:u w:val="single"/>
        </w:rPr>
        <w:t>écoles maternelles autonomes</w:t>
      </w:r>
      <w:r>
        <w:t xml:space="preserve">, un </w:t>
      </w:r>
      <w:r>
        <w:rPr>
          <w:b/>
        </w:rPr>
        <w:t>complément de direction</w:t>
      </w:r>
      <w:r>
        <w:t xml:space="preserve"> est ajouté à raison de:</w:t>
      </w:r>
    </w:p>
    <w:p>
      <w:pPr>
        <w:numPr>
          <w:ilvl w:val="0"/>
          <w:numId w:val="30"/>
        </w:numPr>
        <w:tabs>
          <w:tab w:val="clear" w:pos="1440"/>
          <w:tab w:val="num" w:pos="900"/>
        </w:tabs>
        <w:ind w:left="899"/>
        <w:jc w:val="both"/>
      </w:pPr>
      <w:r>
        <w:t>un ¼ temps (7 périodes) si l’école compte moins de 51 élèves;</w:t>
      </w:r>
    </w:p>
    <w:p>
      <w:pPr>
        <w:numPr>
          <w:ilvl w:val="0"/>
          <w:numId w:val="30"/>
        </w:numPr>
        <w:tabs>
          <w:tab w:val="clear" w:pos="1440"/>
          <w:tab w:val="num" w:pos="900"/>
        </w:tabs>
        <w:ind w:left="899"/>
        <w:jc w:val="both"/>
      </w:pPr>
      <w:r>
        <w:t>un ½ temps (13 périodes) si l’école compte de 51 à 129 élèves;</w:t>
      </w:r>
    </w:p>
    <w:p>
      <w:pPr>
        <w:numPr>
          <w:ilvl w:val="0"/>
          <w:numId w:val="30"/>
        </w:numPr>
        <w:tabs>
          <w:tab w:val="clear" w:pos="1440"/>
          <w:tab w:val="num" w:pos="900"/>
        </w:tabs>
        <w:ind w:left="899"/>
        <w:jc w:val="both"/>
      </w:pPr>
      <w:r>
        <w:t>un ¾ temps (20 périodes) si l’école compte de 130 à 179 élèves;</w:t>
      </w:r>
    </w:p>
    <w:p>
      <w:pPr>
        <w:numPr>
          <w:ilvl w:val="0"/>
          <w:numId w:val="30"/>
        </w:numPr>
        <w:tabs>
          <w:tab w:val="clear" w:pos="1440"/>
          <w:tab w:val="num" w:pos="900"/>
        </w:tabs>
        <w:ind w:left="899"/>
        <w:jc w:val="both"/>
      </w:pPr>
      <w:r>
        <w:t>un temps plein (26 périodes) si l’école compte 180 élèves ou plus,</w:t>
      </w:r>
    </w:p>
    <w:p>
      <w:pPr>
        <w:jc w:val="both"/>
        <w:rPr>
          <w:sz w:val="8"/>
          <w:szCs w:val="8"/>
        </w:rPr>
      </w:pPr>
    </w:p>
    <w:p>
      <w:pPr>
        <w:jc w:val="both"/>
        <w:rPr>
          <w:bCs/>
          <w:iCs/>
        </w:rPr>
      </w:pPr>
      <w:r>
        <w:rPr>
          <w:bCs/>
          <w:iCs/>
          <w:spacing w:val="-4"/>
        </w:rPr>
        <w:t>Le complément de direction applicable du 1</w:t>
      </w:r>
      <w:r>
        <w:rPr>
          <w:bCs/>
          <w:iCs/>
          <w:spacing w:val="-4"/>
          <w:vertAlign w:val="superscript"/>
        </w:rPr>
        <w:t>er</w:t>
      </w:r>
      <w:r>
        <w:rPr>
          <w:bCs/>
          <w:iCs/>
          <w:spacing w:val="-4"/>
        </w:rPr>
        <w:t xml:space="preserve"> septembre au 31 août est calculé sur base du nombre d’élèves régulièrement inscrits </w:t>
      </w:r>
      <w:r>
        <w:rPr>
          <w:bCs/>
          <w:iCs/>
          <w:spacing w:val="-4"/>
          <w:u w:val="single"/>
        </w:rPr>
        <w:t>au 15 janvier précédent</w:t>
      </w:r>
      <w:r>
        <w:rPr>
          <w:bCs/>
          <w:iCs/>
          <w:spacing w:val="-4"/>
        </w:rPr>
        <w:t xml:space="preserve">. </w:t>
      </w:r>
      <w:r>
        <w:rPr>
          <w:bCs/>
          <w:iCs/>
        </w:rPr>
        <w:t>Les coefficients 1,5 sont d’application dans les calculs.</w:t>
      </w:r>
    </w:p>
    <w:p>
      <w:pPr>
        <w:jc w:val="both"/>
        <w:rPr>
          <w:b/>
          <w:bCs/>
          <w:i/>
          <w:iCs/>
          <w:sz w:val="8"/>
          <w:szCs w:val="8"/>
        </w:rPr>
      </w:pPr>
    </w:p>
    <w:p>
      <w:pPr>
        <w:jc w:val="both"/>
      </w:pPr>
      <w:r>
        <w:t>En cas de programmation d’une nouvelle école maternelle autonome, le complément de direction est calculé sur base du nombre d’élèves régulièrement inscrits au 30 septembre de l’année en cours.</w:t>
      </w:r>
    </w:p>
    <w:p>
      <w:pPr>
        <w:jc w:val="both"/>
        <w:rPr>
          <w:sz w:val="20"/>
          <w:szCs w:val="20"/>
        </w:rPr>
      </w:pPr>
    </w:p>
    <w:p>
      <w:pPr>
        <w:jc w:val="both"/>
        <w:rPr>
          <w:lang w:val="fr-BE"/>
        </w:rPr>
      </w:pPr>
      <w:r>
        <w:rPr>
          <w:lang w:val="fr-BE"/>
        </w:rPr>
        <w:t xml:space="preserve">Pour les </w:t>
      </w:r>
      <w:r>
        <w:rPr>
          <w:u w:val="single"/>
          <w:lang w:val="fr-BE"/>
        </w:rPr>
        <w:t>écoles fondamentales où le directeur est attaché au niveau maternel</w:t>
      </w:r>
      <w:r>
        <w:rPr>
          <w:lang w:val="fr-BE"/>
        </w:rPr>
        <w:t xml:space="preserve">, voir la </w:t>
      </w:r>
      <w:hyperlink w:anchor="_3.2.6._Direction_d'école_" w:history="1">
        <w:r>
          <w:rPr>
            <w:rStyle w:val="Lienhypertexte"/>
            <w:color w:val="auto"/>
            <w:lang w:val="fr-BE"/>
          </w:rPr>
          <w:t>section 3.2.6.</w:t>
        </w:r>
      </w:hyperlink>
    </w:p>
    <w:p>
      <w:pPr>
        <w:jc w:val="both"/>
        <w:rPr>
          <w:sz w:val="16"/>
          <w:szCs w:val="16"/>
        </w:rPr>
      </w:pPr>
    </w:p>
    <w:p>
      <w:pPr>
        <w:pStyle w:val="Titre3"/>
      </w:pPr>
      <w:bookmarkStart w:id="1174" w:name="_3.3.3._Demi-emplois"/>
      <w:bookmarkStart w:id="1175" w:name="_3.4.3._Demi-emplois"/>
      <w:bookmarkStart w:id="1176" w:name="_Toc295932044"/>
      <w:bookmarkStart w:id="1177" w:name="_Toc295913774"/>
      <w:bookmarkStart w:id="1178" w:name="_Toc423420079"/>
      <w:bookmarkStart w:id="1179" w:name="_Toc450645286"/>
      <w:bookmarkStart w:id="1180" w:name="_Toc453942522"/>
      <w:bookmarkStart w:id="1181" w:name="_Toc454888139"/>
      <w:bookmarkStart w:id="1182" w:name="_Toc486241800"/>
      <w:bookmarkEnd w:id="1174"/>
      <w:bookmarkEnd w:id="1175"/>
      <w:r>
        <w:t>3.4.3.</w:t>
      </w:r>
      <w:r>
        <w:tab/>
        <w:t>Demi-emplois</w:t>
      </w:r>
      <w:bookmarkEnd w:id="1176"/>
      <w:bookmarkEnd w:id="1177"/>
      <w:bookmarkEnd w:id="1178"/>
      <w:bookmarkEnd w:id="1179"/>
      <w:bookmarkEnd w:id="1180"/>
      <w:bookmarkEnd w:id="1181"/>
      <w:bookmarkEnd w:id="1182"/>
    </w:p>
    <w:p>
      <w:pPr>
        <w:jc w:val="both"/>
        <w:rPr>
          <w:sz w:val="14"/>
          <w:szCs w:val="14"/>
          <w:lang w:val="fr-BE"/>
        </w:rPr>
      </w:pPr>
    </w:p>
    <w:p>
      <w:pPr>
        <w:jc w:val="both"/>
      </w:pPr>
      <w:r>
        <w:t>Le ½ emploi créé lorsque l’école ou l’implantation à comptage séparé compte entre 20 et 25 élèves doit être utilisé dans l’école ou l’implantation qui l’a généré.</w:t>
      </w:r>
    </w:p>
    <w:p>
      <w:pPr>
        <w:jc w:val="both"/>
        <w:rPr>
          <w:sz w:val="8"/>
          <w:szCs w:val="8"/>
        </w:rPr>
      </w:pPr>
    </w:p>
    <w:p>
      <w:pPr>
        <w:pStyle w:val="Corpsdetexte"/>
        <w:spacing w:after="80"/>
        <w:rPr>
          <w:spacing w:val="0"/>
        </w:rPr>
      </w:pPr>
      <w:r>
        <w:t>Les autres ½ emplois générés par école ou implantation à comptage séparé sont globalisés au niveau:</w:t>
      </w:r>
    </w:p>
    <w:p>
      <w:pPr>
        <w:numPr>
          <w:ilvl w:val="0"/>
          <w:numId w:val="36"/>
        </w:numPr>
        <w:tabs>
          <w:tab w:val="left" w:pos="540"/>
        </w:tabs>
        <w:ind w:left="539"/>
        <w:jc w:val="both"/>
      </w:pPr>
      <w:r>
        <w:t xml:space="preserve">de l’établissement dans l’enseignement de </w:t>
      </w:r>
      <w:smartTag w:uri="urn:schemas-microsoft-com:office:smarttags" w:element="PersonName">
        <w:smartTagPr>
          <w:attr w:name="ProductID" w:val="la F￩d￩ration Wallonie-Bruxelles"/>
        </w:smartTagPr>
        <w:r>
          <w:t>la Fédération Wallonie-Bruxelles</w:t>
        </w:r>
      </w:smartTag>
      <w:r>
        <w:t>;</w:t>
      </w:r>
    </w:p>
    <w:p>
      <w:pPr>
        <w:numPr>
          <w:ilvl w:val="0"/>
          <w:numId w:val="36"/>
        </w:numPr>
        <w:tabs>
          <w:tab w:val="left" w:pos="540"/>
        </w:tabs>
        <w:ind w:left="539"/>
        <w:jc w:val="both"/>
      </w:pPr>
      <w:r>
        <w:t>de la commune dans l’enseignement officiel subventionné;</w:t>
      </w:r>
    </w:p>
    <w:p>
      <w:pPr>
        <w:numPr>
          <w:ilvl w:val="0"/>
          <w:numId w:val="36"/>
        </w:numPr>
        <w:tabs>
          <w:tab w:val="left" w:pos="540"/>
        </w:tabs>
        <w:ind w:left="539"/>
        <w:jc w:val="both"/>
        <w:rPr>
          <w:spacing w:val="-6"/>
        </w:rPr>
      </w:pPr>
      <w:r>
        <w:rPr>
          <w:spacing w:val="-6"/>
        </w:rPr>
        <w:t>de l’entité dans l’enseignement libre subventionné, sauf pour les écoles comprenant une ou plusieurs implantations à comptage séparé où les ½ emplois sont globalisés au sein de l’établissement (le ½ emploi qui subsiste éventuellement après globalisation est seul remis à l’entité).</w:t>
      </w:r>
    </w:p>
    <w:p>
      <w:pPr>
        <w:jc w:val="both"/>
      </w:pPr>
      <w:r>
        <w:t xml:space="preserve">Ces différentes structures ont la compétence de décider de l’attribution des ½ emplois ainsi globalisés (voir également le </w:t>
      </w:r>
      <w:hyperlink w:anchor="chapitre3_5" w:history="1">
        <w:r>
          <w:rPr>
            <w:rStyle w:val="Lienhypertexte"/>
            <w:color w:val="auto"/>
          </w:rPr>
          <w:t>chapitre 3.5.</w:t>
        </w:r>
      </w:hyperlink>
      <w:r>
        <w:t>).</w:t>
      </w:r>
    </w:p>
    <w:p>
      <w:pPr>
        <w:jc w:val="both"/>
        <w:rPr>
          <w:szCs w:val="22"/>
        </w:rPr>
      </w:pPr>
    </w:p>
    <w:p>
      <w:pPr>
        <w:pStyle w:val="Corpsdetexte"/>
        <w:rPr>
          <w:rFonts w:cs="Times New Roman"/>
          <w:spacing w:val="0"/>
        </w:rPr>
      </w:pPr>
      <w:r>
        <w:rPr>
          <w:rFonts w:cs="Times New Roman"/>
          <w:spacing w:val="0"/>
        </w:rPr>
        <w:t xml:space="preserve">L’ensemble des implantations bénéficiaires de l’encadrement différencié de la zone pour l’enseignement de </w:t>
      </w:r>
      <w:smartTag w:uri="urn:schemas-microsoft-com:office:smarttags" w:element="PersonName">
        <w:smartTagPr>
          <w:attr w:name="ProductID" w:val="la F￩d￩ration Wallonie-Bruxelles"/>
        </w:smartTagPr>
        <w:r>
          <w:rPr>
            <w:rFonts w:cs="Times New Roman"/>
            <w:spacing w:val="0"/>
          </w:rPr>
          <w:t>la Fédération Wallonie-Bruxelles</w:t>
        </w:r>
      </w:smartTag>
      <w:r>
        <w:rPr>
          <w:rFonts w:cs="Times New Roman"/>
          <w:spacing w:val="0"/>
        </w:rPr>
        <w:t xml:space="preserve">, du Pouvoir organisateur pour l’enseignement officiel subventionné ou de l’entité pour l’enseignement libre subventionné, selon le cas, doit recevoir un nombre de demis emplois générés au 30 septembre au moins équivalent à celui que constitue l’ensemble des demi-emplois de ces implantations. </w:t>
      </w:r>
    </w:p>
    <w:p>
      <w:pPr>
        <w:jc w:val="both"/>
        <w:rPr>
          <w:spacing w:val="-4"/>
          <w:szCs w:val="22"/>
        </w:rPr>
      </w:pPr>
    </w:p>
    <w:p>
      <w:pPr>
        <w:tabs>
          <w:tab w:val="left" w:pos="283"/>
          <w:tab w:val="left" w:pos="567"/>
          <w:tab w:val="left" w:pos="850"/>
          <w:tab w:val="left" w:pos="1134"/>
          <w:tab w:val="left" w:pos="1417"/>
          <w:tab w:val="left" w:pos="1701"/>
        </w:tabs>
        <w:autoSpaceDE w:val="0"/>
        <w:autoSpaceDN w:val="0"/>
        <w:adjustRightInd w:val="0"/>
        <w:jc w:val="both"/>
      </w:pPr>
      <w:r>
        <w:t xml:space="preserve">Par dérogation à ce qui précède, le Gouvernement peut, à titre exceptionnel, autoriser des écoles ou implantations qui ne bénéficient pas de discriminations positives à recevoir des ½ emplois générés par les écoles ou implantations bénéficiaires de l’encadrement différencié au sein de la zone, du Pouvoir organisateur ou de l’entité. La demande de dérogation motivée sera introduite par la zone, le Pouvoir organisateur ou l’entité, dans le respect des procédures définies à l’article 34 alinéas 3 et 4 du décret-cadre, auprès de </w:t>
      </w:r>
      <w:smartTag w:uri="urn:schemas-microsoft-com:office:smarttags" w:element="PersonName">
        <w:smartTagPr>
          <w:attr w:name="ProductID" w:val="la Direction"/>
        </w:smartTagPr>
        <w:r>
          <w:t>la Direction</w:t>
        </w:r>
      </w:smartTag>
      <w:r>
        <w:t xml:space="preserve"> générale de l'Enseignement obligatoire, Bureau 2F211, rue A. Lavallée, 1 – 1080 Bruxelles.</w:t>
      </w:r>
    </w:p>
    <w:p>
      <w:pPr>
        <w:jc w:val="both"/>
        <w:rPr>
          <w:sz w:val="20"/>
        </w:rPr>
      </w:pPr>
    </w:p>
    <w:p>
      <w:pPr>
        <w:pStyle w:val="Titre3"/>
      </w:pPr>
      <w:bookmarkStart w:id="1183" w:name="_3.3.4._Augmentations_de"/>
      <w:bookmarkStart w:id="1184" w:name="_3.4.4._Augmentations_de"/>
      <w:bookmarkStart w:id="1185" w:name="_Toc295932045"/>
      <w:bookmarkStart w:id="1186" w:name="_Toc295913775"/>
      <w:bookmarkStart w:id="1187" w:name="_Toc423420080"/>
      <w:bookmarkStart w:id="1188" w:name="_Toc450645287"/>
      <w:bookmarkStart w:id="1189" w:name="_Toc453942523"/>
      <w:bookmarkStart w:id="1190" w:name="_Toc454888140"/>
      <w:bookmarkStart w:id="1191" w:name="_Toc486241801"/>
      <w:bookmarkEnd w:id="1183"/>
      <w:bookmarkEnd w:id="1184"/>
      <w:r>
        <w:t>3.4.4.</w:t>
      </w:r>
      <w:r>
        <w:tab/>
        <w:t>Augmentations de cadre en cours d'année scolaire</w:t>
      </w:r>
      <w:bookmarkEnd w:id="1185"/>
      <w:bookmarkEnd w:id="1186"/>
      <w:bookmarkEnd w:id="1187"/>
      <w:bookmarkEnd w:id="1188"/>
      <w:bookmarkEnd w:id="1189"/>
      <w:bookmarkEnd w:id="1190"/>
      <w:bookmarkEnd w:id="1191"/>
    </w:p>
    <w:p>
      <w:pPr>
        <w:jc w:val="both"/>
        <w:rPr>
          <w:sz w:val="16"/>
          <w:szCs w:val="16"/>
        </w:rPr>
      </w:pPr>
    </w:p>
    <w:p>
      <w:pPr>
        <w:spacing w:after="120"/>
        <w:jc w:val="both"/>
      </w:pPr>
      <w:r>
        <w:rPr>
          <w:u w:val="single"/>
        </w:rPr>
        <w:t>4 augmentations de cadre</w:t>
      </w:r>
      <w:r>
        <w:t xml:space="preserve"> sont prévues au cours de l’année scolaire 2017-2018 :</w:t>
      </w:r>
    </w:p>
    <w:p>
      <w:pPr>
        <w:numPr>
          <w:ilvl w:val="0"/>
          <w:numId w:val="37"/>
        </w:numPr>
        <w:ind w:left="719"/>
        <w:jc w:val="both"/>
      </w:pPr>
      <w:r>
        <w:rPr>
          <w:u w:val="single"/>
        </w:rPr>
        <w:t>le 11</w:t>
      </w:r>
      <w:r>
        <w:rPr>
          <w:u w:val="single"/>
          <w:vertAlign w:val="superscript"/>
        </w:rPr>
        <w:t>e</w:t>
      </w:r>
      <w:r>
        <w:rPr>
          <w:u w:val="single"/>
        </w:rPr>
        <w:t xml:space="preserve"> jour de classe après les congés d’automne, soit le </w:t>
      </w:r>
      <w:r>
        <w:rPr>
          <w:b/>
          <w:u w:val="single"/>
        </w:rPr>
        <w:t xml:space="preserve">lundi 20/11/2017 </w:t>
      </w:r>
      <w:r>
        <w:t>;</w:t>
      </w:r>
    </w:p>
    <w:p>
      <w:pPr>
        <w:ind w:left="707"/>
        <w:jc w:val="both"/>
      </w:pPr>
      <w:r>
        <w:t>Le comptage des élèves est effectué le vendredi 17/11/2017 à la dernière heure de cours.</w:t>
      </w:r>
    </w:p>
    <w:p>
      <w:pPr>
        <w:ind w:left="707"/>
        <w:jc w:val="both"/>
        <w:rPr>
          <w:spacing w:val="-4"/>
          <w:szCs w:val="22"/>
        </w:rPr>
      </w:pPr>
      <w:r>
        <w:rPr>
          <w:spacing w:val="-4"/>
          <w:szCs w:val="22"/>
        </w:rPr>
        <w:t xml:space="preserve">Sont pris en compte les élèves régulièrement inscrits âgés d’au moins 2 ans et 6 mois qui ont fréquenté l’école ou l’implantation à comptage séparé en y étant présent pendant 8 ½ jours, répartis sur 8 journées de présence effective (une journée complète de fréquentation compte donc pour un seul ½ jour) entre le 01/10/2017 et le </w:t>
      </w:r>
      <w:r>
        <w:t>17/11/2017</w:t>
      </w:r>
      <w:r>
        <w:rPr>
          <w:spacing w:val="-4"/>
          <w:szCs w:val="22"/>
        </w:rPr>
        <w:t>, et pour autant que leur inscription n’ait pas été retirée entre ces 2 dates.</w:t>
      </w:r>
    </w:p>
    <w:p>
      <w:pPr>
        <w:ind w:left="707"/>
        <w:jc w:val="both"/>
      </w:pPr>
    </w:p>
    <w:p>
      <w:pPr>
        <w:numPr>
          <w:ilvl w:val="0"/>
          <w:numId w:val="37"/>
        </w:numPr>
        <w:ind w:left="719"/>
        <w:jc w:val="both"/>
      </w:pPr>
      <w:r>
        <w:rPr>
          <w:u w:val="single"/>
        </w:rPr>
        <w:t>le 11</w:t>
      </w:r>
      <w:r>
        <w:rPr>
          <w:u w:val="single"/>
          <w:vertAlign w:val="superscript"/>
        </w:rPr>
        <w:t>e</w:t>
      </w:r>
      <w:r>
        <w:rPr>
          <w:u w:val="single"/>
        </w:rPr>
        <w:t xml:space="preserve"> jour de classe après les vacances d’hiver, soit le </w:t>
      </w:r>
      <w:r>
        <w:rPr>
          <w:b/>
          <w:u w:val="single"/>
        </w:rPr>
        <w:t>lundi 22/01/2018</w:t>
      </w:r>
      <w:r>
        <w:t>;</w:t>
      </w:r>
    </w:p>
    <w:p>
      <w:pPr>
        <w:ind w:left="707"/>
        <w:jc w:val="both"/>
      </w:pPr>
      <w:r>
        <w:t>Le comptage des élèves est effectué le vendredi 19/01/2018 à la dernière heure de cours.</w:t>
      </w:r>
    </w:p>
    <w:p>
      <w:pPr>
        <w:ind w:left="707"/>
        <w:jc w:val="both"/>
        <w:rPr>
          <w:spacing w:val="-4"/>
          <w:szCs w:val="22"/>
        </w:rPr>
      </w:pPr>
      <w:r>
        <w:rPr>
          <w:spacing w:val="-4"/>
          <w:szCs w:val="22"/>
        </w:rPr>
        <w:t>Sont pris en compte les élèves régulièrement inscrits âgés d’au moins 2 ans et 6 mois qui ont fréquenté l’école ou l’implantation à comptage séparé en y étant présent pendant 8 ½ jours, répartis sur 8 journées de présence effective (une journée complète de fréquentation compte donc pour un seul ½ jour) entre le 20/11/2017 et le 19/01/2018, et pour autant que leur inscription n’ait pas été retirée entre ces 2 dates.</w:t>
      </w:r>
    </w:p>
    <w:p>
      <w:pPr>
        <w:ind w:left="707"/>
        <w:jc w:val="both"/>
      </w:pPr>
    </w:p>
    <w:p>
      <w:pPr>
        <w:pStyle w:val="Corpsdetexte"/>
        <w:ind w:left="707"/>
        <w:rPr>
          <w:szCs w:val="22"/>
        </w:rPr>
      </w:pPr>
      <w:r>
        <w:rPr>
          <w:rFonts w:cs="Times New Roman"/>
          <w:spacing w:val="0"/>
        </w:rPr>
        <w:t xml:space="preserve">Remarque : pour le comptage du 15 janvier, les élèves de maternel doivent compter au moins </w:t>
      </w:r>
      <w:r>
        <w:rPr>
          <w:szCs w:val="22"/>
        </w:rPr>
        <w:t xml:space="preserve">8 demi-jours de présence effective répartis sur 8 jours depuis leur date d’inscription. </w:t>
      </w:r>
    </w:p>
    <w:p>
      <w:pPr>
        <w:jc w:val="both"/>
      </w:pPr>
    </w:p>
    <w:p>
      <w:pPr>
        <w:numPr>
          <w:ilvl w:val="0"/>
          <w:numId w:val="37"/>
        </w:numPr>
        <w:ind w:left="719"/>
        <w:jc w:val="both"/>
      </w:pPr>
      <w:r>
        <w:rPr>
          <w:u w:val="single"/>
        </w:rPr>
        <w:t>le 11</w:t>
      </w:r>
      <w:r>
        <w:rPr>
          <w:u w:val="single"/>
          <w:vertAlign w:val="superscript"/>
        </w:rPr>
        <w:t>e</w:t>
      </w:r>
      <w:r>
        <w:rPr>
          <w:u w:val="single"/>
        </w:rPr>
        <w:t xml:space="preserve"> jour de classe après les congés de détente, soit le </w:t>
      </w:r>
      <w:r>
        <w:rPr>
          <w:b/>
          <w:u w:val="single"/>
        </w:rPr>
        <w:t>lundi 05/03/2018</w:t>
      </w:r>
      <w:r>
        <w:t>;</w:t>
      </w:r>
    </w:p>
    <w:p>
      <w:pPr>
        <w:ind w:left="707"/>
        <w:jc w:val="both"/>
      </w:pPr>
      <w:r>
        <w:t>Le comptage des élèves est effectué le vendredi 02/03/2018 à la dernière heure de cours.</w:t>
      </w:r>
    </w:p>
    <w:p>
      <w:pPr>
        <w:ind w:left="707"/>
        <w:jc w:val="both"/>
        <w:rPr>
          <w:spacing w:val="-4"/>
          <w:szCs w:val="22"/>
        </w:rPr>
      </w:pPr>
      <w:r>
        <w:rPr>
          <w:spacing w:val="-4"/>
          <w:szCs w:val="22"/>
        </w:rPr>
        <w:t>Sont pris en compte les élèves régulièrement inscrits âgés d’au moins 2 ans et 6 mois qui ont fréquenté l’école ou l’implantation à comptage séparé en y étant présent pendant 8 ½ jours, répartis sur 8 journées de présence effective (une journée complète de fréquentation compte donc pour un seul ½ jour) entre le 22/01/2018 et le 02/03/2018, et pour autant que leur inscription n’ait pas été retirée entre ces 2 dates.</w:t>
      </w:r>
    </w:p>
    <w:p>
      <w:pPr>
        <w:ind w:left="707"/>
        <w:jc w:val="both"/>
      </w:pPr>
    </w:p>
    <w:p>
      <w:pPr>
        <w:numPr>
          <w:ilvl w:val="0"/>
          <w:numId w:val="37"/>
        </w:numPr>
        <w:ind w:left="719"/>
        <w:jc w:val="both"/>
        <w:rPr>
          <w:u w:val="single"/>
        </w:rPr>
      </w:pPr>
      <w:r>
        <w:rPr>
          <w:u w:val="single"/>
        </w:rPr>
        <w:t xml:space="preserve">le 11e jour de classe qui suit les vacances de printemps, soit le </w:t>
      </w:r>
      <w:r>
        <w:rPr>
          <w:b/>
          <w:u w:val="single"/>
        </w:rPr>
        <w:t>lundi 30/04/2018</w:t>
      </w:r>
      <w:r>
        <w:rPr>
          <w:u w:val="single"/>
        </w:rPr>
        <w:t>;</w:t>
      </w:r>
    </w:p>
    <w:p>
      <w:pPr>
        <w:ind w:left="707"/>
        <w:jc w:val="both"/>
      </w:pPr>
      <w:r>
        <w:t>Le comptage des élèves est effectué le vendredi 27/04/2018 à la dernière heure de cours.</w:t>
      </w:r>
    </w:p>
    <w:p>
      <w:pPr>
        <w:ind w:left="707"/>
        <w:jc w:val="both"/>
        <w:rPr>
          <w:spacing w:val="-4"/>
          <w:szCs w:val="22"/>
        </w:rPr>
      </w:pPr>
      <w:r>
        <w:rPr>
          <w:spacing w:val="-4"/>
          <w:szCs w:val="22"/>
        </w:rPr>
        <w:t>Sont pris en compte les élèves régulièrement inscrits âgés d’au moins 2 ans et 6 mois qui ont fréquenté l’école ou l’implantation à comptage séparé en y étant présent pendant 8 ½ jours, répartis sur 8 journées de présence effective (une journée complète de fréquentation compte donc pour un seul ½ jour) entre le 05/03/2018 et le 27/04/2018, et pour autant que leur inscription n’ait pas été retirée entre ces 2 dates.</w:t>
      </w:r>
    </w:p>
    <w:p>
      <w:pPr>
        <w:spacing w:before="120"/>
        <w:jc w:val="both"/>
      </w:pPr>
      <w:r>
        <w:t>Les 8 journées de présence effective ne doivent pas nécessairement être consécutives.</w:t>
      </w:r>
    </w:p>
    <w:p>
      <w:pPr>
        <w:jc w:val="both"/>
      </w:pPr>
    </w:p>
    <w:p>
      <w:pPr>
        <w:jc w:val="both"/>
      </w:pPr>
      <w:r>
        <w:t>Les emplois supplémentaires obtenus, à chaque augmentation de cadre maternel, sont maintenus jusqu’au 30 juin 2018.</w:t>
      </w:r>
    </w:p>
    <w:p>
      <w:pPr>
        <w:jc w:val="both"/>
        <w:rPr>
          <w:sz w:val="8"/>
          <w:szCs w:val="8"/>
        </w:rPr>
      </w:pPr>
    </w:p>
    <w:p>
      <w:pPr>
        <w:jc w:val="both"/>
        <w:rPr>
          <w:spacing w:val="-4"/>
        </w:rPr>
      </w:pPr>
      <w:r>
        <w:rPr>
          <w:spacing w:val="-4"/>
        </w:rPr>
        <w:t xml:space="preserve">La suspension des cours dans le cadre de journées de formation en cours de carrière obligatoire ne peut avoir d'implication sur le comptage: la journée de formation est prise en compte dans les 8 demi-jours. </w:t>
      </w:r>
    </w:p>
    <w:p>
      <w:pPr>
        <w:jc w:val="both"/>
      </w:pPr>
      <w:r>
        <w:t xml:space="preserve">Les coefficients 1,5 (voir </w:t>
      </w:r>
      <w:hyperlink w:anchor="_3.4.1._Nombre_d'emplois" w:history="1">
        <w:r>
          <w:rPr>
            <w:rStyle w:val="Lienhypertexte"/>
            <w:color w:val="auto"/>
          </w:rPr>
          <w:t>section 3.4.1.</w:t>
        </w:r>
      </w:hyperlink>
      <w:r>
        <w:t>) sont applicables.</w:t>
      </w:r>
    </w:p>
    <w:p>
      <w:pPr>
        <w:jc w:val="both"/>
        <w:rPr>
          <w:sz w:val="8"/>
        </w:rPr>
      </w:pPr>
    </w:p>
    <w:p>
      <w:pPr>
        <w:jc w:val="both"/>
      </w:pPr>
      <w:r>
        <w:t xml:space="preserve">Le calcul doit se faire conformément au </w:t>
      </w:r>
      <w:hyperlink w:anchor="Tableau3_4_1" w:history="1">
        <w:r>
          <w:rPr>
            <w:rStyle w:val="Lienhypertexte"/>
            <w:color w:val="auto"/>
          </w:rPr>
          <w:t>tableau 3.4.1.</w:t>
        </w:r>
      </w:hyperlink>
      <w:r>
        <w:t>, suivant la même règle que pour le calcul des emplois à partir du 1</w:t>
      </w:r>
      <w:r>
        <w:rPr>
          <w:vertAlign w:val="superscript"/>
        </w:rPr>
        <w:t>er</w:t>
      </w:r>
      <w:r>
        <w:t xml:space="preserve"> octobre, c’est-à-dire:</w:t>
      </w:r>
    </w:p>
    <w:p>
      <w:pPr>
        <w:jc w:val="both"/>
        <w:rPr>
          <w:sz w:val="8"/>
          <w:szCs w:val="8"/>
        </w:rPr>
      </w:pPr>
    </w:p>
    <w:p>
      <w:pPr>
        <w:ind w:left="359" w:hanging="360"/>
        <w:jc w:val="both"/>
      </w:pPr>
      <w:r>
        <w:t>1.</w:t>
      </w:r>
      <w:r>
        <w:tab/>
        <w:t>pour obtenir le nouveau cadre, déterminer selon le cas:</w:t>
      </w:r>
    </w:p>
    <w:p>
      <w:pPr>
        <w:numPr>
          <w:ilvl w:val="1"/>
          <w:numId w:val="38"/>
        </w:numPr>
        <w:tabs>
          <w:tab w:val="clear" w:pos="1440"/>
          <w:tab w:val="num" w:pos="720"/>
        </w:tabs>
        <w:ind w:left="719"/>
        <w:jc w:val="both"/>
      </w:pPr>
      <w:r>
        <w:t>le nombre d’emplois correspondant au nombre d’élèves régulièrement inscrits dans l’implantation à comptage séparé concernée;</w:t>
      </w:r>
    </w:p>
    <w:p>
      <w:pPr>
        <w:numPr>
          <w:ilvl w:val="1"/>
          <w:numId w:val="38"/>
        </w:numPr>
        <w:tabs>
          <w:tab w:val="clear" w:pos="1440"/>
          <w:tab w:val="num" w:pos="720"/>
        </w:tabs>
        <w:ind w:left="719"/>
        <w:jc w:val="both"/>
      </w:pPr>
      <w:r>
        <w:t>le nombre d’emplois correspondant au nombre d’élèves régulièrement inscrits dans les implantations à comptage globalisé concernées;</w:t>
      </w:r>
    </w:p>
    <w:p>
      <w:pPr>
        <w:spacing w:before="120"/>
        <w:ind w:left="356" w:hanging="357"/>
        <w:jc w:val="both"/>
      </w:pPr>
      <w:r>
        <w:t xml:space="preserve">2. </w:t>
      </w:r>
      <w:r>
        <w:tab/>
        <w:t>si le nouveau cadre est supérieur au cadre précédent, des emplois supplémentaires à temps plein ou à mi-temps peuvent être créés, suivant le cas le 11</w:t>
      </w:r>
      <w:r>
        <w:rPr>
          <w:vertAlign w:val="superscript"/>
        </w:rPr>
        <w:t>e</w:t>
      </w:r>
      <w:r>
        <w:t xml:space="preserve"> jour de classe après les vacances d’automne, d’hiver, de détente ou de printemps.</w:t>
      </w:r>
    </w:p>
    <w:p>
      <w:pPr>
        <w:jc w:val="both"/>
        <w:rPr>
          <w:sz w:val="8"/>
          <w:szCs w:val="8"/>
        </w:rPr>
      </w:pPr>
    </w:p>
    <w:p>
      <w:pPr>
        <w:jc w:val="both"/>
        <w:rPr>
          <w:spacing w:val="-4"/>
        </w:rPr>
      </w:pPr>
      <w:r>
        <w:rPr>
          <w:spacing w:val="-4"/>
        </w:rPr>
        <w:t>Les ½ emplois créés en cours d’année scolaire ne peuvent pas être globalisés au sein de l’établissement, de la commune ou de l’entité suivant le réseau. Ils sont utilisés là où ils sont générés.</w:t>
      </w:r>
    </w:p>
    <w:p>
      <w:pPr>
        <w:jc w:val="both"/>
        <w:rPr>
          <w:sz w:val="4"/>
          <w:szCs w:val="4"/>
        </w:rPr>
      </w:pPr>
    </w:p>
    <w:p>
      <w:pPr>
        <w:jc w:val="both"/>
        <w:rPr>
          <w:spacing w:val="-4"/>
        </w:rPr>
      </w:pPr>
      <w:r>
        <w:rPr>
          <w:spacing w:val="-4"/>
        </w:rPr>
        <w:t>Le complément de direction n'est pas modifié à l’occasion de ces augmentations de cadre.</w:t>
      </w:r>
    </w:p>
    <w:p>
      <w:pPr>
        <w:jc w:val="both"/>
        <w:rPr>
          <w:sz w:val="4"/>
          <w:szCs w:val="4"/>
        </w:rPr>
      </w:pPr>
    </w:p>
    <w:p>
      <w:pPr>
        <w:jc w:val="both"/>
      </w:pPr>
      <w:r>
        <w:t xml:space="preserve">La demande d'augmentation de cadre sera introduite auprès de </w:t>
      </w:r>
      <w:smartTag w:uri="urn:schemas-microsoft-com:office:smarttags" w:element="PersonName">
        <w:smartTagPr>
          <w:attr w:name="ProductID" w:val="la Direction"/>
        </w:smartTagPr>
        <w:r>
          <w:t>la Direction</w:t>
        </w:r>
      </w:smartTag>
      <w:r>
        <w:t xml:space="preserve"> générale de l’Enseignement obligatoire dans un délai maximum de 10 jours après la date de comptage, par encodage direct dans l'application PRIMVER. </w:t>
      </w:r>
    </w:p>
    <w:p>
      <w:pPr>
        <w:jc w:val="both"/>
        <w:rPr>
          <w:sz w:val="20"/>
          <w:szCs w:val="20"/>
        </w:rPr>
      </w:pPr>
    </w:p>
    <w:p>
      <w:pPr>
        <w:jc w:val="both"/>
        <w:rPr>
          <w:sz w:val="20"/>
          <w:szCs w:val="20"/>
        </w:rPr>
      </w:pPr>
    </w:p>
    <w:p>
      <w:pPr>
        <w:pStyle w:val="Titre3"/>
      </w:pPr>
      <w:bookmarkStart w:id="1192" w:name="_3.4.5._Périodes_de"/>
      <w:bookmarkStart w:id="1193" w:name="Section3_4_5"/>
      <w:bookmarkStart w:id="1194" w:name="_Toc295932046"/>
      <w:bookmarkStart w:id="1195" w:name="_Toc295913776"/>
      <w:bookmarkStart w:id="1196" w:name="_Toc423420081"/>
      <w:bookmarkStart w:id="1197" w:name="_Toc450645288"/>
      <w:bookmarkStart w:id="1198" w:name="_Toc453942524"/>
      <w:bookmarkStart w:id="1199" w:name="_Toc454888141"/>
      <w:bookmarkStart w:id="1200" w:name="_Toc486241802"/>
      <w:bookmarkEnd w:id="1192"/>
      <w:r>
        <w:t>3.4.5</w:t>
      </w:r>
      <w:bookmarkEnd w:id="1193"/>
      <w:r>
        <w:t>.</w:t>
      </w:r>
      <w:r>
        <w:tab/>
        <w:t>Périodes de psychomotricité</w:t>
      </w:r>
      <w:bookmarkEnd w:id="1194"/>
      <w:bookmarkEnd w:id="1195"/>
      <w:bookmarkEnd w:id="1196"/>
      <w:bookmarkEnd w:id="1197"/>
      <w:bookmarkEnd w:id="1198"/>
      <w:bookmarkEnd w:id="1199"/>
      <w:bookmarkEnd w:id="1200"/>
    </w:p>
    <w:p>
      <w:pPr>
        <w:jc w:val="both"/>
        <w:rPr>
          <w:sz w:val="14"/>
          <w:szCs w:val="14"/>
          <w:highlight w:val="red"/>
        </w:rPr>
      </w:pPr>
    </w:p>
    <w:p>
      <w:pPr>
        <w:jc w:val="both"/>
        <w:rPr>
          <w:sz w:val="14"/>
          <w:szCs w:val="14"/>
          <w:highlight w:val="red"/>
        </w:rPr>
      </w:pPr>
    </w:p>
    <w:p>
      <w:pPr>
        <w:autoSpaceDE w:val="0"/>
        <w:autoSpaceDN w:val="0"/>
        <w:adjustRightInd w:val="0"/>
        <w:jc w:val="both"/>
      </w:pPr>
      <w:r>
        <w:t xml:space="preserve">L'organisation d'activités de psychomotricité est obligatoire dans l’enseignement maternel. Un encadrement spécifique est octroyé à cet effet. </w:t>
      </w:r>
      <w:r>
        <w:rPr>
          <w:u w:val="single"/>
        </w:rPr>
        <w:t>Chaque implantation maternelle</w:t>
      </w:r>
      <w:r>
        <w:t xml:space="preserve"> bénéficie de 2 périodes de psychomotricité par emploi entier d’instituteur maternel.</w:t>
      </w:r>
    </w:p>
    <w:p>
      <w:pPr>
        <w:autoSpaceDE w:val="0"/>
        <w:autoSpaceDN w:val="0"/>
        <w:adjustRightInd w:val="0"/>
        <w:jc w:val="both"/>
      </w:pPr>
    </w:p>
    <w:p>
      <w:pPr>
        <w:autoSpaceDE w:val="0"/>
        <w:autoSpaceDN w:val="0"/>
        <w:adjustRightInd w:val="0"/>
        <w:jc w:val="both"/>
      </w:pPr>
      <w:r>
        <w:rPr>
          <w:u w:val="single"/>
        </w:rPr>
        <w:t>Exemples</w:t>
      </w:r>
      <w:r>
        <w:t> :</w:t>
      </w:r>
    </w:p>
    <w:p>
      <w:pPr>
        <w:autoSpaceDE w:val="0"/>
        <w:autoSpaceDN w:val="0"/>
        <w:adjustRightInd w:val="0"/>
        <w:jc w:val="both"/>
      </w:pPr>
      <w:r>
        <w:t xml:space="preserve">5 emplois d’instituteur maternel </w:t>
      </w:r>
      <w:r>
        <w:rPr>
          <w:rFonts w:cs="Arial"/>
        </w:rPr>
        <w:t>→</w:t>
      </w:r>
      <w:r>
        <w:t xml:space="preserve"> 10 périodes de psychomotricité</w:t>
      </w:r>
    </w:p>
    <w:p>
      <w:pPr>
        <w:autoSpaceDE w:val="0"/>
        <w:autoSpaceDN w:val="0"/>
        <w:adjustRightInd w:val="0"/>
        <w:jc w:val="both"/>
      </w:pPr>
      <w:r>
        <w:t xml:space="preserve">5,5 emplois d’instituteur maternel </w:t>
      </w:r>
      <w:r>
        <w:rPr>
          <w:rFonts w:cs="Arial"/>
        </w:rPr>
        <w:t>→</w:t>
      </w:r>
      <w:r>
        <w:t>10 périodes de psychomotricité</w:t>
      </w:r>
    </w:p>
    <w:p>
      <w:pPr>
        <w:autoSpaceDE w:val="0"/>
        <w:autoSpaceDN w:val="0"/>
        <w:adjustRightInd w:val="0"/>
        <w:jc w:val="both"/>
      </w:pPr>
    </w:p>
    <w:p>
      <w:pPr>
        <w:autoSpaceDE w:val="0"/>
        <w:autoSpaceDN w:val="0"/>
        <w:adjustRightInd w:val="0"/>
        <w:jc w:val="both"/>
      </w:pPr>
      <w:r>
        <w:t>Les périodes attribuées sont :</w:t>
      </w:r>
    </w:p>
    <w:p>
      <w:pPr>
        <w:numPr>
          <w:ilvl w:val="0"/>
          <w:numId w:val="39"/>
        </w:numPr>
        <w:tabs>
          <w:tab w:val="num" w:pos="900"/>
        </w:tabs>
        <w:autoSpaceDE w:val="0"/>
        <w:autoSpaceDN w:val="0"/>
        <w:adjustRightInd w:val="0"/>
        <w:ind w:left="896" w:hanging="357"/>
        <w:jc w:val="both"/>
      </w:pPr>
      <w:r>
        <w:t>soit organiques</w:t>
      </w:r>
    </w:p>
    <w:p>
      <w:pPr>
        <w:numPr>
          <w:ilvl w:val="0"/>
          <w:numId w:val="39"/>
        </w:numPr>
        <w:tabs>
          <w:tab w:val="num" w:pos="900"/>
        </w:tabs>
        <w:autoSpaceDE w:val="0"/>
        <w:autoSpaceDN w:val="0"/>
        <w:adjustRightInd w:val="0"/>
        <w:ind w:left="896" w:hanging="357"/>
        <w:jc w:val="both"/>
      </w:pPr>
      <w:r>
        <w:t xml:space="preserve">soit ACS/APE, assurées par une personne sous contrat APE (région wallonne) ou ACS (région bruxelloise). </w:t>
      </w:r>
    </w:p>
    <w:p>
      <w:pPr>
        <w:autoSpaceDE w:val="0"/>
        <w:autoSpaceDN w:val="0"/>
        <w:adjustRightInd w:val="0"/>
        <w:jc w:val="both"/>
      </w:pPr>
    </w:p>
    <w:p>
      <w:pPr>
        <w:autoSpaceDE w:val="0"/>
        <w:autoSpaceDN w:val="0"/>
        <w:adjustRightInd w:val="0"/>
        <w:jc w:val="both"/>
      </w:pPr>
      <w:r>
        <w:t>Les activités de psychomotricité sont assurées par un Maître de psychomotricité.</w:t>
      </w:r>
    </w:p>
    <w:p>
      <w:pPr>
        <w:autoSpaceDE w:val="0"/>
        <w:autoSpaceDN w:val="0"/>
        <w:adjustRightInd w:val="0"/>
        <w:jc w:val="both"/>
        <w:rPr>
          <w:szCs w:val="22"/>
        </w:rPr>
      </w:pPr>
    </w:p>
    <w:p>
      <w:pPr>
        <w:autoSpaceDE w:val="0"/>
        <w:autoSpaceDN w:val="0"/>
        <w:adjustRightInd w:val="0"/>
        <w:jc w:val="both"/>
      </w:pPr>
      <w:r>
        <w:t xml:space="preserve">La répartition des postes ACS/APE décidée en commissions zonales d’affectation des emplois en 2016-2017 est reconduite pour l’année scolaire 2017-2018. </w:t>
      </w:r>
    </w:p>
    <w:p>
      <w:pPr>
        <w:autoSpaceDE w:val="0"/>
        <w:autoSpaceDN w:val="0"/>
        <w:adjustRightInd w:val="0"/>
        <w:jc w:val="both"/>
      </w:pPr>
    </w:p>
    <w:p>
      <w:pPr>
        <w:autoSpaceDE w:val="0"/>
        <w:autoSpaceDN w:val="0"/>
        <w:adjustRightInd w:val="0"/>
        <w:jc w:val="both"/>
      </w:pPr>
      <w:r>
        <w:t xml:space="preserve">Le nombre de périodes organiques est obtenu en soustrayant le nombre de périodes ACS/APE attribuées par les commissions zonales, du nombre total de périodes de psychomotricité générées par les emplois </w:t>
      </w:r>
      <w:r>
        <w:rPr>
          <w:u w:val="single"/>
        </w:rPr>
        <w:t>entiers</w:t>
      </w:r>
      <w:r>
        <w:t xml:space="preserve"> d’instituteur maternel.</w:t>
      </w:r>
    </w:p>
    <w:p>
      <w:pPr>
        <w:autoSpaceDE w:val="0"/>
        <w:autoSpaceDN w:val="0"/>
        <w:adjustRightInd w:val="0"/>
        <w:jc w:val="both"/>
      </w:pPr>
    </w:p>
    <w:p>
      <w:pPr>
        <w:autoSpaceDE w:val="0"/>
        <w:autoSpaceDN w:val="0"/>
        <w:adjustRightInd w:val="0"/>
        <w:jc w:val="both"/>
      </w:pPr>
      <w:r>
        <w:rPr>
          <w:u w:val="single"/>
        </w:rPr>
        <w:t>Exemple</w:t>
      </w:r>
      <w:r>
        <w:t xml:space="preserve"> : </w:t>
      </w:r>
    </w:p>
    <w:p>
      <w:pPr>
        <w:autoSpaceDE w:val="0"/>
        <w:autoSpaceDN w:val="0"/>
        <w:adjustRightInd w:val="0"/>
        <w:jc w:val="both"/>
      </w:pPr>
      <w:r>
        <w:t>Au 1</w:t>
      </w:r>
      <w:r>
        <w:rPr>
          <w:vertAlign w:val="superscript"/>
        </w:rPr>
        <w:t>er</w:t>
      </w:r>
      <w:r>
        <w:t xml:space="preserve"> septembre 2017, 8,5 emplois d’instituteur maternel sont générés dans une implantation maternelle sur base de sa population scolaire du 30 septembre 2016. Cette implantation compte un total de 16 périodes de psychomotricité. La commission zonale ayant attribué 6 périodes de psychomotricité ACS/APE, le nombre de périodes de psychomotricité organiques calculé est égal à 10 (soit 16-6).</w:t>
      </w:r>
    </w:p>
    <w:p>
      <w:pPr>
        <w:autoSpaceDE w:val="0"/>
        <w:autoSpaceDN w:val="0"/>
        <w:adjustRightInd w:val="0"/>
        <w:jc w:val="both"/>
      </w:pPr>
    </w:p>
    <w:p>
      <w:pPr>
        <w:autoSpaceDE w:val="0"/>
        <w:autoSpaceDN w:val="0"/>
        <w:adjustRightInd w:val="0"/>
        <w:jc w:val="both"/>
      </w:pPr>
      <w:r>
        <w:t>Des ajustements de périodes organiques seront automatiquement effectués au 1</w:t>
      </w:r>
      <w:r>
        <w:rPr>
          <w:vertAlign w:val="superscript"/>
        </w:rPr>
        <w:t>er</w:t>
      </w:r>
      <w:r>
        <w:t xml:space="preserve"> octobre 2017 (à la hausse ou à la baisse) et aux 4 dates d’augmentation de cadre maternel (uniquement à la hausse), afin d’ajuster le nombre de périodes de psychomotricité à l’évolution du nombre d’emplois entiers d’instituteur. </w:t>
      </w:r>
    </w:p>
    <w:p>
      <w:pPr>
        <w:autoSpaceDE w:val="0"/>
        <w:autoSpaceDN w:val="0"/>
        <w:adjustRightInd w:val="0"/>
        <w:jc w:val="both"/>
        <w:rPr>
          <w:highlight w:val="yellow"/>
        </w:rPr>
      </w:pPr>
    </w:p>
    <w:p>
      <w:pPr>
        <w:autoSpaceDE w:val="0"/>
        <w:autoSpaceDN w:val="0"/>
        <w:adjustRightInd w:val="0"/>
        <w:jc w:val="both"/>
        <w:rPr>
          <w:highlight w:val="yellow"/>
        </w:rPr>
      </w:pPr>
    </w:p>
    <w:p>
      <w:pPr>
        <w:autoSpaceDE w:val="0"/>
        <w:autoSpaceDN w:val="0"/>
        <w:adjustRightInd w:val="0"/>
        <w:jc w:val="both"/>
      </w:pPr>
      <w:r>
        <w:rPr>
          <w:u w:val="single"/>
        </w:rPr>
        <w:t>Exemples :</w:t>
      </w:r>
    </w:p>
    <w:p>
      <w:pPr>
        <w:autoSpaceDE w:val="0"/>
        <w:autoSpaceDN w:val="0"/>
        <w:adjustRightInd w:val="0"/>
        <w:spacing w:before="120"/>
        <w:jc w:val="both"/>
      </w:pPr>
      <w:r>
        <w:t>Une implantation comptait, au 30 septembre 2016, 97 élèves « encadrement », soit 5 emplois du 1</w:t>
      </w:r>
      <w:r>
        <w:rPr>
          <w:vertAlign w:val="superscript"/>
        </w:rPr>
        <w:t>er</w:t>
      </w:r>
      <w:r>
        <w:t xml:space="preserve"> octobre 2016 au 30 septembre 2017. Elle reçoit donc 10 périodes de psychomotricité au 1</w:t>
      </w:r>
      <w:r>
        <w:rPr>
          <w:vertAlign w:val="superscript"/>
        </w:rPr>
        <w:t>er</w:t>
      </w:r>
      <w:r>
        <w:t xml:space="preserve"> septembre 2017.</w:t>
      </w:r>
    </w:p>
    <w:p>
      <w:pPr>
        <w:autoSpaceDE w:val="0"/>
        <w:autoSpaceDN w:val="0"/>
        <w:adjustRightInd w:val="0"/>
        <w:jc w:val="both"/>
      </w:pPr>
      <w:r>
        <w:sym w:font="Wingdings" w:char="F0E0"/>
      </w:r>
      <w:r>
        <w:t xml:space="preserve"> Si cette implantation compte 111 élèves « encadrement » (soit 5,5 emplois) au 1</w:t>
      </w:r>
      <w:r>
        <w:rPr>
          <w:vertAlign w:val="superscript"/>
        </w:rPr>
        <w:t>er</w:t>
      </w:r>
      <w:r>
        <w:t xml:space="preserve"> octobre 2017, elle reçoit toujours 10 périodes de psychomotricité à cette date.</w:t>
      </w:r>
    </w:p>
    <w:p>
      <w:pPr>
        <w:autoSpaceDE w:val="0"/>
        <w:autoSpaceDN w:val="0"/>
        <w:adjustRightInd w:val="0"/>
        <w:jc w:val="both"/>
      </w:pPr>
      <w:r>
        <w:sym w:font="Wingdings" w:char="F0E0"/>
      </w:r>
      <w:r>
        <w:t xml:space="preserve"> Si cette implantation compte 120 élèves « encadrement » (soit 6 emplois) au 1</w:t>
      </w:r>
      <w:r>
        <w:rPr>
          <w:vertAlign w:val="superscript"/>
        </w:rPr>
        <w:t>er</w:t>
      </w:r>
      <w:r>
        <w:t xml:space="preserve"> octobre 2017, elle reçoit, à cette date, 2 périodes de psychomotricité organiques supplémentaires pour atteindre un total de 12 périodes de psychomotricité.</w:t>
      </w:r>
    </w:p>
    <w:p>
      <w:pPr>
        <w:autoSpaceDE w:val="0"/>
        <w:autoSpaceDN w:val="0"/>
        <w:adjustRightInd w:val="0"/>
        <w:jc w:val="both"/>
      </w:pPr>
      <w:r>
        <w:sym w:font="Wingdings" w:char="F0E0"/>
      </w:r>
      <w:r>
        <w:t xml:space="preserve"> Si cette implantation compte 80 élèves « encadrement » (soit 4 emplois) au 1</w:t>
      </w:r>
      <w:r>
        <w:rPr>
          <w:vertAlign w:val="superscript"/>
        </w:rPr>
        <w:t>er</w:t>
      </w:r>
      <w:r>
        <w:t xml:space="preserve"> octobre 2017, elle perd, à cette date, 2 périodes de psychomotricité organiques et retombe à un total de 8 périodes de psychomotricité.</w:t>
      </w:r>
    </w:p>
    <w:p>
      <w:pPr>
        <w:autoSpaceDE w:val="0"/>
        <w:autoSpaceDN w:val="0"/>
        <w:adjustRightInd w:val="0"/>
        <w:jc w:val="both"/>
        <w:rPr>
          <w:szCs w:val="22"/>
        </w:rPr>
      </w:pPr>
    </w:p>
    <w:p>
      <w:pPr>
        <w:autoSpaceDE w:val="0"/>
        <w:autoSpaceDN w:val="0"/>
        <w:adjustRightInd w:val="0"/>
        <w:jc w:val="both"/>
      </w:pPr>
      <w:r>
        <w:t>A titre tout à fait exceptionnel et afin d’éviter la mise en disponibilité de maîtres de psychomotricité nommés à titre définitif suite aux ajustements opérés au 1</w:t>
      </w:r>
      <w:r>
        <w:rPr>
          <w:vertAlign w:val="superscript"/>
        </w:rPr>
        <w:t>er</w:t>
      </w:r>
      <w:r>
        <w:t xml:space="preserve"> octobre 2017, le pouvoir organisateur pour les réseaux subventionnés ou le préfet/directeur coordonnateur de zone pour le réseau organisé par la FWB, pourra introduire une demande de périodes supplémentaires. Cette demande sera introduite auprès de l’Administration à l’adresse suivante pour le 9 octobre 2017 au plus tard à l’aide de </w:t>
      </w:r>
      <w:hyperlink w:anchor="Annexe_346" w:history="1">
        <w:r>
          <w:rPr>
            <w:rStyle w:val="Lienhypertexte"/>
            <w:color w:val="auto"/>
          </w:rPr>
          <w:t>l’annexe 3.4.6</w:t>
        </w:r>
      </w:hyperlink>
      <w:r>
        <w:t> :</w:t>
      </w:r>
    </w:p>
    <w:p>
      <w:pPr>
        <w:autoSpaceDE w:val="0"/>
        <w:autoSpaceDN w:val="0"/>
        <w:adjustRightInd w:val="0"/>
        <w:jc w:val="both"/>
      </w:pPr>
    </w:p>
    <w:tbl>
      <w:tblPr>
        <w:tblStyle w:val="Grilledutableau"/>
        <w:tblW w:w="0" w:type="auto"/>
        <w:tblInd w:w="1838" w:type="dxa"/>
        <w:tblLook w:val="04A0" w:firstRow="1" w:lastRow="0" w:firstColumn="1" w:lastColumn="0" w:noHBand="0" w:noVBand="1"/>
      </w:tblPr>
      <w:tblGrid>
        <w:gridCol w:w="5103"/>
      </w:tblGrid>
      <w:tr>
        <w:tc>
          <w:tcPr>
            <w:tcW w:w="5103" w:type="dxa"/>
          </w:tcPr>
          <w:p>
            <w:pPr>
              <w:autoSpaceDE w:val="0"/>
              <w:autoSpaceDN w:val="0"/>
              <w:adjustRightInd w:val="0"/>
              <w:jc w:val="center"/>
              <w:rPr>
                <w:szCs w:val="22"/>
              </w:rPr>
            </w:pPr>
            <w:r>
              <w:rPr>
                <w:szCs w:val="22"/>
              </w:rPr>
              <w:t>Direction générale de l’Enseignement obligatoire</w:t>
            </w:r>
          </w:p>
          <w:p>
            <w:pPr>
              <w:autoSpaceDE w:val="0"/>
              <w:autoSpaceDN w:val="0"/>
              <w:adjustRightInd w:val="0"/>
              <w:jc w:val="center"/>
              <w:rPr>
                <w:szCs w:val="22"/>
              </w:rPr>
            </w:pPr>
            <w:r>
              <w:rPr>
                <w:szCs w:val="22"/>
              </w:rPr>
              <w:t>Bureau 2 F 211</w:t>
            </w:r>
          </w:p>
          <w:p>
            <w:pPr>
              <w:autoSpaceDE w:val="0"/>
              <w:autoSpaceDN w:val="0"/>
              <w:adjustRightInd w:val="0"/>
              <w:jc w:val="center"/>
              <w:rPr>
                <w:szCs w:val="22"/>
              </w:rPr>
            </w:pPr>
            <w:r>
              <w:rPr>
                <w:szCs w:val="22"/>
              </w:rPr>
              <w:t>Rue Adolphe Lavallée, 1</w:t>
            </w:r>
          </w:p>
          <w:p>
            <w:pPr>
              <w:autoSpaceDE w:val="0"/>
              <w:autoSpaceDN w:val="0"/>
              <w:adjustRightInd w:val="0"/>
              <w:jc w:val="center"/>
              <w:rPr>
                <w:szCs w:val="22"/>
              </w:rPr>
            </w:pPr>
            <w:r>
              <w:rPr>
                <w:szCs w:val="22"/>
              </w:rPr>
              <w:t>1080 BRUXELLES</w:t>
            </w:r>
          </w:p>
        </w:tc>
      </w:tr>
    </w:tbl>
    <w:p>
      <w:pPr>
        <w:autoSpaceDE w:val="0"/>
        <w:autoSpaceDN w:val="0"/>
        <w:adjustRightInd w:val="0"/>
        <w:jc w:val="both"/>
        <w:rPr>
          <w:szCs w:val="22"/>
        </w:rPr>
      </w:pPr>
    </w:p>
    <w:p>
      <w:pPr>
        <w:autoSpaceDE w:val="0"/>
        <w:autoSpaceDN w:val="0"/>
        <w:adjustRightInd w:val="0"/>
        <w:jc w:val="both"/>
        <w:rPr>
          <w:szCs w:val="22"/>
        </w:rPr>
      </w:pPr>
      <w:r>
        <w:rPr>
          <w:szCs w:val="22"/>
        </w:rPr>
        <w:t>Cette demande de périodes supplémentaires ne peut donc être introduite que dans la situation où un maître de psychomotricité ne peut retrouver au 1</w:t>
      </w:r>
      <w:r>
        <w:rPr>
          <w:szCs w:val="22"/>
          <w:vertAlign w:val="superscript"/>
        </w:rPr>
        <w:t>er</w:t>
      </w:r>
      <w:r>
        <w:rPr>
          <w:szCs w:val="22"/>
        </w:rPr>
        <w:t xml:space="preserve"> octobre la charge dans laquelle il est nommé à titre définitif, au 30 septembre 2017, au sein du PO (réseaux subventionnés) ou au sein de la zone (réseau FWB). </w:t>
      </w:r>
    </w:p>
    <w:p>
      <w:pPr>
        <w:autoSpaceDE w:val="0"/>
        <w:autoSpaceDN w:val="0"/>
        <w:adjustRightInd w:val="0"/>
        <w:jc w:val="both"/>
        <w:rPr>
          <w:szCs w:val="22"/>
        </w:rPr>
      </w:pPr>
    </w:p>
    <w:p>
      <w:pPr>
        <w:autoSpaceDE w:val="0"/>
        <w:autoSpaceDN w:val="0"/>
        <w:adjustRightInd w:val="0"/>
        <w:jc w:val="both"/>
        <w:rPr>
          <w:szCs w:val="22"/>
        </w:rPr>
      </w:pPr>
    </w:p>
    <w:p>
      <w:pPr>
        <w:pStyle w:val="Titre3"/>
      </w:pPr>
      <w:bookmarkStart w:id="1201" w:name="_3.3.6.__"/>
      <w:bookmarkStart w:id="1202" w:name="_3.4.7._Concerne_uniquement"/>
      <w:bookmarkStart w:id="1203" w:name="Section3_4_7"/>
      <w:bookmarkStart w:id="1204" w:name="_Toc423420083"/>
      <w:bookmarkStart w:id="1205" w:name="_Toc450645290"/>
      <w:bookmarkStart w:id="1206" w:name="_Toc453942526"/>
      <w:bookmarkStart w:id="1207" w:name="_Toc454888143"/>
      <w:bookmarkStart w:id="1208" w:name="_Toc486241803"/>
      <w:bookmarkEnd w:id="1201"/>
      <w:bookmarkEnd w:id="1202"/>
      <w:r>
        <w:t>3.4.6.</w:t>
      </w:r>
      <w:bookmarkEnd w:id="1203"/>
      <w:r>
        <w:tab/>
        <w:t>Adaptation de l’encadrement maternel du mois de septembre</w:t>
      </w:r>
      <w:bookmarkEnd w:id="1204"/>
      <w:bookmarkEnd w:id="1205"/>
      <w:bookmarkEnd w:id="1206"/>
      <w:bookmarkEnd w:id="1207"/>
      <w:bookmarkEnd w:id="1208"/>
    </w:p>
    <w:p>
      <w:pPr>
        <w:jc w:val="both"/>
        <w:rPr>
          <w:i/>
          <w:highlight w:val="yellow"/>
          <w:lang w:val="fr-BE"/>
        </w:rPr>
      </w:pPr>
    </w:p>
    <w:p>
      <w:pPr>
        <w:jc w:val="both"/>
        <w:rPr>
          <w:lang w:val="fr-BE"/>
        </w:rPr>
      </w:pPr>
      <w:r>
        <w:rPr>
          <w:lang w:val="fr-BE"/>
        </w:rPr>
        <w:t>Dans les implantations maternelles situées dans une des communes reprises dans l’</w:t>
      </w:r>
      <w:hyperlink w:anchor="annexe3_4_5" w:history="1">
        <w:r>
          <w:rPr>
            <w:rStyle w:val="Lienhypertexte"/>
            <w:color w:val="auto"/>
            <w:lang w:val="fr-BE"/>
          </w:rPr>
          <w:t>annexe 3.4.5.</w:t>
        </w:r>
      </w:hyperlink>
      <w:r>
        <w:rPr>
          <w:lang w:val="fr-BE"/>
        </w:rPr>
        <w:t>, l’encadrement maternel attribué au 1</w:t>
      </w:r>
      <w:r>
        <w:rPr>
          <w:vertAlign w:val="superscript"/>
          <w:lang w:val="fr-BE"/>
        </w:rPr>
        <w:t>er</w:t>
      </w:r>
      <w:r>
        <w:rPr>
          <w:lang w:val="fr-BE"/>
        </w:rPr>
        <w:t xml:space="preserve"> septembre (encadrement calculé au 1</w:t>
      </w:r>
      <w:r>
        <w:rPr>
          <w:vertAlign w:val="superscript"/>
          <w:lang w:val="fr-BE"/>
        </w:rPr>
        <w:t>er</w:t>
      </w:r>
      <w:r>
        <w:rPr>
          <w:lang w:val="fr-BE"/>
        </w:rPr>
        <w:t xml:space="preserve"> octobre 2016) peut être augmenté durant le mois de septembre dès que le nombre d’élèves régulièrement inscrits pris en compte permet d’obtenir un nouveau cadre plus favorable que celui attribué le 1</w:t>
      </w:r>
      <w:r>
        <w:rPr>
          <w:vertAlign w:val="superscript"/>
          <w:lang w:val="fr-BE"/>
        </w:rPr>
        <w:t>er</w:t>
      </w:r>
      <w:r>
        <w:rPr>
          <w:lang w:val="fr-BE"/>
        </w:rPr>
        <w:t xml:space="preserve"> septembre 2017. </w:t>
      </w:r>
    </w:p>
    <w:p>
      <w:pPr>
        <w:jc w:val="both"/>
        <w:rPr>
          <w:highlight w:val="yellow"/>
          <w:lang w:val="fr-BE"/>
        </w:rPr>
      </w:pPr>
    </w:p>
    <w:p>
      <w:pPr>
        <w:jc w:val="both"/>
        <w:rPr>
          <w:lang w:val="fr-BE"/>
        </w:rPr>
      </w:pPr>
      <w:r>
        <w:rPr>
          <w:lang w:val="fr-BE"/>
        </w:rPr>
        <w:t xml:space="preserve">Pour pouvoir bénéficier de cette disposition, les directions et les Pouvoirs organisateurs concernés </w:t>
      </w:r>
      <w:r>
        <w:rPr>
          <w:u w:val="single"/>
          <w:lang w:val="fr-BE"/>
        </w:rPr>
        <w:t>doivent en faire la demande</w:t>
      </w:r>
      <w:r>
        <w:rPr>
          <w:lang w:val="fr-BE"/>
        </w:rPr>
        <w:t xml:space="preserve"> à </w:t>
      </w:r>
      <w:smartTag w:uri="urn:schemas-microsoft-com:office:smarttags" w:element="PersonName">
        <w:smartTagPr>
          <w:attr w:name="ProductID" w:val="la Direction"/>
        </w:smartTagPr>
        <w:r>
          <w:rPr>
            <w:lang w:val="fr-BE"/>
          </w:rPr>
          <w:t>la Direction</w:t>
        </w:r>
      </w:smartTag>
      <w:r>
        <w:rPr>
          <w:lang w:val="fr-BE"/>
        </w:rPr>
        <w:t xml:space="preserve"> générale de l’Enseignement obligatoire </w:t>
      </w:r>
      <w:r>
        <w:rPr>
          <w:u w:val="single"/>
          <w:lang w:val="fr-BE"/>
        </w:rPr>
        <w:t>dans les 3 jours ouvrables suivant la date d’augmentation de cadre</w:t>
      </w:r>
      <w:r>
        <w:rPr>
          <w:lang w:val="fr-BE"/>
        </w:rPr>
        <w:t xml:space="preserve">, au moyen du formulaire repris en </w:t>
      </w:r>
      <w:hyperlink w:anchor="Annexe_343" w:history="1">
        <w:r>
          <w:rPr>
            <w:rStyle w:val="Lienhypertexte"/>
            <w:color w:val="auto"/>
            <w:lang w:val="fr-BE"/>
          </w:rPr>
          <w:t>annexe 3.4.3.</w:t>
        </w:r>
      </w:hyperlink>
      <w:r>
        <w:rPr>
          <w:lang w:val="fr-BE"/>
        </w:rPr>
        <w:t xml:space="preserve"> (un formulaire par implantation). </w:t>
      </w:r>
    </w:p>
    <w:p>
      <w:pPr>
        <w:jc w:val="both"/>
        <w:rPr>
          <w:highlight w:val="yellow"/>
          <w:lang w:val="fr-BE"/>
        </w:rPr>
      </w:pPr>
    </w:p>
    <w:p>
      <w:pPr>
        <w:jc w:val="both"/>
        <w:rPr>
          <w:highlight w:val="yellow"/>
          <w:lang w:val="fr-BE"/>
        </w:rPr>
      </w:pPr>
      <w:r>
        <w:rPr>
          <w:rFonts w:cs="Arial"/>
          <w:szCs w:val="22"/>
        </w:rPr>
        <w:t xml:space="preserve">Le Pouvoir organisateur (OS – LS) ou le chef d’établissement (FWB) ne sont pas informés par retour de courrier de la décision de </w:t>
      </w:r>
      <w:smartTag w:uri="urn:schemas-microsoft-com:office:smarttags" w:element="PersonName">
        <w:smartTagPr>
          <w:attr w:name="ProductID" w:val="la Direction"/>
        </w:smartTagPr>
        <w:r>
          <w:rPr>
            <w:rFonts w:cs="Arial"/>
            <w:szCs w:val="22"/>
          </w:rPr>
          <w:t>la Direction</w:t>
        </w:r>
      </w:smartTag>
      <w:r>
        <w:rPr>
          <w:rFonts w:cs="Arial"/>
          <w:szCs w:val="22"/>
        </w:rPr>
        <w:t xml:space="preserve"> générale de l’Enseignement obligatoire. Il est dès lors de la responsabilité du Pouvoir organisateur (OS – LS) ou du chef d’établissement (FWB) d’engager du personnel sans attendre la confirmation de l’Administration. Si après vérification, l’encadrement supplémentaire est confirmé, il fera l’objet d’une remarque sur la dépêche portant sur l’encadrement du mois de septembre.</w:t>
      </w:r>
    </w:p>
    <w:p>
      <w:pPr>
        <w:jc w:val="both"/>
        <w:rPr>
          <w:highlight w:val="yellow"/>
          <w:lang w:val="fr-BE"/>
        </w:rPr>
      </w:pPr>
    </w:p>
    <w:p>
      <w:pPr>
        <w:jc w:val="both"/>
        <w:rPr>
          <w:highlight w:val="yellow"/>
          <w:lang w:val="fr-BE"/>
        </w:rPr>
      </w:pPr>
      <w:r>
        <w:rPr>
          <w:lang w:val="fr-BE"/>
        </w:rPr>
        <w:t>L’encadrement est automatiquement recalculé le 1</w:t>
      </w:r>
      <w:r>
        <w:rPr>
          <w:vertAlign w:val="superscript"/>
          <w:lang w:val="fr-BE"/>
        </w:rPr>
        <w:t>er</w:t>
      </w:r>
      <w:r>
        <w:rPr>
          <w:lang w:val="fr-BE"/>
        </w:rPr>
        <w:t xml:space="preserve"> octobre 2017 sur base du nombre d’élèves régulièrement inscrits à la date de comptage du 30 septembre 2017. </w:t>
      </w:r>
    </w:p>
    <w:p>
      <w:pPr>
        <w:jc w:val="both"/>
        <w:rPr>
          <w:highlight w:val="yellow"/>
          <w:lang w:val="fr-BE"/>
        </w:rPr>
      </w:pPr>
    </w:p>
    <w:p>
      <w:pPr>
        <w:jc w:val="both"/>
        <w:rPr>
          <w:lang w:val="fr-BE"/>
        </w:rPr>
      </w:pPr>
      <w:r>
        <w:rPr>
          <w:u w:val="single"/>
          <w:lang w:val="fr-BE"/>
        </w:rPr>
        <w:t>Attention :</w:t>
      </w:r>
      <w:r>
        <w:rPr>
          <w:lang w:val="fr-BE"/>
        </w:rPr>
        <w:t xml:space="preserve"> les périodes de psychomotricité ne sont pas ajustées au cours du mois de septembre. Seul un ajustement à la hausse au 1</w:t>
      </w:r>
      <w:r>
        <w:rPr>
          <w:vertAlign w:val="superscript"/>
          <w:lang w:val="fr-BE"/>
        </w:rPr>
        <w:t>er</w:t>
      </w:r>
      <w:r>
        <w:rPr>
          <w:lang w:val="fr-BE"/>
        </w:rPr>
        <w:t xml:space="preserve"> octobre et/ou aux 4 dates d’augmentation de cadre maternel peut être opéré (voir </w:t>
      </w:r>
      <w:hyperlink w:anchor="Section3_4_5" w:history="1">
        <w:r>
          <w:rPr>
            <w:rStyle w:val="Lienhypertexte"/>
            <w:color w:val="auto"/>
            <w:lang w:val="fr-BE"/>
          </w:rPr>
          <w:t>section 3.4.5.</w:t>
        </w:r>
      </w:hyperlink>
      <w:r>
        <w:rPr>
          <w:lang w:val="fr-BE"/>
        </w:rPr>
        <w:t xml:space="preserve">). </w:t>
      </w:r>
    </w:p>
    <w:p>
      <w:pPr>
        <w:jc w:val="both"/>
        <w:rPr>
          <w:u w:val="single"/>
          <w:lang w:val="fr-BE"/>
        </w:rPr>
      </w:pPr>
      <w:r>
        <w:rPr>
          <w:u w:val="single"/>
          <w:lang w:val="fr-BE"/>
        </w:rPr>
        <w:t>Exemple</w:t>
      </w:r>
    </w:p>
    <w:p>
      <w:pPr>
        <w:jc w:val="both"/>
        <w:rPr>
          <w:lang w:val="fr-BE"/>
        </w:rPr>
      </w:pPr>
    </w:p>
    <w:p>
      <w:pPr>
        <w:jc w:val="both"/>
        <w:rPr>
          <w:lang w:val="fr-BE"/>
        </w:rPr>
      </w:pPr>
      <w:r>
        <w:rPr>
          <w:lang w:val="fr-BE"/>
        </w:rPr>
        <w:t>Le 30 septembre 2016, l’implantation A a inscrit 148 élèves physiques, dont 11 primo-arrivants. Elle comptait 154 « élèves encadrement » après application du coefficient 1,5. Elle bénéficie dès lors de 7,5 emplois et de 14 périodes de psychomotricité en date du 1</w:t>
      </w:r>
      <w:r>
        <w:rPr>
          <w:vertAlign w:val="superscript"/>
          <w:lang w:val="fr-BE"/>
        </w:rPr>
        <w:t>er</w:t>
      </w:r>
      <w:r>
        <w:rPr>
          <w:lang w:val="fr-BE"/>
        </w:rPr>
        <w:t xml:space="preserve"> septembre 2017. </w:t>
      </w:r>
    </w:p>
    <w:p>
      <w:pPr>
        <w:jc w:val="both"/>
        <w:rPr>
          <w:lang w:val="fr-BE"/>
        </w:rPr>
      </w:pPr>
    </w:p>
    <w:p>
      <w:pPr>
        <w:jc w:val="both"/>
        <w:rPr>
          <w:lang w:val="fr-BE"/>
        </w:rPr>
      </w:pPr>
      <w:r>
        <w:rPr>
          <w:lang w:val="fr-BE"/>
        </w:rPr>
        <w:t xml:space="preserve">Le 13 septembre 2017, l’implantation compte 160 élèves physiques régulièrement inscrits, dont 11 primo-arrivants. </w:t>
      </w:r>
    </w:p>
    <w:p>
      <w:pPr>
        <w:jc w:val="both"/>
        <w:rPr>
          <w:lang w:val="fr-BE"/>
        </w:rPr>
      </w:pPr>
    </w:p>
    <w:p>
      <w:pPr>
        <w:jc w:val="both"/>
        <w:rPr>
          <w:lang w:val="fr-BE"/>
        </w:rPr>
      </w:pPr>
      <w:r>
        <w:rPr>
          <w:lang w:val="fr-BE"/>
        </w:rPr>
        <w:t>Ces 160 élèves physiques valant 166 « élèves encadrement », l’implantation peut bénéficier dès le 13 septembre 2017 de 8 emplois et de 14 périodes de psychomotricité à condition qu’elle en fasse la demande à la DGEO au plus tard le 18 septembre 2017 au moyen de l’</w:t>
      </w:r>
      <w:hyperlink w:anchor="Annexe_343" w:history="1">
        <w:r>
          <w:rPr>
            <w:rStyle w:val="Lienhypertexte"/>
            <w:color w:val="auto"/>
            <w:lang w:val="fr-BE"/>
          </w:rPr>
          <w:t>annexe 3.4.3.</w:t>
        </w:r>
      </w:hyperlink>
      <w:r>
        <w:rPr>
          <w:lang w:val="fr-BE"/>
        </w:rPr>
        <w:t xml:space="preserve"> </w:t>
      </w:r>
    </w:p>
    <w:p>
      <w:pPr>
        <w:jc w:val="both"/>
        <w:rPr>
          <w:lang w:val="fr-BE"/>
        </w:rPr>
      </w:pPr>
    </w:p>
    <w:p>
      <w:pPr>
        <w:jc w:val="both"/>
        <w:rPr>
          <w:lang w:val="fr-BE"/>
        </w:rPr>
      </w:pPr>
      <w:r>
        <w:rPr>
          <w:lang w:val="fr-BE"/>
        </w:rPr>
        <w:t>Si le 30 septembre 2017, l’implantation compte toujours 166 « élèves encadrement », elle bénéficiera au 1</w:t>
      </w:r>
      <w:r>
        <w:rPr>
          <w:vertAlign w:val="superscript"/>
          <w:lang w:val="fr-BE"/>
        </w:rPr>
        <w:t>er</w:t>
      </w:r>
      <w:r>
        <w:rPr>
          <w:lang w:val="fr-BE"/>
        </w:rPr>
        <w:t xml:space="preserve"> octobre 2017 de 8 emplois et de 16 périodes de psychomotricité.</w:t>
      </w:r>
    </w:p>
    <w:p>
      <w:pPr>
        <w:jc w:val="both"/>
        <w:rPr>
          <w:lang w:val="fr-BE"/>
        </w:rPr>
      </w:pPr>
    </w:p>
    <w:p>
      <w:pPr>
        <w:jc w:val="both"/>
        <w:rPr>
          <w:lang w:val="fr-BE"/>
        </w:rPr>
      </w:pPr>
      <w:r>
        <w:rPr>
          <w:lang w:val="fr-BE"/>
        </w:rPr>
        <w:t>Si le 30 septembre 2017, l’implantation ne compte plus que 165 « élèves encadrement », elle bénéficiera au 1</w:t>
      </w:r>
      <w:r>
        <w:rPr>
          <w:vertAlign w:val="superscript"/>
          <w:lang w:val="fr-BE"/>
        </w:rPr>
        <w:t>er</w:t>
      </w:r>
      <w:r>
        <w:rPr>
          <w:lang w:val="fr-BE"/>
        </w:rPr>
        <w:t xml:space="preserve"> octobre 2017 de 7,5 emplois et de 14 périodes de psychomotricité. </w:t>
      </w:r>
    </w:p>
    <w:p>
      <w:pPr>
        <w:pStyle w:val="Titre2"/>
      </w:pPr>
      <w:bookmarkStart w:id="1209" w:name="_Chapitre_3.5._Rôle"/>
      <w:bookmarkStart w:id="1210" w:name="_Toc295932048"/>
      <w:bookmarkStart w:id="1211" w:name="_Toc295913778"/>
      <w:bookmarkEnd w:id="1209"/>
      <w:r>
        <w:br w:type="page"/>
      </w:r>
      <w:bookmarkStart w:id="1212" w:name="chapitre3_5"/>
      <w:bookmarkStart w:id="1213" w:name="_Toc423420084"/>
      <w:bookmarkStart w:id="1214" w:name="_Toc450645291"/>
      <w:bookmarkStart w:id="1215" w:name="_Toc453942527"/>
      <w:bookmarkStart w:id="1216" w:name="_Toc454888144"/>
      <w:bookmarkStart w:id="1217" w:name="_Toc486241804"/>
      <w:r>
        <w:t>Chapitre 3.5</w:t>
      </w:r>
      <w:bookmarkEnd w:id="1212"/>
      <w:r>
        <w:t>.</w:t>
      </w:r>
      <w:r>
        <w:tab/>
        <w:t>Rôle des organes de concertation et de participation</w:t>
      </w:r>
      <w:bookmarkEnd w:id="1210"/>
      <w:bookmarkEnd w:id="1211"/>
      <w:bookmarkEnd w:id="1213"/>
      <w:bookmarkEnd w:id="1214"/>
      <w:bookmarkEnd w:id="1215"/>
      <w:bookmarkEnd w:id="1216"/>
      <w:bookmarkEnd w:id="1217"/>
    </w:p>
    <w:p>
      <w:pPr>
        <w:rPr>
          <w:sz w:val="28"/>
        </w:rPr>
      </w:pPr>
    </w:p>
    <w:p>
      <w:pPr>
        <w:ind w:left="1619" w:hanging="1620"/>
        <w:rPr>
          <w:i/>
        </w:rPr>
      </w:pPr>
      <w:r>
        <w:rPr>
          <w:b/>
          <w:i/>
          <w:u w:val="single"/>
        </w:rPr>
        <w:t>Bases légales</w:t>
      </w:r>
      <w:r>
        <w:rPr>
          <w:b/>
          <w:i/>
        </w:rPr>
        <w:t>:</w:t>
      </w:r>
      <w:r>
        <w:rPr>
          <w:i/>
        </w:rPr>
        <w:t xml:space="preserve"> </w:t>
      </w:r>
      <w:hyperlink r:id="rId108" w:history="1">
        <w:r>
          <w:rPr>
            <w:rStyle w:val="Lienhypertexte"/>
            <w:i/>
            <w:color w:val="auto"/>
          </w:rPr>
          <w:t>Décret-Cadre du 13/07/1998, articles 34, 36, 38, 46 et 48</w:t>
        </w:r>
      </w:hyperlink>
      <w:r>
        <w:rPr>
          <w:i/>
        </w:rPr>
        <w:t>.</w:t>
      </w:r>
    </w:p>
    <w:p>
      <w:pPr>
        <w:ind w:left="1619"/>
        <w:rPr>
          <w:i/>
        </w:rPr>
      </w:pPr>
      <w:hyperlink r:id="rId109" w:history="1">
        <w:r>
          <w:rPr>
            <w:rStyle w:val="Lienhypertexte"/>
            <w:i/>
            <w:color w:val="auto"/>
          </w:rPr>
          <w:t>Décret-Missions du 24/07/1997, article 69</w:t>
        </w:r>
      </w:hyperlink>
      <w:r>
        <w:rPr>
          <w:i/>
        </w:rPr>
        <w:br/>
      </w:r>
      <w:hyperlink r:id="rId110" w:history="1">
        <w:r>
          <w:rPr>
            <w:rStyle w:val="Lienhypertexte"/>
            <w:i/>
            <w:color w:val="auto"/>
          </w:rPr>
          <w:t xml:space="preserve">Arrêté de la C.F. du 13/09/1995 </w:t>
        </w:r>
      </w:hyperlink>
    </w:p>
    <w:p>
      <w:pPr>
        <w:ind w:left="1619"/>
        <w:rPr>
          <w:i/>
        </w:rPr>
      </w:pPr>
      <w:hyperlink r:id="rId111" w:history="1">
        <w:r>
          <w:rPr>
            <w:rStyle w:val="Lienhypertexte"/>
            <w:i/>
            <w:color w:val="auto"/>
          </w:rPr>
          <w:t>Arrêté de la C.F. du 27/03/1996</w:t>
        </w:r>
      </w:hyperlink>
      <w:r>
        <w:rPr>
          <w:i/>
        </w:rPr>
        <w:t xml:space="preserve"> </w:t>
      </w:r>
    </w:p>
    <w:p>
      <w:pPr>
        <w:jc w:val="both"/>
      </w:pPr>
    </w:p>
    <w:p>
      <w:pPr>
        <w:jc w:val="both"/>
      </w:pPr>
      <w:r>
        <w:t>Au cours du calcul et de l’attribution du capital-périodes, les divers organes de concertation et de participation seront consultés.</w:t>
      </w:r>
      <w:r>
        <w:rPr>
          <w:rFonts w:cs="Arial"/>
        </w:rPr>
        <w:t xml:space="preserve"> </w:t>
      </w:r>
    </w:p>
    <w:p>
      <w:pPr>
        <w:jc w:val="both"/>
      </w:pPr>
    </w:p>
    <w:p>
      <w:pPr>
        <w:jc w:val="both"/>
        <w:rPr>
          <w:sz w:val="16"/>
        </w:rPr>
      </w:pPr>
    </w:p>
    <w:p>
      <w:pPr>
        <w:numPr>
          <w:ilvl w:val="0"/>
          <w:numId w:val="113"/>
        </w:numPr>
        <w:ind w:left="359"/>
        <w:jc w:val="both"/>
      </w:pPr>
      <w:r>
        <w:t>le comité de concertation de base, la commission paritaire locale ou l’instance de concertation selon les réseaux:</w:t>
      </w:r>
    </w:p>
    <w:p>
      <w:pPr>
        <w:numPr>
          <w:ilvl w:val="0"/>
          <w:numId w:val="114"/>
        </w:numPr>
        <w:spacing w:before="120"/>
        <w:ind w:left="1076" w:hanging="357"/>
        <w:jc w:val="both"/>
      </w:pPr>
      <w:r>
        <w:t xml:space="preserve">pour l'utilisation du capital-périodes au niveau primaire (voir </w:t>
      </w:r>
      <w:hyperlink w:anchor="_3.2.1._Capital-périodes_et" w:history="1">
        <w:r>
          <w:rPr>
            <w:rStyle w:val="Lienhypertexte"/>
            <w:color w:val="auto"/>
          </w:rPr>
          <w:t>section 3.2.1.</w:t>
        </w:r>
      </w:hyperlink>
      <w:r>
        <w:t>);</w:t>
      </w:r>
    </w:p>
    <w:p>
      <w:pPr>
        <w:numPr>
          <w:ilvl w:val="0"/>
          <w:numId w:val="114"/>
        </w:numPr>
        <w:spacing w:before="120"/>
        <w:ind w:left="1079"/>
        <w:jc w:val="both"/>
      </w:pPr>
      <w:r>
        <w:t xml:space="preserve">pour l'utilisation des emplois générés au niveau maternel (voir </w:t>
      </w:r>
      <w:hyperlink w:anchor="_3.4.1._Nombre_d'emplois" w:history="1">
        <w:r>
          <w:rPr>
            <w:rStyle w:val="Lienhypertexte"/>
            <w:color w:val="auto"/>
          </w:rPr>
          <w:t>section 3.4.1.</w:t>
        </w:r>
      </w:hyperlink>
      <w:r>
        <w:t>);</w:t>
      </w:r>
    </w:p>
    <w:p>
      <w:pPr>
        <w:numPr>
          <w:ilvl w:val="0"/>
          <w:numId w:val="114"/>
        </w:numPr>
        <w:spacing w:before="120"/>
        <w:ind w:left="1079"/>
        <w:jc w:val="both"/>
      </w:pPr>
      <w:r>
        <w:t xml:space="preserve">pour une nouvelle répartition des emplois en raison de modifications importantes du nombre d’élèves dans certaines écoles ou implantations à comptage séparé entre le 15 janvier et le 30 septembre en application de l'article 37 du Décret-cadre (voir </w:t>
      </w:r>
      <w:hyperlink w:anchor="Section3_2_8" w:history="1">
        <w:r>
          <w:rPr>
            <w:rStyle w:val="Lienhypertexte"/>
            <w:color w:val="auto"/>
          </w:rPr>
          <w:t>section 3.2.8.</w:t>
        </w:r>
      </w:hyperlink>
      <w:r>
        <w:t>);</w:t>
      </w:r>
    </w:p>
    <w:p>
      <w:pPr>
        <w:numPr>
          <w:ilvl w:val="0"/>
          <w:numId w:val="114"/>
        </w:numPr>
        <w:spacing w:before="120"/>
        <w:ind w:left="1079"/>
        <w:jc w:val="both"/>
      </w:pPr>
      <w:r>
        <w:t xml:space="preserve">pour l’utilisation des reliquats globalisés au niveau primaire (voir </w:t>
      </w:r>
      <w:hyperlink w:anchor="_3.2.7._Reliquat__" w:history="1">
        <w:r>
          <w:rPr>
            <w:rStyle w:val="Lienhypertexte"/>
            <w:color w:val="auto"/>
          </w:rPr>
          <w:t>section 3.2.7.</w:t>
        </w:r>
      </w:hyperlink>
      <w:r>
        <w:t>);</w:t>
      </w:r>
    </w:p>
    <w:p>
      <w:pPr>
        <w:numPr>
          <w:ilvl w:val="0"/>
          <w:numId w:val="114"/>
        </w:numPr>
        <w:spacing w:before="120"/>
        <w:ind w:left="1079"/>
        <w:jc w:val="both"/>
      </w:pPr>
      <w:r>
        <w:t xml:space="preserve">pour l'utilisation du % de périodes éventuellement prélevé au niveau primaire en application de l'article 36 du Décret-cadre (voir </w:t>
      </w:r>
      <w:hyperlink w:anchor="_3.2.7._Reliquat__" w:history="1">
        <w:r>
          <w:rPr>
            <w:rStyle w:val="Lienhypertexte"/>
            <w:color w:val="auto"/>
          </w:rPr>
          <w:t>section 3.2.7.</w:t>
        </w:r>
      </w:hyperlink>
      <w:r>
        <w:t>);</w:t>
      </w:r>
    </w:p>
    <w:p>
      <w:pPr>
        <w:numPr>
          <w:ilvl w:val="0"/>
          <w:numId w:val="114"/>
        </w:numPr>
        <w:spacing w:before="120"/>
        <w:ind w:left="1079"/>
        <w:jc w:val="both"/>
      </w:pPr>
      <w:r>
        <w:t xml:space="preserve">pour l’utilisation des demi-emplois globalisés au niveau maternel (voir </w:t>
      </w:r>
      <w:hyperlink w:anchor="_3.4.3._Demi-emplois" w:history="1">
        <w:r>
          <w:rPr>
            <w:rStyle w:val="Lienhypertexte"/>
            <w:color w:val="auto"/>
          </w:rPr>
          <w:t>section 3.4.3.</w:t>
        </w:r>
      </w:hyperlink>
      <w:r>
        <w:t xml:space="preserve">); </w:t>
      </w:r>
    </w:p>
    <w:p>
      <w:pPr>
        <w:numPr>
          <w:ilvl w:val="12"/>
          <w:numId w:val="0"/>
        </w:numPr>
        <w:jc w:val="both"/>
      </w:pPr>
    </w:p>
    <w:p>
      <w:pPr>
        <w:numPr>
          <w:ilvl w:val="0"/>
          <w:numId w:val="113"/>
        </w:numPr>
        <w:ind w:left="359"/>
        <w:jc w:val="both"/>
      </w:pPr>
      <w:r>
        <w:t>le conseil de participation :</w:t>
      </w:r>
    </w:p>
    <w:p>
      <w:pPr>
        <w:numPr>
          <w:ilvl w:val="0"/>
          <w:numId w:val="115"/>
        </w:numPr>
        <w:spacing w:before="120"/>
        <w:ind w:left="1065" w:hanging="357"/>
        <w:jc w:val="both"/>
      </w:pPr>
      <w:r>
        <w:t>pour le choix de la ou des langues modernes à enseigner.</w:t>
      </w:r>
    </w:p>
    <w:p>
      <w:pPr>
        <w:numPr>
          <w:ilvl w:val="0"/>
          <w:numId w:val="115"/>
        </w:numPr>
        <w:spacing w:before="120"/>
        <w:ind w:left="1065" w:hanging="357"/>
        <w:jc w:val="both"/>
      </w:pPr>
      <w:r>
        <w:t>devra être informé de la répartition du capital-périodes.</w:t>
      </w:r>
    </w:p>
    <w:p>
      <w:pPr>
        <w:jc w:val="both"/>
        <w:rPr>
          <w:sz w:val="24"/>
        </w:rPr>
      </w:pPr>
    </w:p>
    <w:p>
      <w:pPr>
        <w:jc w:val="both"/>
      </w:pPr>
      <w:r>
        <w:t>Les avis rendus par les organes précités ne sont toutefois pas contraignants.</w:t>
      </w:r>
    </w:p>
    <w:p>
      <w:r>
        <w:t xml:space="preserve"> </w:t>
      </w:r>
    </w:p>
    <w:p>
      <w:pPr>
        <w:jc w:val="both"/>
      </w:pPr>
    </w:p>
    <w:p>
      <w:pPr>
        <w:rPr>
          <w:sz w:val="2"/>
          <w:szCs w:val="2"/>
        </w:rPr>
      </w:pPr>
      <w:r>
        <w:br w:type="page"/>
      </w:r>
    </w:p>
    <w:p>
      <w:pPr>
        <w:rPr>
          <w:sz w:val="2"/>
          <w:szCs w:val="2"/>
        </w:rPr>
      </w:pPr>
      <w:bookmarkStart w:id="1218" w:name="_Toc91294811"/>
    </w:p>
    <w:p>
      <w:pPr>
        <w:pStyle w:val="MonTitre1"/>
      </w:pPr>
      <w:bookmarkStart w:id="1219" w:name="_Toc91294809"/>
      <w:bookmarkStart w:id="1220" w:name="_Toc295932049"/>
      <w:bookmarkStart w:id="1221" w:name="_Toc295913779"/>
      <w:bookmarkStart w:id="1222" w:name="_Toc295992098"/>
      <w:bookmarkStart w:id="1223" w:name="_Toc423420085"/>
      <w:bookmarkStart w:id="1224" w:name="_Toc450645292"/>
      <w:bookmarkStart w:id="1225" w:name="_Toc453942528"/>
      <w:bookmarkStart w:id="1226" w:name="_Toc454888145"/>
      <w:bookmarkStart w:id="1227" w:name="_Toc486241805"/>
      <w:r>
        <w:t xml:space="preserve">Titre 4. </w:t>
      </w:r>
      <w:r>
        <w:tab/>
        <w:t>Horaires et organisation de certains cours</w:t>
      </w:r>
      <w:bookmarkEnd w:id="1219"/>
      <w:bookmarkEnd w:id="1220"/>
      <w:bookmarkEnd w:id="1221"/>
      <w:bookmarkEnd w:id="1222"/>
      <w:bookmarkEnd w:id="1223"/>
      <w:bookmarkEnd w:id="1224"/>
      <w:bookmarkEnd w:id="1225"/>
      <w:bookmarkEnd w:id="1226"/>
      <w:bookmarkEnd w:id="1227"/>
    </w:p>
    <w:p>
      <w:pPr>
        <w:rPr>
          <w:szCs w:val="22"/>
        </w:rPr>
      </w:pPr>
    </w:p>
    <w:p>
      <w:pPr>
        <w:pStyle w:val="Titre2"/>
      </w:pPr>
      <w:bookmarkStart w:id="1228" w:name="_Toc295932050"/>
      <w:bookmarkStart w:id="1229" w:name="_Toc295913780"/>
      <w:bookmarkStart w:id="1230" w:name="_Toc423420086"/>
      <w:bookmarkStart w:id="1231" w:name="_Toc450645293"/>
      <w:bookmarkStart w:id="1232" w:name="_Toc453942529"/>
      <w:bookmarkStart w:id="1233" w:name="_Toc454888146"/>
      <w:bookmarkStart w:id="1234" w:name="_Toc486241806"/>
      <w:r>
        <w:t>Chapitre 4.1.</w:t>
      </w:r>
      <w:r>
        <w:tab/>
        <w:t>Calendrier scolaire et suspension de cours</w:t>
      </w:r>
      <w:bookmarkEnd w:id="1228"/>
      <w:bookmarkEnd w:id="1229"/>
      <w:bookmarkEnd w:id="1230"/>
      <w:bookmarkEnd w:id="1231"/>
      <w:bookmarkEnd w:id="1232"/>
      <w:bookmarkEnd w:id="1233"/>
      <w:bookmarkEnd w:id="1234"/>
    </w:p>
    <w:p>
      <w:pPr>
        <w:tabs>
          <w:tab w:val="left" w:pos="3449"/>
        </w:tabs>
        <w:rPr>
          <w:sz w:val="28"/>
          <w:szCs w:val="28"/>
          <w:lang w:val="fr-BE"/>
        </w:rPr>
      </w:pPr>
      <w:r>
        <w:rPr>
          <w:sz w:val="28"/>
          <w:szCs w:val="28"/>
          <w:lang w:val="fr-BE"/>
        </w:rPr>
        <w:tab/>
      </w:r>
    </w:p>
    <w:p>
      <w:pPr>
        <w:rPr>
          <w:i/>
        </w:rPr>
      </w:pPr>
      <w:r>
        <w:rPr>
          <w:b/>
          <w:u w:val="single"/>
        </w:rPr>
        <w:t>Base légale</w:t>
      </w:r>
      <w:r>
        <w:rPr>
          <w:b/>
        </w:rPr>
        <w:t>:</w:t>
      </w:r>
      <w:r>
        <w:t xml:space="preserve"> </w:t>
      </w:r>
      <w:r>
        <w:tab/>
      </w:r>
      <w:r>
        <w:rPr>
          <w:i/>
        </w:rPr>
        <w:t xml:space="preserve"> </w:t>
      </w:r>
      <w:hyperlink r:id="rId112" w:history="1">
        <w:r>
          <w:rPr>
            <w:rStyle w:val="Lienhypertexte"/>
            <w:i/>
            <w:color w:val="auto"/>
          </w:rPr>
          <w:t>Décret-Cadre du 13/07/1998, articles 14 à 17</w:t>
        </w:r>
      </w:hyperlink>
      <w:r>
        <w:rPr>
          <w:i/>
        </w:rPr>
        <w:t xml:space="preserve">. </w:t>
      </w:r>
    </w:p>
    <w:p>
      <w:pPr>
        <w:ind w:left="1415"/>
        <w:rPr>
          <w:i/>
        </w:rPr>
      </w:pPr>
      <w:hyperlink r:id="rId113" w:history="1">
        <w:r>
          <w:rPr>
            <w:rStyle w:val="Lienhypertexte"/>
            <w:i/>
            <w:color w:val="auto"/>
          </w:rPr>
          <w:t>Arrêté de l'Exécutif de la Communauté française du 22/03/1984 fixant le régime des vacances et des congés dans l'enseignement organisé dans la Communauté française</w:t>
        </w:r>
      </w:hyperlink>
      <w:r>
        <w:rPr>
          <w:i/>
        </w:rPr>
        <w:t>.</w:t>
      </w:r>
    </w:p>
    <w:p>
      <w:pPr>
        <w:ind w:left="1415"/>
        <w:rPr>
          <w:i/>
        </w:rPr>
      </w:pPr>
      <w:hyperlink r:id="rId114" w:history="1">
        <w:r>
          <w:rPr>
            <w:rStyle w:val="Lienhypertexte"/>
            <w:i/>
          </w:rPr>
          <w:t>Arrêté du Gouvernement de la Communauté française du 10/05/2017 fixant les vacances et congés dans l’enseignement fondamental et secondaire pour l’année scolaire 2017-2018</w:t>
        </w:r>
      </w:hyperlink>
      <w:r>
        <w:rPr>
          <w:i/>
        </w:rPr>
        <w:br/>
      </w:r>
    </w:p>
    <w:p>
      <w:pPr>
        <w:rPr>
          <w:rFonts w:cs="Arial"/>
          <w:i/>
          <w:spacing w:val="-6"/>
        </w:rPr>
      </w:pPr>
    </w:p>
    <w:p>
      <w:pPr>
        <w:pStyle w:val="Titre3"/>
      </w:pPr>
      <w:bookmarkStart w:id="1235" w:name="_4.1.1._Calendrier_scolaire"/>
      <w:bookmarkStart w:id="1236" w:name="_Toc423420087"/>
      <w:bookmarkStart w:id="1237" w:name="_Toc450645294"/>
      <w:bookmarkStart w:id="1238" w:name="_Toc453942530"/>
      <w:bookmarkStart w:id="1239" w:name="_Toc454888147"/>
      <w:bookmarkStart w:id="1240" w:name="_Toc486241807"/>
      <w:bookmarkEnd w:id="1235"/>
      <w:r>
        <w:t>4.1.1.</w:t>
      </w:r>
      <w:r>
        <w:tab/>
        <w:t>Calendrier scolaire 201</w:t>
      </w:r>
      <w:bookmarkEnd w:id="1236"/>
      <w:bookmarkEnd w:id="1237"/>
      <w:bookmarkEnd w:id="1238"/>
      <w:bookmarkEnd w:id="1239"/>
      <w:r>
        <w:t>7-2018</w:t>
      </w:r>
      <w:bookmarkEnd w:id="1240"/>
    </w:p>
    <w:p>
      <w:pPr>
        <w:pStyle w:val="Corpsdetexte2"/>
        <w:rPr>
          <w:szCs w:val="22"/>
        </w:rPr>
      </w:pPr>
    </w:p>
    <w:p>
      <w:pPr>
        <w:pStyle w:val="Corpsdetexte2"/>
        <w:rPr>
          <w:szCs w:val="22"/>
        </w:rPr>
      </w:pPr>
      <w:r>
        <w:t xml:space="preserve">Le nombre de jours de classe est fixé à </w:t>
      </w:r>
      <w:r>
        <w:rPr>
          <w:b/>
          <w:u w:val="single"/>
        </w:rPr>
        <w:t>182</w:t>
      </w:r>
      <w:r>
        <w:t xml:space="preserve"> pour l'année scolaire 2017-2018.</w:t>
      </w:r>
    </w:p>
    <w:p>
      <w:pPr>
        <w:pStyle w:val="Corpsdetexte2"/>
        <w:rPr>
          <w:szCs w:val="22"/>
        </w:rPr>
      </w:pPr>
    </w:p>
    <w:tbl>
      <w:tblPr>
        <w:tblW w:w="9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94"/>
        <w:gridCol w:w="5854"/>
      </w:tblGrid>
      <w:tr>
        <w:trPr>
          <w:trHeight w:val="340"/>
        </w:trPr>
        <w:tc>
          <w:tcPr>
            <w:tcW w:w="3794" w:type="dxa"/>
            <w:vAlign w:val="center"/>
          </w:tcPr>
          <w:p>
            <w:r>
              <w:t>Rentrée scolaire</w:t>
            </w:r>
          </w:p>
        </w:tc>
        <w:tc>
          <w:tcPr>
            <w:tcW w:w="5854" w:type="dxa"/>
            <w:vAlign w:val="center"/>
          </w:tcPr>
          <w:p>
            <w:r>
              <w:t>Vendredi 1</w:t>
            </w:r>
            <w:r>
              <w:rPr>
                <w:vertAlign w:val="superscript"/>
              </w:rPr>
              <w:t>er</w:t>
            </w:r>
            <w:r>
              <w:t xml:space="preserve"> septembre 2017</w:t>
            </w:r>
          </w:p>
        </w:tc>
      </w:tr>
      <w:tr>
        <w:trPr>
          <w:trHeight w:val="340"/>
        </w:trPr>
        <w:tc>
          <w:tcPr>
            <w:tcW w:w="3794" w:type="dxa"/>
            <w:vAlign w:val="center"/>
          </w:tcPr>
          <w:p>
            <w:r>
              <w:t>Fête de la Fédération Wallonie-Bruxelles</w:t>
            </w:r>
          </w:p>
        </w:tc>
        <w:tc>
          <w:tcPr>
            <w:tcW w:w="5854" w:type="dxa"/>
            <w:vAlign w:val="center"/>
          </w:tcPr>
          <w:p>
            <w:r>
              <w:t>Mercredi 27 septembre 2017</w:t>
            </w:r>
          </w:p>
        </w:tc>
      </w:tr>
      <w:tr>
        <w:trPr>
          <w:trHeight w:val="340"/>
        </w:trPr>
        <w:tc>
          <w:tcPr>
            <w:tcW w:w="3794" w:type="dxa"/>
            <w:vAlign w:val="center"/>
          </w:tcPr>
          <w:p>
            <w:r>
              <w:t>Congé d'automne (Toussaint)</w:t>
            </w:r>
          </w:p>
        </w:tc>
        <w:tc>
          <w:tcPr>
            <w:tcW w:w="5854" w:type="dxa"/>
          </w:tcPr>
          <w:p>
            <w:r>
              <w:t>Du lundi 30 octobre 2017 au vendredi 3 novembre 2017</w:t>
            </w:r>
          </w:p>
        </w:tc>
      </w:tr>
      <w:tr>
        <w:trPr>
          <w:trHeight w:val="340"/>
        </w:trPr>
        <w:tc>
          <w:tcPr>
            <w:tcW w:w="3794" w:type="dxa"/>
            <w:vAlign w:val="center"/>
          </w:tcPr>
          <w:p>
            <w:r>
              <w:t>Vacances de Noël (d'hiver)</w:t>
            </w:r>
          </w:p>
        </w:tc>
        <w:tc>
          <w:tcPr>
            <w:tcW w:w="5854" w:type="dxa"/>
          </w:tcPr>
          <w:p>
            <w:r>
              <w:t>Du lundi 25 décembre 2017 au vendredi 5 janvier 2018</w:t>
            </w:r>
          </w:p>
        </w:tc>
      </w:tr>
      <w:tr>
        <w:trPr>
          <w:trHeight w:val="340"/>
        </w:trPr>
        <w:tc>
          <w:tcPr>
            <w:tcW w:w="3794" w:type="dxa"/>
            <w:vAlign w:val="center"/>
          </w:tcPr>
          <w:p>
            <w:r>
              <w:t>Congé de Carnaval (de détente)</w:t>
            </w:r>
          </w:p>
        </w:tc>
        <w:tc>
          <w:tcPr>
            <w:tcW w:w="5854" w:type="dxa"/>
          </w:tcPr>
          <w:p>
            <w:r>
              <w:t>Du lundi 12 février 2018 au vendredi 16 février 2018</w:t>
            </w:r>
          </w:p>
        </w:tc>
      </w:tr>
      <w:tr>
        <w:trPr>
          <w:trHeight w:val="340"/>
        </w:trPr>
        <w:tc>
          <w:tcPr>
            <w:tcW w:w="3794" w:type="dxa"/>
            <w:vAlign w:val="center"/>
          </w:tcPr>
          <w:p>
            <w:r>
              <w:t>Vacances de Pâques (de printemps)</w:t>
            </w:r>
          </w:p>
        </w:tc>
        <w:tc>
          <w:tcPr>
            <w:tcW w:w="5854" w:type="dxa"/>
          </w:tcPr>
          <w:p>
            <w:r>
              <w:t>Du lundi 2 avril 2018 au vendredi 13 avril 2018</w:t>
            </w:r>
          </w:p>
        </w:tc>
      </w:tr>
      <w:tr>
        <w:trPr>
          <w:trHeight w:val="340"/>
        </w:trPr>
        <w:tc>
          <w:tcPr>
            <w:tcW w:w="3794" w:type="dxa"/>
            <w:vAlign w:val="center"/>
          </w:tcPr>
          <w:p>
            <w:r>
              <w:t>Fête du 1</w:t>
            </w:r>
            <w:r>
              <w:rPr>
                <w:vertAlign w:val="superscript"/>
              </w:rPr>
              <w:t>er</w:t>
            </w:r>
            <w:r>
              <w:t xml:space="preserve"> mai</w:t>
            </w:r>
          </w:p>
        </w:tc>
        <w:tc>
          <w:tcPr>
            <w:tcW w:w="5854" w:type="dxa"/>
            <w:vAlign w:val="center"/>
          </w:tcPr>
          <w:p>
            <w:r>
              <w:t>Mardi 1</w:t>
            </w:r>
            <w:r>
              <w:rPr>
                <w:vertAlign w:val="superscript"/>
              </w:rPr>
              <w:t xml:space="preserve">er </w:t>
            </w:r>
            <w:r>
              <w:t>mai 2018</w:t>
            </w:r>
          </w:p>
        </w:tc>
      </w:tr>
      <w:tr>
        <w:trPr>
          <w:trHeight w:val="340"/>
        </w:trPr>
        <w:tc>
          <w:tcPr>
            <w:tcW w:w="3794" w:type="dxa"/>
            <w:vAlign w:val="center"/>
          </w:tcPr>
          <w:p>
            <w:r>
              <w:t>Congé de l’Ascension</w:t>
            </w:r>
          </w:p>
        </w:tc>
        <w:tc>
          <w:tcPr>
            <w:tcW w:w="5854" w:type="dxa"/>
          </w:tcPr>
          <w:p>
            <w:r>
              <w:t>Jeudi 10 mai 2018</w:t>
            </w:r>
          </w:p>
        </w:tc>
      </w:tr>
      <w:tr>
        <w:trPr>
          <w:trHeight w:val="340"/>
        </w:trPr>
        <w:tc>
          <w:tcPr>
            <w:tcW w:w="3794" w:type="dxa"/>
            <w:vAlign w:val="center"/>
          </w:tcPr>
          <w:p>
            <w:r>
              <w:t>Lundi de Pentecôte</w:t>
            </w:r>
          </w:p>
        </w:tc>
        <w:tc>
          <w:tcPr>
            <w:tcW w:w="5854" w:type="dxa"/>
            <w:vAlign w:val="center"/>
          </w:tcPr>
          <w:p>
            <w:r>
              <w:t>Lundi 21 mai 2018</w:t>
            </w:r>
          </w:p>
        </w:tc>
      </w:tr>
      <w:tr>
        <w:trPr>
          <w:trHeight w:val="340"/>
        </w:trPr>
        <w:tc>
          <w:tcPr>
            <w:tcW w:w="3794" w:type="dxa"/>
            <w:vAlign w:val="center"/>
          </w:tcPr>
          <w:p>
            <w:r>
              <w:t>Les vacances d'été débutent le</w:t>
            </w:r>
          </w:p>
        </w:tc>
        <w:tc>
          <w:tcPr>
            <w:tcW w:w="5854" w:type="dxa"/>
            <w:vAlign w:val="center"/>
          </w:tcPr>
          <w:p>
            <w:r>
              <w:t>Lundi 2 juillet 2018</w:t>
            </w:r>
          </w:p>
        </w:tc>
      </w:tr>
    </w:tbl>
    <w:p/>
    <w:p/>
    <w:p>
      <w:pPr>
        <w:pStyle w:val="Titre3"/>
      </w:pPr>
      <w:bookmarkStart w:id="1241" w:name="_Toc423420088"/>
      <w:bookmarkStart w:id="1242" w:name="_Toc450645295"/>
      <w:bookmarkStart w:id="1243" w:name="_Toc453942531"/>
      <w:bookmarkStart w:id="1244" w:name="_Toc454888148"/>
      <w:bookmarkStart w:id="1245" w:name="_Toc486241808"/>
      <w:r>
        <w:t>4.1.2.</w:t>
      </w:r>
      <w:r>
        <w:tab/>
        <w:t>Calendrier scolaire 2018-201</w:t>
      </w:r>
      <w:bookmarkEnd w:id="1241"/>
      <w:bookmarkEnd w:id="1242"/>
      <w:bookmarkEnd w:id="1243"/>
      <w:bookmarkEnd w:id="1244"/>
      <w:r>
        <w:t>9</w:t>
      </w:r>
      <w:bookmarkEnd w:id="1245"/>
    </w:p>
    <w:p>
      <w:pPr>
        <w:pStyle w:val="Corpsdetexte2"/>
        <w:rPr>
          <w:szCs w:val="22"/>
        </w:rPr>
      </w:pPr>
    </w:p>
    <w:p>
      <w:pPr>
        <w:pStyle w:val="Corpsdetexte2"/>
        <w:rPr>
          <w:szCs w:val="22"/>
        </w:rPr>
      </w:pPr>
      <w:bookmarkStart w:id="1246" w:name="_Toc295932053"/>
      <w:bookmarkStart w:id="1247" w:name="_Toc295913783"/>
      <w:r>
        <w:t xml:space="preserve">Le nombre de jours de classe est fixé à </w:t>
      </w:r>
      <w:r>
        <w:rPr>
          <w:b/>
          <w:u w:val="single"/>
        </w:rPr>
        <w:t>181</w:t>
      </w:r>
      <w:r>
        <w:t xml:space="preserve"> pour l'année scolaire 2018-2019.</w:t>
      </w:r>
    </w:p>
    <w:p>
      <w:pPr>
        <w:pStyle w:val="Corpsdetexte2"/>
        <w:rPr>
          <w:szCs w:val="22"/>
        </w:rPr>
      </w:pPr>
    </w:p>
    <w:tbl>
      <w:tblPr>
        <w:tblW w:w="96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3794"/>
        <w:gridCol w:w="5854"/>
      </w:tblGrid>
      <w:tr>
        <w:trPr>
          <w:trHeight w:val="340"/>
        </w:trPr>
        <w:tc>
          <w:tcPr>
            <w:tcW w:w="3794" w:type="dxa"/>
            <w:vAlign w:val="center"/>
          </w:tcPr>
          <w:p>
            <w:r>
              <w:t>Rentrée scolaire</w:t>
            </w:r>
          </w:p>
        </w:tc>
        <w:tc>
          <w:tcPr>
            <w:tcW w:w="5854" w:type="dxa"/>
            <w:vAlign w:val="center"/>
          </w:tcPr>
          <w:p>
            <w:r>
              <w:t>Lundi 3 septembre 2018</w:t>
            </w:r>
          </w:p>
        </w:tc>
      </w:tr>
      <w:tr>
        <w:trPr>
          <w:trHeight w:val="340"/>
        </w:trPr>
        <w:tc>
          <w:tcPr>
            <w:tcW w:w="3794" w:type="dxa"/>
            <w:vAlign w:val="center"/>
          </w:tcPr>
          <w:p>
            <w:r>
              <w:t>Fête de la Fédération Wallonie-Bruxelles</w:t>
            </w:r>
          </w:p>
        </w:tc>
        <w:tc>
          <w:tcPr>
            <w:tcW w:w="5854" w:type="dxa"/>
            <w:vAlign w:val="center"/>
          </w:tcPr>
          <w:p>
            <w:r>
              <w:t>Jeudi 27 septembre 2018</w:t>
            </w:r>
          </w:p>
        </w:tc>
      </w:tr>
      <w:tr>
        <w:trPr>
          <w:trHeight w:val="340"/>
        </w:trPr>
        <w:tc>
          <w:tcPr>
            <w:tcW w:w="3794" w:type="dxa"/>
            <w:vAlign w:val="center"/>
          </w:tcPr>
          <w:p>
            <w:r>
              <w:t>Congé d'automne (Toussaint)</w:t>
            </w:r>
          </w:p>
        </w:tc>
        <w:tc>
          <w:tcPr>
            <w:tcW w:w="5854" w:type="dxa"/>
          </w:tcPr>
          <w:p>
            <w:r>
              <w:t>Du lundi 29 octobre 2018 au vendredi 2 novembre 2018</w:t>
            </w:r>
          </w:p>
        </w:tc>
      </w:tr>
      <w:tr>
        <w:trPr>
          <w:trHeight w:val="340"/>
        </w:trPr>
        <w:tc>
          <w:tcPr>
            <w:tcW w:w="3794" w:type="dxa"/>
            <w:vAlign w:val="center"/>
          </w:tcPr>
          <w:p>
            <w:r>
              <w:t>Vacances de Noël (d'hiver)</w:t>
            </w:r>
          </w:p>
        </w:tc>
        <w:tc>
          <w:tcPr>
            <w:tcW w:w="5854" w:type="dxa"/>
          </w:tcPr>
          <w:p>
            <w:r>
              <w:t>Du lundi 24 décembre 2018 au vendredi 4 janvier 2019</w:t>
            </w:r>
          </w:p>
        </w:tc>
      </w:tr>
      <w:tr>
        <w:trPr>
          <w:trHeight w:val="340"/>
        </w:trPr>
        <w:tc>
          <w:tcPr>
            <w:tcW w:w="3794" w:type="dxa"/>
            <w:vAlign w:val="center"/>
          </w:tcPr>
          <w:p>
            <w:r>
              <w:t>Congé de Carnaval (de détente)</w:t>
            </w:r>
          </w:p>
        </w:tc>
        <w:tc>
          <w:tcPr>
            <w:tcW w:w="5854" w:type="dxa"/>
          </w:tcPr>
          <w:p>
            <w:r>
              <w:t>Du lundi 4 mars 2019 au vendredi 8 mars 2019</w:t>
            </w:r>
          </w:p>
        </w:tc>
      </w:tr>
      <w:tr>
        <w:trPr>
          <w:trHeight w:val="340"/>
        </w:trPr>
        <w:tc>
          <w:tcPr>
            <w:tcW w:w="3794" w:type="dxa"/>
            <w:vAlign w:val="center"/>
          </w:tcPr>
          <w:p>
            <w:r>
              <w:t>Vacances de Pâques (de printemps)</w:t>
            </w:r>
          </w:p>
        </w:tc>
        <w:tc>
          <w:tcPr>
            <w:tcW w:w="5854" w:type="dxa"/>
          </w:tcPr>
          <w:p>
            <w:r>
              <w:t>Du lundi 15 avril 2019 au vendredi 26 avril 2019</w:t>
            </w:r>
          </w:p>
        </w:tc>
      </w:tr>
      <w:tr>
        <w:trPr>
          <w:trHeight w:val="340"/>
        </w:trPr>
        <w:tc>
          <w:tcPr>
            <w:tcW w:w="3794" w:type="dxa"/>
            <w:vAlign w:val="center"/>
          </w:tcPr>
          <w:p>
            <w:r>
              <w:t>Fête du 1</w:t>
            </w:r>
            <w:r>
              <w:rPr>
                <w:vertAlign w:val="superscript"/>
              </w:rPr>
              <w:t>er</w:t>
            </w:r>
            <w:r>
              <w:t xml:space="preserve"> mai</w:t>
            </w:r>
          </w:p>
        </w:tc>
        <w:tc>
          <w:tcPr>
            <w:tcW w:w="5854" w:type="dxa"/>
            <w:vAlign w:val="center"/>
          </w:tcPr>
          <w:p>
            <w:r>
              <w:t>Mercredi 1</w:t>
            </w:r>
            <w:r>
              <w:rPr>
                <w:vertAlign w:val="superscript"/>
              </w:rPr>
              <w:t>er</w:t>
            </w:r>
            <w:r>
              <w:t xml:space="preserve"> mai 2019</w:t>
            </w:r>
          </w:p>
        </w:tc>
      </w:tr>
      <w:tr>
        <w:trPr>
          <w:trHeight w:val="340"/>
        </w:trPr>
        <w:tc>
          <w:tcPr>
            <w:tcW w:w="3794" w:type="dxa"/>
            <w:vAlign w:val="center"/>
          </w:tcPr>
          <w:p>
            <w:r>
              <w:t>Congé de l’Ascension</w:t>
            </w:r>
          </w:p>
        </w:tc>
        <w:tc>
          <w:tcPr>
            <w:tcW w:w="5854" w:type="dxa"/>
          </w:tcPr>
          <w:p>
            <w:r>
              <w:t>Jeudi 30 mai 2019</w:t>
            </w:r>
          </w:p>
        </w:tc>
      </w:tr>
      <w:tr>
        <w:trPr>
          <w:trHeight w:val="340"/>
        </w:trPr>
        <w:tc>
          <w:tcPr>
            <w:tcW w:w="3794" w:type="dxa"/>
            <w:vAlign w:val="center"/>
          </w:tcPr>
          <w:p>
            <w:r>
              <w:t>Lundi de Pentecôte</w:t>
            </w:r>
          </w:p>
        </w:tc>
        <w:tc>
          <w:tcPr>
            <w:tcW w:w="5854" w:type="dxa"/>
            <w:vAlign w:val="center"/>
          </w:tcPr>
          <w:p>
            <w:r>
              <w:t>Lundi 10 juin 2019</w:t>
            </w:r>
          </w:p>
        </w:tc>
      </w:tr>
      <w:tr>
        <w:trPr>
          <w:trHeight w:val="340"/>
        </w:trPr>
        <w:tc>
          <w:tcPr>
            <w:tcW w:w="3794" w:type="dxa"/>
            <w:vAlign w:val="center"/>
          </w:tcPr>
          <w:p>
            <w:r>
              <w:t>Les vacances d'été débutent le</w:t>
            </w:r>
          </w:p>
        </w:tc>
        <w:tc>
          <w:tcPr>
            <w:tcW w:w="5854" w:type="dxa"/>
            <w:vAlign w:val="center"/>
          </w:tcPr>
          <w:p>
            <w:r>
              <w:t>Lundi 1</w:t>
            </w:r>
            <w:r>
              <w:rPr>
                <w:vertAlign w:val="superscript"/>
              </w:rPr>
              <w:t>er</w:t>
            </w:r>
            <w:r>
              <w:t xml:space="preserve"> juillet 2019</w:t>
            </w:r>
          </w:p>
        </w:tc>
      </w:tr>
    </w:tbl>
    <w:p/>
    <w:p>
      <w:r>
        <w:t xml:space="preserve">Ce calendrier est établi </w:t>
      </w:r>
      <w:r>
        <w:rPr>
          <w:u w:val="single"/>
        </w:rPr>
        <w:t>sous réserve</w:t>
      </w:r>
      <w:r>
        <w:t xml:space="preserve"> de l’approbation par le Gouvernement de l’arrêté fixant les congés et vacances scolaires pour l’année scolaire 2018-2019. </w:t>
      </w:r>
    </w:p>
    <w:p>
      <w:pPr>
        <w:pStyle w:val="Titre3"/>
      </w:pPr>
      <w:bookmarkStart w:id="1248" w:name="Section4_1_3"/>
      <w:bookmarkStart w:id="1249" w:name="_Toc423420089"/>
      <w:bookmarkStart w:id="1250" w:name="_Toc450645296"/>
      <w:bookmarkStart w:id="1251" w:name="_Toc453942532"/>
      <w:bookmarkStart w:id="1252" w:name="_Toc454888149"/>
      <w:bookmarkStart w:id="1253" w:name="_Toc486241809"/>
      <w:r>
        <w:t>4.1.3.</w:t>
      </w:r>
      <w:bookmarkEnd w:id="1248"/>
      <w:r>
        <w:tab/>
        <w:t>Suspension de cours</w:t>
      </w:r>
      <w:bookmarkEnd w:id="1246"/>
      <w:bookmarkEnd w:id="1247"/>
      <w:bookmarkEnd w:id="1249"/>
      <w:bookmarkEnd w:id="1250"/>
      <w:bookmarkEnd w:id="1251"/>
      <w:bookmarkEnd w:id="1252"/>
      <w:bookmarkEnd w:id="1253"/>
    </w:p>
    <w:p>
      <w:pPr>
        <w:pStyle w:val="Corpsdetexte2"/>
        <w:rPr>
          <w:sz w:val="16"/>
          <w:szCs w:val="16"/>
        </w:rPr>
      </w:pPr>
    </w:p>
    <w:p>
      <w:pPr>
        <w:pStyle w:val="Corpsdetexte2"/>
      </w:pPr>
      <w:r>
        <w:t>Les cours peuvent être suspendus afin d'organiser des épreuves d'évaluation pendant 10 jours au maximum sur l'année en 5</w:t>
      </w:r>
      <w:r>
        <w:rPr>
          <w:vertAlign w:val="superscript"/>
        </w:rPr>
        <w:t>e</w:t>
      </w:r>
      <w:r>
        <w:t xml:space="preserve"> et 6</w:t>
      </w:r>
      <w:r>
        <w:rPr>
          <w:vertAlign w:val="superscript"/>
        </w:rPr>
        <w:t>e</w:t>
      </w:r>
      <w:r>
        <w:t xml:space="preserve"> primaires, pendant 5 jours au maximum sur l'année en 2</w:t>
      </w:r>
      <w:r>
        <w:rPr>
          <w:vertAlign w:val="superscript"/>
        </w:rPr>
        <w:t>e</w:t>
      </w:r>
      <w:r>
        <w:t xml:space="preserve"> et 4</w:t>
      </w:r>
      <w:r>
        <w:rPr>
          <w:vertAlign w:val="superscript"/>
        </w:rPr>
        <w:t>e</w:t>
      </w:r>
      <w:r>
        <w:t xml:space="preserve"> primaires. Pendant ces journées, les élèves sont tenus à la fréquentation normale de l'école.</w:t>
      </w:r>
    </w:p>
    <w:p>
      <w:pPr>
        <w:pStyle w:val="Corpsdetexte2"/>
        <w:rPr>
          <w:iCs/>
          <w:sz w:val="12"/>
          <w:szCs w:val="12"/>
        </w:rPr>
      </w:pPr>
    </w:p>
    <w:p>
      <w:pPr>
        <w:pStyle w:val="Corpsdetexte"/>
        <w:autoSpaceDE w:val="0"/>
        <w:autoSpaceDN w:val="0"/>
        <w:adjustRightInd w:val="0"/>
        <w:rPr>
          <w:spacing w:val="0"/>
          <w:szCs w:val="20"/>
          <w:u w:val="single"/>
        </w:rPr>
      </w:pPr>
      <w:r>
        <w:rPr>
          <w:spacing w:val="0"/>
        </w:rPr>
        <w:t xml:space="preserve">Les cours peuvent également être suspendus les après-midi des 3 ou 4 journées durant lesquelles est organisée, en matinée, l'épreuve externe commune octroyant le CEB. </w:t>
      </w:r>
      <w:r>
        <w:rPr>
          <w:spacing w:val="0"/>
          <w:u w:val="single"/>
        </w:rPr>
        <w:t xml:space="preserve">Durant ces après-midi, un accueil des élèves qui se présentent à l’école doit être assuré. </w:t>
      </w:r>
    </w:p>
    <w:p>
      <w:pPr>
        <w:pStyle w:val="Corpsdetexte2"/>
        <w:rPr>
          <w:iCs/>
          <w:sz w:val="12"/>
          <w:szCs w:val="12"/>
        </w:rPr>
      </w:pPr>
    </w:p>
    <w:p>
      <w:pPr>
        <w:pStyle w:val="Corpsdetexte2"/>
        <w:spacing w:after="80"/>
        <w:rPr>
          <w:spacing w:val="-6"/>
        </w:rPr>
      </w:pPr>
      <w:r>
        <w:rPr>
          <w:spacing w:val="-6"/>
        </w:rPr>
        <w:t>Les cours sont suspendus pendant 6 demi-jours maximum afin de permettre aux membres du personnel :</w:t>
      </w:r>
    </w:p>
    <w:p>
      <w:pPr>
        <w:pStyle w:val="Corpsdetexte2"/>
        <w:ind w:left="539" w:hanging="360"/>
      </w:pPr>
      <w:r>
        <w:t>1°</w:t>
      </w:r>
      <w:r>
        <w:tab/>
        <w:t>de participer aux 2 demi-jours de formation obligatoire visés parmi ceux de l'article 7, § 2, alinéa 2, 1°, et § 3, alinéa 2, 1°, du décret du 11 juillet 2002 relatif à la formation en cours de carrière des membres du personnel des établissements d'enseignement fondamental ordinaire. Ces demi-jours de formation sont dispensés par l'inspection.</w:t>
      </w:r>
    </w:p>
    <w:p>
      <w:pPr>
        <w:pStyle w:val="Corpsdetexte2"/>
        <w:spacing w:before="80"/>
        <w:ind w:left="537" w:hanging="357"/>
      </w:pPr>
      <w:r>
        <w:t>2°</w:t>
      </w:r>
      <w:r>
        <w:tab/>
        <w:t>de participer à 4 demi-jours de formation obligatoire visés parmi ceux de l'article 7, § 2, alinéa 2, 2°, et § 3, alinéa 2, 2°, du décret susvisé.</w:t>
      </w:r>
    </w:p>
    <w:p>
      <w:pPr>
        <w:pStyle w:val="Corpsdetexte2"/>
        <w:ind w:left="537" w:hanging="357"/>
        <w:rPr>
          <w:sz w:val="12"/>
          <w:szCs w:val="12"/>
        </w:rPr>
      </w:pPr>
    </w:p>
    <w:p>
      <w:pPr>
        <w:pStyle w:val="Corpsdetexte2"/>
      </w:pPr>
      <w:r>
        <w:t>Par dérogation à ce qui précède, le Gouvernement peut :</w:t>
      </w:r>
    </w:p>
    <w:p>
      <w:pPr>
        <w:pStyle w:val="Corpsdetexte2"/>
        <w:numPr>
          <w:ilvl w:val="0"/>
          <w:numId w:val="113"/>
        </w:numPr>
        <w:ind w:left="991"/>
      </w:pPr>
      <w:r>
        <w:t>pour permettre l'organisation d'une journée supplémentaire de formation motivée par des circonstances exceptionnelles et organisée conformément à l'article 3, § 1</w:t>
      </w:r>
      <w:r>
        <w:rPr>
          <w:sz w:val="16"/>
          <w:vertAlign w:val="superscript"/>
        </w:rPr>
        <w:t>er</w:t>
      </w:r>
      <w:r>
        <w:rPr>
          <w:sz w:val="16"/>
        </w:rPr>
        <w:t xml:space="preserve"> </w:t>
      </w:r>
      <w:r>
        <w:t>3° du décret susvisé, suspendre les cours pendant 2 demi-jours ;</w:t>
      </w:r>
    </w:p>
    <w:p>
      <w:pPr>
        <w:pStyle w:val="Corpsdetexte2"/>
        <w:numPr>
          <w:ilvl w:val="0"/>
          <w:numId w:val="113"/>
        </w:numPr>
        <w:ind w:left="991"/>
      </w:pPr>
      <w:r>
        <w:t>décider de l’organisation obligatoire de 2 demi-journées supplémentaires au niveau visé par l’article 3, § 1</w:t>
      </w:r>
      <w:r>
        <w:rPr>
          <w:vertAlign w:val="superscript"/>
        </w:rPr>
        <w:t>er</w:t>
      </w:r>
      <w:r>
        <w:t xml:space="preserve">, 3° du décret susvisé, dont il fixe le moment et la ou les thématique(s) abordée(s) pour l’ensemble des établissements. </w:t>
      </w:r>
    </w:p>
    <w:p>
      <w:pPr>
        <w:pStyle w:val="Corpsdetexte2"/>
        <w:rPr>
          <w:sz w:val="12"/>
          <w:szCs w:val="12"/>
        </w:rPr>
      </w:pPr>
    </w:p>
    <w:p>
      <w:pPr>
        <w:pStyle w:val="Corpsdetexte2"/>
      </w:pPr>
      <w:r>
        <w:t xml:space="preserve">Pendant ces journées, les élèves ne sont pas tenus à la fréquentation normale de l'école. </w:t>
      </w:r>
    </w:p>
    <w:p>
      <w:pPr>
        <w:pStyle w:val="Corpsdetexte2"/>
        <w:rPr>
          <w:sz w:val="12"/>
          <w:szCs w:val="12"/>
        </w:rPr>
      </w:pPr>
    </w:p>
    <w:p>
      <w:pPr>
        <w:pStyle w:val="Corpsdetexte2"/>
      </w:pPr>
      <w:r>
        <w:t>Le nombre de journées de formation obligatoire est, en cas d’emploi à temps partiel, réduit au prorata de l’horaire presté.</w:t>
      </w:r>
    </w:p>
    <w:p>
      <w:pPr>
        <w:pStyle w:val="Corpsdetexte2"/>
        <w:rPr>
          <w:sz w:val="12"/>
          <w:szCs w:val="12"/>
        </w:rPr>
      </w:pPr>
    </w:p>
    <w:p>
      <w:pPr>
        <w:pStyle w:val="Corpsdetexte2"/>
        <w:rPr>
          <w:spacing w:val="-6"/>
        </w:rPr>
      </w:pPr>
      <w:r>
        <w:rPr>
          <w:spacing w:val="-6"/>
        </w:rPr>
        <w:t xml:space="preserve">Lorsqu'il n'existe pas de congé de réserve et qu'une festivité locale rend impossible la tenue des cours, le Pouvoir organisateur est tenu d'organiser deux des 4 demi-jours de formation visés au 2° ci-dessus pendant un jour de congé des élèves. Il en informe par écrit </w:t>
      </w:r>
      <w:smartTag w:uri="urn:schemas-microsoft-com:office:smarttags" w:element="PersonName">
        <w:smartTagPr>
          <w:attr w:name="ProductID" w:val="la Direction"/>
        </w:smartTagPr>
        <w:r>
          <w:rPr>
            <w:spacing w:val="-6"/>
          </w:rPr>
          <w:t>la Direction</w:t>
        </w:r>
      </w:smartTag>
      <w:r>
        <w:rPr>
          <w:spacing w:val="-6"/>
        </w:rPr>
        <w:t xml:space="preserve"> générale de l'Enseignement obligatoire.</w:t>
      </w:r>
    </w:p>
    <w:p>
      <w:pPr>
        <w:pStyle w:val="Corpsdetexte2"/>
        <w:rPr>
          <w:spacing w:val="-6"/>
          <w:sz w:val="12"/>
        </w:rPr>
      </w:pPr>
    </w:p>
    <w:p>
      <w:pPr>
        <w:pStyle w:val="Corpsdetexte2"/>
        <w:rPr>
          <w:spacing w:val="-4"/>
        </w:rPr>
      </w:pPr>
      <w:r>
        <w:rPr>
          <w:spacing w:val="-4"/>
        </w:rPr>
        <w:t>Lorsqu’une école décide de suspendre les cours pour raisons exceptionnelles (ex: panne de chauffage), les cours doivent obligatoirement être récupérés. Le chef d’établissement (réseau FWB) ou le Pouvoir organisateur (enseignement subventionné) doit informer par écrit la Direction générale de l'enseignement obligatoire, de l’horaire et des dates choisies pour cette récupération.</w:t>
      </w:r>
    </w:p>
    <w:p>
      <w:pPr>
        <w:pStyle w:val="Corpsdetexte2"/>
        <w:rPr>
          <w:spacing w:val="-4"/>
          <w:highlight w:val="yellow"/>
        </w:rPr>
      </w:pPr>
    </w:p>
    <w:p>
      <w:pPr>
        <w:pStyle w:val="Corpsdetexte2"/>
        <w:rPr>
          <w:spacing w:val="-4"/>
        </w:rPr>
      </w:pPr>
    </w:p>
    <w:p>
      <w:pPr>
        <w:pStyle w:val="Titre3"/>
      </w:pPr>
      <w:bookmarkStart w:id="1254" w:name="_Toc423420090"/>
      <w:bookmarkStart w:id="1255" w:name="_Toc450645297"/>
      <w:bookmarkStart w:id="1256" w:name="_Toc453942533"/>
      <w:bookmarkStart w:id="1257" w:name="_Toc454888150"/>
      <w:bookmarkStart w:id="1258" w:name="_Toc486241810"/>
      <w:r>
        <w:t>4.1.4.</w:t>
      </w:r>
      <w:r>
        <w:tab/>
        <w:t>Respect du calendrier scolaire</w:t>
      </w:r>
      <w:bookmarkEnd w:id="1254"/>
      <w:bookmarkEnd w:id="1255"/>
      <w:bookmarkEnd w:id="1256"/>
      <w:bookmarkEnd w:id="1257"/>
      <w:bookmarkEnd w:id="1258"/>
    </w:p>
    <w:p>
      <w:pPr>
        <w:pStyle w:val="Corpsdetexte2"/>
        <w:rPr>
          <w:spacing w:val="-4"/>
          <w:szCs w:val="22"/>
        </w:rPr>
      </w:pPr>
    </w:p>
    <w:p>
      <w:pPr>
        <w:pStyle w:val="Corpsdetexte2"/>
        <w:rPr>
          <w:spacing w:val="-4"/>
          <w:szCs w:val="22"/>
        </w:rPr>
      </w:pPr>
      <w:r>
        <w:rPr>
          <w:spacing w:val="-4"/>
          <w:szCs w:val="22"/>
        </w:rPr>
        <w:t>Le calendrier scolaire prévoit le début des vacances d’été le 1</w:t>
      </w:r>
      <w:r>
        <w:rPr>
          <w:spacing w:val="-4"/>
          <w:szCs w:val="22"/>
          <w:vertAlign w:val="superscript"/>
        </w:rPr>
        <w:t>er</w:t>
      </w:r>
      <w:r>
        <w:rPr>
          <w:spacing w:val="-4"/>
          <w:szCs w:val="22"/>
        </w:rPr>
        <w:t xml:space="preserve"> juillet (cfr article 5 de l’arrêté susvisé). Toutes les dispositions organisationnelles et pédagogiques doivent donc être prises pour que les derniers jours ouvrables du mois de juin soient bien des jours de classe effectifs. Il relève de l’entière responsabilité de chaque Pouvoir organisateur et/ou de chaque direction d’école de déterminer la nature des activités pédagogiques et éducatives qui seront proposées aux élèves en fin d’année scolaire.</w:t>
      </w:r>
    </w:p>
    <w:p>
      <w:pPr>
        <w:pStyle w:val="Corpsdetexte2"/>
        <w:rPr>
          <w:spacing w:val="-4"/>
          <w:szCs w:val="22"/>
          <w:highlight w:val="red"/>
        </w:rPr>
      </w:pPr>
    </w:p>
    <w:p>
      <w:pPr>
        <w:pStyle w:val="Titre2"/>
      </w:pPr>
      <w:r>
        <w:rPr>
          <w:sz w:val="22"/>
          <w:szCs w:val="22"/>
        </w:rPr>
        <w:br w:type="page"/>
      </w:r>
      <w:bookmarkStart w:id="1259" w:name="_Toc295932054"/>
      <w:bookmarkStart w:id="1260" w:name="_Toc295913784"/>
      <w:bookmarkStart w:id="1261" w:name="_Toc423420091"/>
      <w:bookmarkStart w:id="1262" w:name="_Toc450645298"/>
      <w:bookmarkStart w:id="1263" w:name="_Toc453942534"/>
      <w:bookmarkStart w:id="1264" w:name="_Toc454888151"/>
      <w:bookmarkStart w:id="1265" w:name="_Toc486241811"/>
      <w:r>
        <w:t>Chapitre 4.2.</w:t>
      </w:r>
      <w:r>
        <w:tab/>
        <w:t>Horaire hebdomadaire des élèves</w:t>
      </w:r>
      <w:bookmarkEnd w:id="1259"/>
      <w:bookmarkEnd w:id="1260"/>
      <w:bookmarkEnd w:id="1261"/>
      <w:bookmarkEnd w:id="1262"/>
      <w:bookmarkEnd w:id="1263"/>
      <w:bookmarkEnd w:id="1264"/>
      <w:bookmarkEnd w:id="1265"/>
    </w:p>
    <w:p>
      <w:pPr>
        <w:rPr>
          <w:sz w:val="28"/>
        </w:rPr>
      </w:pPr>
    </w:p>
    <w:p>
      <w:pPr>
        <w:tabs>
          <w:tab w:val="left" w:pos="1620"/>
        </w:tabs>
        <w:jc w:val="both"/>
        <w:rPr>
          <w:i/>
        </w:rPr>
      </w:pPr>
      <w:r>
        <w:rPr>
          <w:b/>
          <w:i/>
          <w:u w:val="single"/>
        </w:rPr>
        <w:t>Bases légales</w:t>
      </w:r>
      <w:r>
        <w:rPr>
          <w:i/>
        </w:rPr>
        <w:t>:</w:t>
      </w:r>
      <w:r>
        <w:rPr>
          <w:i/>
        </w:rPr>
        <w:tab/>
      </w:r>
      <w:hyperlink r:id="rId115" w:history="1">
        <w:r>
          <w:rPr>
            <w:rStyle w:val="Lienhypertexte"/>
            <w:i/>
            <w:color w:val="auto"/>
          </w:rPr>
          <w:t>Décret-Cadre du 13/07/1998, articles 3 à 11</w:t>
        </w:r>
      </w:hyperlink>
      <w:r>
        <w:rPr>
          <w:i/>
        </w:rPr>
        <w:t xml:space="preserve">; </w:t>
      </w:r>
    </w:p>
    <w:p>
      <w:pPr>
        <w:tabs>
          <w:tab w:val="left" w:pos="1620"/>
        </w:tabs>
        <w:ind w:left="707" w:firstLine="708"/>
        <w:jc w:val="both"/>
        <w:rPr>
          <w:i/>
        </w:rPr>
      </w:pPr>
      <w:r>
        <w:rPr>
          <w:i/>
        </w:rPr>
        <w:tab/>
      </w:r>
      <w:hyperlink r:id="rId116" w:history="1">
        <w:r>
          <w:rPr>
            <w:rStyle w:val="Lienhypertexte"/>
            <w:i/>
            <w:color w:val="auto"/>
          </w:rPr>
          <w:t>Décret-Missions du 24/07/1997</w:t>
        </w:r>
      </w:hyperlink>
      <w:r>
        <w:rPr>
          <w:i/>
        </w:rPr>
        <w:t xml:space="preserve">. </w:t>
      </w:r>
    </w:p>
    <w:p>
      <w:pPr>
        <w:rPr>
          <w:szCs w:val="22"/>
        </w:rPr>
      </w:pPr>
    </w:p>
    <w:p>
      <w:pPr>
        <w:pStyle w:val="Titre3"/>
      </w:pPr>
      <w:bookmarkStart w:id="1266" w:name="_Toc295932055"/>
      <w:bookmarkStart w:id="1267" w:name="_Toc295913785"/>
      <w:bookmarkStart w:id="1268" w:name="_Toc423420092"/>
      <w:bookmarkStart w:id="1269" w:name="_Toc450645299"/>
      <w:bookmarkStart w:id="1270" w:name="_Toc453942535"/>
      <w:bookmarkStart w:id="1271" w:name="_Toc454888152"/>
      <w:bookmarkStart w:id="1272" w:name="_Toc486241812"/>
      <w:r>
        <w:t>4.2.1.</w:t>
      </w:r>
      <w:r>
        <w:tab/>
        <w:t>Dispositions communes à l'enseignement maternel et primaire</w:t>
      </w:r>
      <w:bookmarkEnd w:id="1266"/>
      <w:bookmarkEnd w:id="1267"/>
      <w:bookmarkEnd w:id="1268"/>
      <w:bookmarkEnd w:id="1269"/>
      <w:bookmarkEnd w:id="1270"/>
      <w:bookmarkEnd w:id="1271"/>
      <w:bookmarkEnd w:id="1272"/>
    </w:p>
    <w:p>
      <w:pPr>
        <w:pStyle w:val="Notedebasdepage"/>
        <w:rPr>
          <w:sz w:val="16"/>
          <w:szCs w:val="16"/>
          <w:lang w:val="fr-BE"/>
        </w:rPr>
      </w:pPr>
    </w:p>
    <w:p>
      <w:pPr>
        <w:jc w:val="both"/>
      </w:pPr>
      <w:r>
        <w:t>L’horaire des élèves doit compter 28 périodes (de 50 minutes) hebdomadaires de cours et d’activités répondant aux dispositions du Décret -Missions.</w:t>
      </w:r>
    </w:p>
    <w:p>
      <w:pPr>
        <w:jc w:val="both"/>
        <w:rPr>
          <w:sz w:val="12"/>
        </w:rPr>
      </w:pPr>
    </w:p>
    <w:p>
      <w:pPr>
        <w:jc w:val="both"/>
      </w:pPr>
      <w:r>
        <w:t>Ces 28 périodes hebdomadaires sont étalées sur neuf demi-journées, du lundi matin au vendredi soir. L’horaire est continu. Chaque journée complète comprend au minimum une récréation de 15 minutes le matin et une interruption d’une heure entre les cours de la matinée et ceux de l’après-midi. Les récréations ne font pas partie des 28 périodes précitées.</w:t>
      </w:r>
    </w:p>
    <w:p>
      <w:pPr>
        <w:jc w:val="both"/>
        <w:rPr>
          <w:sz w:val="16"/>
        </w:rPr>
      </w:pPr>
    </w:p>
    <w:p>
      <w:pPr>
        <w:jc w:val="both"/>
      </w:pPr>
      <w:r>
        <w:t xml:space="preserve">Les périodes de cours sont insécables. Cependant, après avoir consulté les instances prévues aux articles 3, 4, 18 et 19 du Décret-Cadre, le directeur, dans l’enseignement de </w:t>
      </w:r>
      <w:smartTag w:uri="urn:schemas-microsoft-com:office:smarttags" w:element="PersonName">
        <w:smartTagPr>
          <w:attr w:name="ProductID" w:val="la F￩d￩ration Wallonie-Bruxelles"/>
        </w:smartTagPr>
        <w:r>
          <w:t>la Fédération Wallonie-Bruxelles</w:t>
        </w:r>
      </w:smartTag>
      <w:r>
        <w:t>, le Pouvoir organisateur, dans l’enseignement subventionné, peut:</w:t>
      </w:r>
    </w:p>
    <w:p>
      <w:pPr>
        <w:spacing w:before="120"/>
        <w:ind w:left="719" w:hanging="360"/>
        <w:jc w:val="both"/>
        <w:rPr>
          <w:spacing w:val="-4"/>
        </w:rPr>
      </w:pPr>
      <w:r>
        <w:t>1.</w:t>
      </w:r>
      <w:r>
        <w:tab/>
      </w:r>
      <w:r>
        <w:rPr>
          <w:spacing w:val="-4"/>
        </w:rPr>
        <w:t>soit décomposer une période hebdomadaire en autant de parties que nécessaire à répartir dans différentes demi-journées (exemple: 10 minutes à ajouter chaque matin, soit 50 minutes);</w:t>
      </w:r>
    </w:p>
    <w:p>
      <w:pPr>
        <w:spacing w:before="120"/>
        <w:ind w:left="719" w:hanging="360"/>
        <w:jc w:val="both"/>
      </w:pPr>
      <w:r>
        <w:t>2.</w:t>
      </w:r>
      <w:r>
        <w:tab/>
        <w:t>soit couper une période chaque jour en deux parties à répartir dans la journée considérée (exemple: les lundi, mardi, jeudi et vendredi, 20 minutes le matin et 30 minutes l’après-midi).</w:t>
      </w:r>
    </w:p>
    <w:p/>
    <w:p>
      <w:pPr>
        <w:pStyle w:val="Titre3"/>
      </w:pPr>
      <w:bookmarkStart w:id="1273" w:name="_Toc295932056"/>
      <w:bookmarkStart w:id="1274" w:name="_Toc295913786"/>
      <w:bookmarkStart w:id="1275" w:name="_Toc423420093"/>
      <w:bookmarkStart w:id="1276" w:name="_Toc450645300"/>
      <w:bookmarkStart w:id="1277" w:name="_Toc453942536"/>
      <w:bookmarkStart w:id="1278" w:name="_Toc454888153"/>
      <w:bookmarkStart w:id="1279" w:name="_Toc486241813"/>
      <w:r>
        <w:t>4.2.2.</w:t>
      </w:r>
      <w:r>
        <w:tab/>
        <w:t>Horaire des élèves dans l'enseignement maternel</w:t>
      </w:r>
      <w:bookmarkEnd w:id="1273"/>
      <w:bookmarkEnd w:id="1274"/>
      <w:bookmarkEnd w:id="1275"/>
      <w:bookmarkEnd w:id="1276"/>
      <w:bookmarkEnd w:id="1277"/>
      <w:bookmarkEnd w:id="1278"/>
      <w:bookmarkEnd w:id="1279"/>
    </w:p>
    <w:p>
      <w:pPr>
        <w:jc w:val="both"/>
        <w:rPr>
          <w:b/>
          <w:sz w:val="16"/>
          <w:szCs w:val="16"/>
          <w:u w:val="single"/>
        </w:rPr>
      </w:pPr>
    </w:p>
    <w:p>
      <w:pPr>
        <w:jc w:val="both"/>
      </w:pPr>
      <w:r>
        <w:t>Dans l’enseignement maternel, l’horaire hebdomadaire des élèves comprend obligatoirement:</w:t>
      </w:r>
    </w:p>
    <w:p>
      <w:pPr>
        <w:jc w:val="both"/>
        <w:rPr>
          <w:sz w:val="12"/>
        </w:rPr>
      </w:pPr>
    </w:p>
    <w:p>
      <w:pPr>
        <w:pStyle w:val="Listepuces"/>
        <w:numPr>
          <w:ilvl w:val="0"/>
          <w:numId w:val="82"/>
        </w:numPr>
        <w:tabs>
          <w:tab w:val="clear" w:pos="2460"/>
          <w:tab w:val="num" w:pos="720"/>
        </w:tabs>
        <w:ind w:left="719"/>
      </w:pPr>
      <w:r>
        <w:t>26 périodes assurées par les instituteurs. Dans les écoles autorisées à assurer un apprentissage par immersion, une partie de ces périodes sont données dans une langue autre que le français.</w:t>
      </w:r>
    </w:p>
    <w:p>
      <w:pPr>
        <w:pStyle w:val="Listepuces"/>
        <w:tabs>
          <w:tab w:val="num" w:pos="720"/>
        </w:tabs>
        <w:ind w:left="719" w:hanging="360"/>
        <w:rPr>
          <w:sz w:val="12"/>
        </w:rPr>
      </w:pPr>
    </w:p>
    <w:p>
      <w:pPr>
        <w:pStyle w:val="Listepuces"/>
        <w:numPr>
          <w:ilvl w:val="0"/>
          <w:numId w:val="82"/>
        </w:numPr>
        <w:tabs>
          <w:tab w:val="clear" w:pos="2460"/>
          <w:tab w:val="num" w:pos="720"/>
        </w:tabs>
        <w:ind w:left="719"/>
      </w:pPr>
      <w:r>
        <w:t>2 périodes de psychomotricité.</w:t>
      </w:r>
    </w:p>
    <w:p>
      <w:pPr>
        <w:pStyle w:val="Listepuces"/>
        <w:rPr>
          <w:sz w:val="16"/>
        </w:rPr>
      </w:pPr>
    </w:p>
    <w:p>
      <w:pPr>
        <w:pStyle w:val="Listepuces"/>
      </w:pPr>
      <w:r>
        <w:t xml:space="preserve">Le chef d’établissement pour l’enseignement organisé par </w:t>
      </w:r>
      <w:smartTag w:uri="urn:schemas-microsoft-com:office:smarttags" w:element="PersonName">
        <w:smartTagPr>
          <w:attr w:name="ProductID" w:val="la F￩d￩ration Wallonie-Bruxelles"/>
        </w:smartTagPr>
        <w:r>
          <w:t>la Fédération Wallonie-Bruxelles</w:t>
        </w:r>
      </w:smartTag>
      <w:r>
        <w:t xml:space="preserve">, ou le Pouvoir organisateur pour l’enseignement subventionné, peut réduire l’horaire hebdomadaire à 26 périodes. Cette mesure doit être prise de manière collective et nécessite l’avis du Conseil de Participation. Cette information doit être renseignée sur la grille horaire. Mais l’horaire des élèves en maternel est obligatoirement de 28 périodes dès le début de l’année scolaire à partir de laquelle </w:t>
      </w:r>
      <w:r>
        <w:rPr>
          <w:u w:val="single"/>
        </w:rPr>
        <w:t>toutes les classes</w:t>
      </w:r>
      <w:r>
        <w:t xml:space="preserve"> maternelles de l’établissement ou de l’implantation scolaire disposent de 2 périodes de psychomotricité.</w:t>
      </w:r>
    </w:p>
    <w:p>
      <w:pPr>
        <w:pStyle w:val="Listepuces"/>
      </w:pPr>
    </w:p>
    <w:p>
      <w:pPr>
        <w:pStyle w:val="Titre3"/>
      </w:pPr>
      <w:bookmarkStart w:id="1280" w:name="_4.2.3._Horaire_des"/>
      <w:bookmarkStart w:id="1281" w:name="_Toc295932057"/>
      <w:bookmarkStart w:id="1282" w:name="_Toc295913787"/>
      <w:bookmarkStart w:id="1283" w:name="_Toc423420094"/>
      <w:bookmarkStart w:id="1284" w:name="_Toc450645301"/>
      <w:bookmarkStart w:id="1285" w:name="_Toc453942537"/>
      <w:bookmarkStart w:id="1286" w:name="_Toc454888154"/>
      <w:bookmarkStart w:id="1287" w:name="_Toc486241814"/>
      <w:bookmarkEnd w:id="1280"/>
      <w:r>
        <w:t>4.2.3.</w:t>
      </w:r>
      <w:r>
        <w:tab/>
        <w:t>Horaire des élèves dans l'enseignement primaire</w:t>
      </w:r>
      <w:bookmarkEnd w:id="1281"/>
      <w:bookmarkEnd w:id="1282"/>
      <w:bookmarkEnd w:id="1283"/>
      <w:bookmarkEnd w:id="1284"/>
      <w:bookmarkEnd w:id="1285"/>
      <w:bookmarkEnd w:id="1286"/>
      <w:bookmarkEnd w:id="1287"/>
    </w:p>
    <w:p>
      <w:pPr>
        <w:pStyle w:val="Listepuces"/>
        <w:rPr>
          <w:sz w:val="16"/>
          <w:szCs w:val="16"/>
        </w:rPr>
      </w:pPr>
    </w:p>
    <w:p>
      <w:pPr>
        <w:pStyle w:val="Listepuces"/>
      </w:pPr>
      <w:r>
        <w:t>L’horaire hebdomadaire des élèves comprend obligatoirement:</w:t>
      </w:r>
    </w:p>
    <w:p>
      <w:pPr>
        <w:pStyle w:val="Listepuces"/>
        <w:rPr>
          <w:sz w:val="16"/>
          <w:szCs w:val="16"/>
        </w:rPr>
      </w:pPr>
    </w:p>
    <w:p>
      <w:pPr>
        <w:pStyle w:val="Listepuces"/>
        <w:numPr>
          <w:ilvl w:val="0"/>
          <w:numId w:val="84"/>
        </w:numPr>
        <w:tabs>
          <w:tab w:val="clear" w:pos="2460"/>
          <w:tab w:val="num" w:pos="720"/>
        </w:tabs>
        <w:ind w:left="719"/>
      </w:pPr>
      <w:r>
        <w:t>2 périodes d’éducation physique (y compris la natation);</w:t>
      </w:r>
    </w:p>
    <w:p>
      <w:pPr>
        <w:pStyle w:val="Listepuces"/>
        <w:tabs>
          <w:tab w:val="num" w:pos="720"/>
        </w:tabs>
        <w:ind w:left="719" w:hanging="360"/>
        <w:rPr>
          <w:sz w:val="12"/>
        </w:rPr>
      </w:pPr>
    </w:p>
    <w:p>
      <w:pPr>
        <w:pStyle w:val="Listepuces"/>
        <w:numPr>
          <w:ilvl w:val="0"/>
          <w:numId w:val="83"/>
        </w:numPr>
        <w:tabs>
          <w:tab w:val="clear" w:pos="2460"/>
          <w:tab w:val="num" w:pos="720"/>
        </w:tabs>
        <w:ind w:left="719"/>
        <w:rPr>
          <w:strike/>
        </w:rPr>
      </w:pPr>
      <w:r>
        <w:t>2 périodes de cours philosophique ou d’encadrement pédagogique alternatif;</w:t>
      </w:r>
    </w:p>
    <w:p>
      <w:pPr>
        <w:pStyle w:val="Listepuces"/>
        <w:tabs>
          <w:tab w:val="num" w:pos="720"/>
        </w:tabs>
        <w:ind w:left="719" w:hanging="360"/>
        <w:rPr>
          <w:sz w:val="12"/>
        </w:rPr>
      </w:pPr>
    </w:p>
    <w:p>
      <w:pPr>
        <w:pStyle w:val="Listepuces"/>
        <w:numPr>
          <w:ilvl w:val="0"/>
          <w:numId w:val="83"/>
        </w:numPr>
        <w:tabs>
          <w:tab w:val="clear" w:pos="2460"/>
          <w:tab w:val="num" w:pos="720"/>
        </w:tabs>
        <w:ind w:left="719"/>
      </w:pPr>
      <w:r>
        <w:t>2 périodes de langue moderne en 5</w:t>
      </w:r>
      <w:r>
        <w:rPr>
          <w:vertAlign w:val="superscript"/>
        </w:rPr>
        <w:t>e</w:t>
      </w:r>
      <w:r>
        <w:t xml:space="preserve"> et 6</w:t>
      </w:r>
      <w:r>
        <w:rPr>
          <w:vertAlign w:val="superscript"/>
        </w:rPr>
        <w:t>e</w:t>
      </w:r>
      <w:r>
        <w:t xml:space="preserve"> primaires, sauf dans les écoles situées en région de Bruxelles-Capitale et dans les communes de Comines-Warneton, Mouscron, Flobecq, Enghien, Malmedy, Waimes, Baelen, Plombières et Welkenraedt où 5 périodes de langue moderne doivent être organisées ;</w:t>
      </w:r>
    </w:p>
    <w:p>
      <w:pPr>
        <w:pStyle w:val="Listepuces"/>
        <w:tabs>
          <w:tab w:val="num" w:pos="720"/>
        </w:tabs>
        <w:ind w:left="719" w:hanging="360"/>
        <w:rPr>
          <w:sz w:val="12"/>
        </w:rPr>
      </w:pPr>
    </w:p>
    <w:p>
      <w:pPr>
        <w:pStyle w:val="Listepuces"/>
        <w:numPr>
          <w:ilvl w:val="0"/>
          <w:numId w:val="85"/>
        </w:numPr>
        <w:tabs>
          <w:tab w:val="clear" w:pos="2460"/>
          <w:tab w:val="num" w:pos="720"/>
        </w:tabs>
        <w:ind w:left="719"/>
      </w:pPr>
      <w:r>
        <w:t>3 périodes de langue moderne en 3</w:t>
      </w:r>
      <w:r>
        <w:rPr>
          <w:vertAlign w:val="superscript"/>
        </w:rPr>
        <w:t>e</w:t>
      </w:r>
      <w:r>
        <w:t xml:space="preserve"> et 4</w:t>
      </w:r>
      <w:r>
        <w:rPr>
          <w:vertAlign w:val="superscript"/>
        </w:rPr>
        <w:t>e</w:t>
      </w:r>
      <w:r>
        <w:t xml:space="preserve"> primaires dans les écoles situées en région de Bruxelles-Capitale et dans les communes de Comines-Warneton, Mouscron, Flobecq, Enghien, Malmedy, Waimes, Baelen, Plombières et Welkenraedt.</w:t>
      </w:r>
    </w:p>
    <w:p>
      <w:pPr>
        <w:pStyle w:val="Listepuces"/>
        <w:rPr>
          <w:sz w:val="16"/>
          <w:szCs w:val="16"/>
        </w:rPr>
      </w:pPr>
    </w:p>
    <w:p>
      <w:pPr>
        <w:pStyle w:val="Listepuces"/>
      </w:pPr>
      <w:r>
        <w:t xml:space="preserve">A l’exception des cours philosophiques, toutes les autres périodes de cours ont pour objectif de permettre aux élèves d'atteindre les Socles de compétences, et doivent comprendre les activités visées aux </w:t>
      </w:r>
      <w:hyperlink w:anchor="_1.1.3._Socles_de" w:history="1">
        <w:r>
          <w:rPr>
            <w:rStyle w:val="Lienhypertexte"/>
            <w:color w:val="auto"/>
          </w:rPr>
          <w:t>sections 1.1.3.</w:t>
        </w:r>
      </w:hyperlink>
      <w:r>
        <w:t xml:space="preserve"> et </w:t>
      </w:r>
      <w:hyperlink w:anchor="_1.1.4._Activités_obligatoires_" w:history="1">
        <w:r>
          <w:rPr>
            <w:rStyle w:val="Lienhypertexte"/>
            <w:color w:val="auto"/>
          </w:rPr>
          <w:t>1.1.4.</w:t>
        </w:r>
      </w:hyperlink>
      <w:r>
        <w:t xml:space="preserve"> de la présente circulaire. </w:t>
      </w:r>
    </w:p>
    <w:p>
      <w:pPr>
        <w:pStyle w:val="Listepuces"/>
      </w:pPr>
      <w:r>
        <w:t>Le chef d’établissement pour l’enseignement organisé par la Fédération Wallonie-Bruxelles ou le Pouvoir organisateur pour l’enseignement subventionné peut porter l’horaire hebdomadaire à 29, 30 ou 31 périodes. Cette information doit être renseignée sur la grille-horaire. Cette mesure peut n'être prise que pour un seul ou deux des degrés et nécessite l’avis du Conseil de Participation.</w:t>
      </w:r>
    </w:p>
    <w:p>
      <w:pPr>
        <w:pStyle w:val="Listepuces"/>
        <w:rPr>
          <w:sz w:val="16"/>
        </w:rPr>
      </w:pPr>
    </w:p>
    <w:p>
      <w:pPr>
        <w:pStyle w:val="Listepuces"/>
      </w:pPr>
      <w:r>
        <w:t>Ces périodes supplémentaires sont utilisées notamment pour organiser:</w:t>
      </w:r>
    </w:p>
    <w:p>
      <w:pPr>
        <w:pStyle w:val="Listepuces"/>
        <w:numPr>
          <w:ilvl w:val="0"/>
          <w:numId w:val="90"/>
        </w:numPr>
        <w:ind w:left="719"/>
      </w:pPr>
      <w:r>
        <w:t>un complément au cours de langue moderne;</w:t>
      </w:r>
    </w:p>
    <w:p>
      <w:pPr>
        <w:pStyle w:val="Listepuces"/>
        <w:numPr>
          <w:ilvl w:val="0"/>
          <w:numId w:val="90"/>
        </w:numPr>
        <w:ind w:left="719"/>
      </w:pPr>
      <w:r>
        <w:t>un complément au cours d’éducation physique;</w:t>
      </w:r>
    </w:p>
    <w:p>
      <w:pPr>
        <w:pStyle w:val="Listepuces"/>
        <w:numPr>
          <w:ilvl w:val="0"/>
          <w:numId w:val="90"/>
        </w:numPr>
        <w:ind w:left="719"/>
      </w:pPr>
      <w:r>
        <w:t>les périodes d’adaptation à la langue de l’enseignement.</w:t>
      </w:r>
    </w:p>
    <w:p>
      <w:pPr>
        <w:pStyle w:val="Listepuces"/>
        <w:rPr>
          <w:sz w:val="16"/>
        </w:rPr>
      </w:pPr>
    </w:p>
    <w:p>
      <w:pPr>
        <w:pStyle w:val="Listepuces"/>
      </w:pPr>
      <w:r>
        <w:t>L’horaire est continu en ce qui concerne les cours obligatoires. Le passage de 28 à 29, 30 ou 31 périodes avec intégration des périodes supplémentaires implique que celles-ci relèvent de la gratuité de l’enseignement et doivent être consacrées à des cours et activités obligatoires que tous les enfants doivent donc suivre.</w:t>
      </w:r>
    </w:p>
    <w:p>
      <w:pPr>
        <w:pStyle w:val="Listepuces"/>
        <w:rPr>
          <w:sz w:val="16"/>
        </w:rPr>
      </w:pPr>
    </w:p>
    <w:p>
      <w:pPr>
        <w:pStyle w:val="Listepuces"/>
      </w:pPr>
      <w:r>
        <w:t>Toutes ces périodes complémentaires peuvent être encadrées par l’utilisation de périodes du capital-périodes. Toutes les périodes pouvant être encadrées par le capital-périodes doivent bien entendu l’être en respect des arrêtés relatifs aux titres requis et aux titres jugés suffisants.</w:t>
      </w:r>
    </w:p>
    <w:p>
      <w:pPr>
        <w:pStyle w:val="Listepuces"/>
        <w:rPr>
          <w:sz w:val="16"/>
        </w:rPr>
      </w:pPr>
    </w:p>
    <w:p>
      <w:pPr>
        <w:pStyle w:val="Listepuces"/>
      </w:pPr>
      <w:r>
        <w:t xml:space="preserve">Un Pouvoir organisateur a bien entendu toujours le droit d’organiser un complément extérieur à l’horaire hebdomadaire obligatoire. Ces activités et ateliers complémentaires, facultatifs et éventuellement payants, offerts aux élèves ne peuvent jamais être intégrés dans l’horaire des périodes hebdomadaires obligatoires. Ils ne peuvent avoir lieu qu’avant la première période ou après la dernière période des demi-journées de l’horaire hebdomadaire. </w:t>
      </w:r>
    </w:p>
    <w:p/>
    <w:p>
      <w:pPr>
        <w:pStyle w:val="Titre2"/>
      </w:pPr>
      <w:r>
        <w:br w:type="page"/>
      </w:r>
      <w:bookmarkStart w:id="1288" w:name="Chapitre4_3"/>
      <w:bookmarkStart w:id="1289" w:name="_Toc453942538"/>
      <w:bookmarkStart w:id="1290" w:name="_Toc454888155"/>
      <w:bookmarkStart w:id="1291" w:name="_Toc486241815"/>
      <w:r>
        <w:t>Chapitre 4.3.</w:t>
      </w:r>
      <w:bookmarkEnd w:id="1288"/>
      <w:r>
        <w:t xml:space="preserve"> </w:t>
      </w:r>
      <w:r>
        <w:tab/>
        <w:t>Cours de morale non confessionnelle, de religion, de philosophie et de citoyenneté dans l’enseignement primaire</w:t>
      </w:r>
      <w:bookmarkEnd w:id="1289"/>
      <w:bookmarkEnd w:id="1290"/>
      <w:bookmarkEnd w:id="1291"/>
    </w:p>
    <w:p>
      <w:pPr>
        <w:rPr>
          <w:sz w:val="28"/>
        </w:rPr>
      </w:pPr>
    </w:p>
    <w:p>
      <w:pPr>
        <w:pStyle w:val="Corpsdetexte2"/>
        <w:ind w:left="1799" w:hanging="1800"/>
        <w:rPr>
          <w:i/>
        </w:rPr>
      </w:pPr>
      <w:r>
        <w:rPr>
          <w:b/>
          <w:i/>
          <w:u w:val="single"/>
        </w:rPr>
        <w:t>Bases légales</w:t>
      </w:r>
      <w:r>
        <w:rPr>
          <w:i/>
        </w:rPr>
        <w:t>:</w:t>
      </w:r>
      <w:r>
        <w:rPr>
          <w:i/>
        </w:rPr>
        <w:tab/>
      </w:r>
      <w:hyperlink r:id="rId117" w:history="1">
        <w:r>
          <w:rPr>
            <w:rStyle w:val="Lienhypertexte"/>
            <w:i/>
            <w:color w:val="auto"/>
          </w:rPr>
          <w:t>Loi du "Pacte scolaire" du 29/05/1959 articles 8 à 11 et 24</w:t>
        </w:r>
      </w:hyperlink>
      <w:r>
        <w:rPr>
          <w:i/>
        </w:rPr>
        <w:t xml:space="preserve">; </w:t>
      </w:r>
    </w:p>
    <w:p>
      <w:pPr>
        <w:pStyle w:val="Corpsdetexte2"/>
        <w:ind w:left="1799"/>
        <w:rPr>
          <w:i/>
        </w:rPr>
      </w:pPr>
      <w:hyperlink r:id="rId118" w:history="1">
        <w:r>
          <w:rPr>
            <w:rStyle w:val="Lienhypertexte"/>
            <w:i/>
            <w:color w:val="auto"/>
          </w:rPr>
          <w:t>Décret-Cadre du 13/07/1998 articles 39 à 40</w:t>
        </w:r>
      </w:hyperlink>
      <w:r>
        <w:rPr>
          <w:i/>
        </w:rPr>
        <w:t xml:space="preserve">; </w:t>
      </w:r>
    </w:p>
    <w:p>
      <w:pPr>
        <w:pStyle w:val="Corpsdetexte2"/>
        <w:ind w:left="1799"/>
        <w:rPr>
          <w:i/>
        </w:rPr>
      </w:pPr>
      <w:hyperlink r:id="rId119" w:history="1">
        <w:r>
          <w:rPr>
            <w:rStyle w:val="Lienhypertexte"/>
            <w:i/>
            <w:color w:val="auto"/>
          </w:rPr>
          <w:t>Décret-Missions du 24/07/1997 article 79 §1 alinéa 3</w:t>
        </w:r>
      </w:hyperlink>
      <w:r>
        <w:rPr>
          <w:i/>
        </w:rPr>
        <w:t>.</w:t>
      </w:r>
    </w:p>
    <w:p>
      <w:pPr>
        <w:pStyle w:val="Corpsdetexte2"/>
        <w:ind w:left="1799"/>
        <w:rPr>
          <w:i/>
        </w:rPr>
      </w:pPr>
      <w:hyperlink r:id="rId120" w:history="1">
        <w:r>
          <w:rPr>
            <w:rStyle w:val="Lienhypertexte"/>
            <w:i/>
            <w:color w:val="auto"/>
          </w:rPr>
          <w:t>Décret du 22/10/2015 relatif à l’organisation d’un cours et d’une éducation à la philosophie et à la citoyenneté</w:t>
        </w:r>
      </w:hyperlink>
    </w:p>
    <w:p>
      <w:pPr>
        <w:pStyle w:val="Corpsdetexte2"/>
        <w:ind w:left="1799"/>
        <w:rPr>
          <w:i/>
        </w:rPr>
      </w:pPr>
    </w:p>
    <w:p>
      <w:pPr>
        <w:pStyle w:val="En-tte"/>
        <w:tabs>
          <w:tab w:val="clear" w:pos="4536"/>
          <w:tab w:val="clear" w:pos="9072"/>
        </w:tabs>
        <w:rPr>
          <w:szCs w:val="22"/>
        </w:rPr>
      </w:pPr>
    </w:p>
    <w:p>
      <w:pPr>
        <w:pStyle w:val="Titre3"/>
      </w:pPr>
      <w:bookmarkStart w:id="1292" w:name="_Toc295932059"/>
      <w:bookmarkStart w:id="1293" w:name="_Toc295913789"/>
      <w:bookmarkStart w:id="1294" w:name="_Toc391629057"/>
      <w:bookmarkStart w:id="1295" w:name="_Toc453942539"/>
      <w:bookmarkStart w:id="1296" w:name="_Toc454888156"/>
      <w:bookmarkStart w:id="1297" w:name="_Toc486241816"/>
      <w:r>
        <w:t>4.3.1.</w:t>
      </w:r>
      <w:r>
        <w:tab/>
      </w:r>
      <w:bookmarkEnd w:id="1292"/>
      <w:bookmarkEnd w:id="1293"/>
      <w:bookmarkEnd w:id="1294"/>
      <w:bookmarkEnd w:id="1295"/>
      <w:bookmarkEnd w:id="1296"/>
      <w:r>
        <w:t>Enseignements libre confessionnel et libre non confessionnel qui offre exclusivement le cours de morale non confessionnelle</w:t>
      </w:r>
      <w:bookmarkEnd w:id="1297"/>
      <w:r>
        <w:t xml:space="preserve"> </w:t>
      </w:r>
    </w:p>
    <w:p>
      <w:pPr>
        <w:numPr>
          <w:ilvl w:val="12"/>
          <w:numId w:val="0"/>
        </w:numPr>
        <w:jc w:val="both"/>
      </w:pPr>
    </w:p>
    <w:p>
      <w:pPr>
        <w:numPr>
          <w:ilvl w:val="12"/>
          <w:numId w:val="0"/>
        </w:numPr>
        <w:jc w:val="both"/>
      </w:pPr>
      <w:r>
        <w:rPr>
          <w:rFonts w:cs="Arial"/>
          <w:szCs w:val="22"/>
          <w:lang w:val="fr-BE" w:eastAsia="en-US"/>
        </w:rPr>
        <w:t>Dans les établissements de l'</w:t>
      </w:r>
      <w:r>
        <w:rPr>
          <w:rFonts w:cs="Arial"/>
          <w:b/>
          <w:szCs w:val="22"/>
          <w:lang w:val="fr-BE" w:eastAsia="en-US"/>
        </w:rPr>
        <w:t>enseignement libre confessionnel</w:t>
      </w:r>
      <w:r>
        <w:rPr>
          <w:rFonts w:cs="Arial"/>
          <w:szCs w:val="22"/>
          <w:lang w:val="fr-BE" w:eastAsia="en-US"/>
        </w:rPr>
        <w:t xml:space="preserve"> et dans les établissements de l'</w:t>
      </w:r>
      <w:r>
        <w:rPr>
          <w:rFonts w:cs="Arial"/>
          <w:b/>
          <w:szCs w:val="22"/>
          <w:lang w:val="fr-BE" w:eastAsia="en-US"/>
        </w:rPr>
        <w:t>enseignement libre non confessionnel qui offrent exclusivement le cours de morale non confessionnelle</w:t>
      </w:r>
      <w:r>
        <w:rPr>
          <w:rFonts w:cs="Arial"/>
          <w:szCs w:val="22"/>
          <w:lang w:val="fr-BE" w:eastAsia="en-US"/>
        </w:rPr>
        <w:t xml:space="preserve">, </w:t>
      </w:r>
      <w:r>
        <w:rPr>
          <w:rFonts w:cs="Arial"/>
          <w:szCs w:val="22"/>
        </w:rPr>
        <w:t>l’horaire hebdomadaire comprend 2 périodes de la religion</w:t>
      </w:r>
      <w:r>
        <w:rPr>
          <w:rStyle w:val="Appelnotedebasdep"/>
          <w:rFonts w:cs="Arial"/>
          <w:szCs w:val="22"/>
        </w:rPr>
        <w:footnoteReference w:id="74"/>
      </w:r>
      <w:r>
        <w:rPr>
          <w:rFonts w:cs="Arial"/>
          <w:szCs w:val="22"/>
        </w:rPr>
        <w:t xml:space="preserve"> correspondant à la confession de l’établissement</w:t>
      </w:r>
      <w:r>
        <w:rPr>
          <w:rFonts w:cs="Arial"/>
          <w:szCs w:val="22"/>
          <w:lang w:val="fr-BE" w:eastAsia="en-US"/>
        </w:rPr>
        <w:t xml:space="preserve"> ou 2 périodes de morale non confessionnelle. L’éducation à la philosophie et à la citoyenneté est dispensée dans le cadre des cours de la grille horaire à raison de l'équivalent d'une période hebdomadaire ou à raison de 30 périodes minimum par an.</w:t>
      </w:r>
    </w:p>
    <w:p/>
    <w:p>
      <w:pPr>
        <w:pStyle w:val="Titre3"/>
      </w:pPr>
      <w:bookmarkStart w:id="1298" w:name="section4_3_2"/>
      <w:bookmarkStart w:id="1299" w:name="_Toc295932060"/>
      <w:bookmarkStart w:id="1300" w:name="_Toc295913790"/>
      <w:bookmarkStart w:id="1301" w:name="_Toc391629058"/>
      <w:bookmarkStart w:id="1302" w:name="_Toc453942540"/>
      <w:bookmarkStart w:id="1303" w:name="_Toc454888157"/>
      <w:bookmarkStart w:id="1304" w:name="_Toc486241817"/>
      <w:r>
        <w:t>4.3.2.</w:t>
      </w:r>
      <w:bookmarkEnd w:id="1298"/>
      <w:r>
        <w:tab/>
      </w:r>
      <w:bookmarkEnd w:id="1299"/>
      <w:bookmarkEnd w:id="1300"/>
      <w:bookmarkEnd w:id="1301"/>
      <w:bookmarkEnd w:id="1302"/>
      <w:bookmarkEnd w:id="1303"/>
      <w:r>
        <w:t>Enseignements officiel organisé et subventionné, libre non confessionnel qui offre le choix entre les différents cours de religion ou de morale non confessionnelle</w:t>
      </w:r>
      <w:bookmarkEnd w:id="1304"/>
      <w:r>
        <w:t xml:space="preserve"> </w:t>
      </w:r>
    </w:p>
    <w:p>
      <w:pPr>
        <w:rPr>
          <w:szCs w:val="22"/>
        </w:rPr>
      </w:pPr>
    </w:p>
    <w:p>
      <w:pPr>
        <w:numPr>
          <w:ilvl w:val="12"/>
          <w:numId w:val="0"/>
        </w:numPr>
        <w:jc w:val="both"/>
        <w:rPr>
          <w:szCs w:val="22"/>
        </w:rPr>
      </w:pPr>
      <w:r>
        <w:rPr>
          <w:szCs w:val="22"/>
        </w:rPr>
        <w:t xml:space="preserve">Dans l'enseignement officiel organisé ou subventionné et dans </w:t>
      </w:r>
      <w:r>
        <w:rPr>
          <w:rFonts w:cs="Arial"/>
          <w:szCs w:val="22"/>
          <w:lang w:val="fr-BE" w:eastAsia="fr-BE"/>
        </w:rPr>
        <w:t>l'enseignement libre non confessionnel subventionné qui offre le choix entre les différents cours de religion ou de morale non confessionnelle</w:t>
      </w:r>
      <w:r>
        <w:rPr>
          <w:szCs w:val="22"/>
        </w:rPr>
        <w:t xml:space="preserve">, lors </w:t>
      </w:r>
      <w:r>
        <w:rPr>
          <w:color w:val="000000" w:themeColor="text1"/>
          <w:szCs w:val="22"/>
        </w:rPr>
        <w:t xml:space="preserve">de l’inscription d’un </w:t>
      </w:r>
      <w:r>
        <w:rPr>
          <w:szCs w:val="22"/>
        </w:rPr>
        <w:t>enfant, les parents ou la personne investie de l’autorité parentale, sont tenus de choisir pour celui-ci entre le cours de religion catholique, protestante, israélite, orthodoxe ou islamique, et le cours de morale non confessionnelle. Le cours choisi est dispensé à raison d’une période par semaine.</w:t>
      </w:r>
    </w:p>
    <w:p>
      <w:pPr>
        <w:numPr>
          <w:ilvl w:val="12"/>
          <w:numId w:val="0"/>
        </w:numPr>
        <w:jc w:val="both"/>
        <w:rPr>
          <w:szCs w:val="22"/>
        </w:rPr>
      </w:pPr>
    </w:p>
    <w:p>
      <w:pPr>
        <w:numPr>
          <w:ilvl w:val="12"/>
          <w:numId w:val="0"/>
        </w:numPr>
        <w:jc w:val="both"/>
        <w:rPr>
          <w:color w:val="000000" w:themeColor="text1"/>
          <w:szCs w:val="22"/>
        </w:rPr>
      </w:pPr>
      <w:r>
        <w:rPr>
          <w:szCs w:val="22"/>
        </w:rPr>
        <w:t xml:space="preserve">Les parents ou la personne investie de l’autorité parentale, ont également le droit d’obtenir, sans motivation, la dispense de suivre un cours de religion ou de morale non confessionnelle. </w:t>
      </w:r>
      <w:r>
        <w:rPr>
          <w:color w:val="000000" w:themeColor="text1"/>
          <w:szCs w:val="22"/>
        </w:rPr>
        <w:t>Dans ce cas, l’élève se verra dispenser une période de philosophie et de citoyenneté.</w:t>
      </w:r>
    </w:p>
    <w:p>
      <w:pPr>
        <w:numPr>
          <w:ilvl w:val="12"/>
          <w:numId w:val="0"/>
        </w:numPr>
        <w:jc w:val="both"/>
        <w:rPr>
          <w:color w:val="000000" w:themeColor="text1"/>
          <w:szCs w:val="22"/>
        </w:rPr>
      </w:pPr>
    </w:p>
    <w:p>
      <w:pPr>
        <w:numPr>
          <w:ilvl w:val="12"/>
          <w:numId w:val="0"/>
        </w:numPr>
        <w:jc w:val="both"/>
        <w:rPr>
          <w:szCs w:val="22"/>
        </w:rPr>
      </w:pPr>
      <w:r>
        <w:rPr>
          <w:szCs w:val="22"/>
        </w:rPr>
        <w:t>Un cours commun de philosophie et de citoyenneté est de plus organisé pour tous les élèves primaires à raison d’une période hebdomadaire par classe.</w:t>
      </w:r>
    </w:p>
    <w:p>
      <w:pPr>
        <w:numPr>
          <w:ilvl w:val="12"/>
          <w:numId w:val="0"/>
        </w:numPr>
        <w:jc w:val="both"/>
        <w:rPr>
          <w:szCs w:val="22"/>
        </w:rPr>
      </w:pPr>
    </w:p>
    <w:p>
      <w:pPr>
        <w:numPr>
          <w:ilvl w:val="12"/>
          <w:numId w:val="0"/>
        </w:numPr>
        <w:jc w:val="both"/>
        <w:rPr>
          <w:szCs w:val="22"/>
        </w:rPr>
      </w:pPr>
      <w:r>
        <w:rPr>
          <w:color w:val="000000" w:themeColor="text1"/>
          <w:szCs w:val="22"/>
        </w:rPr>
        <w:t xml:space="preserve">Le choix des parents ou de la personne investie de l’autorité parentale entre </w:t>
      </w:r>
      <w:r>
        <w:rPr>
          <w:rFonts w:cs="Arial"/>
          <w:szCs w:val="22"/>
          <w:lang w:val="fr-BE" w:eastAsia="fr-BE"/>
        </w:rPr>
        <w:t xml:space="preserve">les différents cours de religion, de morale non confessionnel ou le cours de philosophie et de citoyenneté en cas de dispense </w:t>
      </w:r>
      <w:r>
        <w:rPr>
          <w:color w:val="000000" w:themeColor="text1"/>
          <w:szCs w:val="22"/>
        </w:rPr>
        <w:t>est entièrement libre. Il est formellement interdit à quiconque d'exercer sur le bénéficiaire de ce choix une pression quelconque</w:t>
      </w:r>
      <w:r>
        <w:rPr>
          <w:color w:val="00B050"/>
          <w:szCs w:val="22"/>
        </w:rPr>
        <w:t xml:space="preserve">. </w:t>
      </w:r>
    </w:p>
    <w:p>
      <w:pPr>
        <w:numPr>
          <w:ilvl w:val="12"/>
          <w:numId w:val="0"/>
        </w:numPr>
        <w:jc w:val="both"/>
        <w:rPr>
          <w:szCs w:val="22"/>
        </w:rPr>
      </w:pPr>
    </w:p>
    <w:p>
      <w:pPr>
        <w:numPr>
          <w:ilvl w:val="12"/>
          <w:numId w:val="0"/>
        </w:numPr>
        <w:jc w:val="both"/>
        <w:rPr>
          <w:color w:val="000000" w:themeColor="text1"/>
          <w:szCs w:val="22"/>
        </w:rPr>
      </w:pPr>
      <w:r>
        <w:rPr>
          <w:color w:val="000000" w:themeColor="text1"/>
          <w:szCs w:val="22"/>
        </w:rPr>
        <w:t xml:space="preserve">Le formulaire de choix </w:t>
      </w:r>
      <w:r>
        <w:rPr>
          <w:szCs w:val="22"/>
        </w:rPr>
        <w:t>(</w:t>
      </w:r>
      <w:hyperlink w:anchor="Annexe_43" w:history="1">
        <w:r>
          <w:rPr>
            <w:rStyle w:val="Lienhypertexte"/>
            <w:szCs w:val="22"/>
          </w:rPr>
          <w:t>annexe 4.3.</w:t>
        </w:r>
      </w:hyperlink>
      <w:r>
        <w:rPr>
          <w:szCs w:val="22"/>
        </w:rPr>
        <w:t>)</w:t>
      </w:r>
      <w:r>
        <w:rPr>
          <w:color w:val="000000" w:themeColor="text1"/>
          <w:szCs w:val="22"/>
        </w:rPr>
        <w:t xml:space="preserve"> est complété et signé par les parents ou la personne investie de l’autorité parentale lors de l’inscription.</w:t>
      </w:r>
    </w:p>
    <w:p>
      <w:pPr>
        <w:numPr>
          <w:ilvl w:val="12"/>
          <w:numId w:val="0"/>
        </w:numPr>
        <w:jc w:val="both"/>
        <w:rPr>
          <w:color w:val="000000" w:themeColor="text1"/>
          <w:szCs w:val="22"/>
        </w:rPr>
      </w:pPr>
    </w:p>
    <w:p>
      <w:pPr>
        <w:numPr>
          <w:ilvl w:val="12"/>
          <w:numId w:val="0"/>
        </w:numPr>
        <w:jc w:val="both"/>
        <w:rPr>
          <w:color w:val="000000" w:themeColor="text1"/>
          <w:u w:val="single"/>
        </w:rPr>
      </w:pPr>
      <w:r>
        <w:rPr>
          <w:color w:val="000000" w:themeColor="text1"/>
          <w:u w:val="single"/>
        </w:rPr>
        <w:t>Le choix ne peut être modifié que durant le mois de mai, seulement et uniquement en vue de l’année scolaire suivante.</w:t>
      </w:r>
    </w:p>
    <w:p>
      <w:pPr>
        <w:numPr>
          <w:ilvl w:val="12"/>
          <w:numId w:val="0"/>
        </w:numPr>
        <w:jc w:val="both"/>
        <w:rPr>
          <w:color w:val="000000" w:themeColor="text1"/>
          <w:u w:val="single"/>
        </w:rPr>
      </w:pPr>
    </w:p>
    <w:p>
      <w:pPr>
        <w:numPr>
          <w:ilvl w:val="12"/>
          <w:numId w:val="0"/>
        </w:numPr>
        <w:jc w:val="both"/>
        <w:rPr>
          <w:color w:val="000000" w:themeColor="text1"/>
        </w:rPr>
      </w:pPr>
      <w:r>
        <w:rPr>
          <w:color w:val="000000" w:themeColor="text1"/>
        </w:rPr>
        <w:t xml:space="preserve">Le directeur doit rappeler aux parents la faculté qui leur est donnée de modifier leur choix durant le mois de mai seulement ou uniquement pour l’année scolaire suivante. </w:t>
      </w:r>
    </w:p>
    <w:p>
      <w:pPr>
        <w:numPr>
          <w:ilvl w:val="12"/>
          <w:numId w:val="0"/>
        </w:numPr>
        <w:jc w:val="both"/>
        <w:rPr>
          <w:color w:val="000000" w:themeColor="text1"/>
          <w:u w:val="single"/>
        </w:rPr>
      </w:pPr>
    </w:p>
    <w:p>
      <w:pPr>
        <w:numPr>
          <w:ilvl w:val="12"/>
          <w:numId w:val="0"/>
        </w:numPr>
        <w:jc w:val="both"/>
        <w:rPr>
          <w:szCs w:val="22"/>
        </w:rPr>
      </w:pPr>
      <w:r>
        <w:rPr>
          <w:color w:val="000000" w:themeColor="text1"/>
          <w:szCs w:val="22"/>
        </w:rPr>
        <w:t xml:space="preserve">Le formulaire de choix </w:t>
      </w:r>
      <w:r>
        <w:rPr>
          <w:szCs w:val="22"/>
        </w:rPr>
        <w:t>(</w:t>
      </w:r>
      <w:hyperlink w:anchor="Annexe_43" w:history="1">
        <w:r>
          <w:rPr>
            <w:rStyle w:val="Lienhypertexte"/>
            <w:szCs w:val="22"/>
          </w:rPr>
          <w:t>annexe 4.3.</w:t>
        </w:r>
      </w:hyperlink>
      <w:r>
        <w:rPr>
          <w:szCs w:val="22"/>
        </w:rPr>
        <w:t>)</w:t>
      </w:r>
      <w:r>
        <w:rPr>
          <w:color w:val="000000" w:themeColor="text1"/>
          <w:szCs w:val="22"/>
        </w:rPr>
        <w:t xml:space="preserve"> pour l’année suivante est distribué aux parents ou à la personne investie de l’autorité parentale </w:t>
      </w:r>
      <w:r>
        <w:rPr>
          <w:b/>
          <w:color w:val="000000" w:themeColor="text1"/>
          <w:szCs w:val="22"/>
        </w:rPr>
        <w:t>durant la première quinzaine du mois de mai</w:t>
      </w:r>
      <w:r>
        <w:rPr>
          <w:color w:val="000000" w:themeColor="text1"/>
          <w:szCs w:val="22"/>
        </w:rPr>
        <w:t>. Ce formulaire doit être restitué</w:t>
      </w:r>
      <w:r>
        <w:rPr>
          <w:b/>
          <w:color w:val="000000" w:themeColor="text1"/>
          <w:szCs w:val="22"/>
        </w:rPr>
        <w:t>, complété et signé,</w:t>
      </w:r>
      <w:r>
        <w:rPr>
          <w:color w:val="000000" w:themeColor="text1"/>
          <w:szCs w:val="22"/>
        </w:rPr>
        <w:t xml:space="preserve"> au plus tard le 1</w:t>
      </w:r>
      <w:r>
        <w:rPr>
          <w:color w:val="000000" w:themeColor="text1"/>
          <w:szCs w:val="22"/>
          <w:vertAlign w:val="superscript"/>
        </w:rPr>
        <w:t>er</w:t>
      </w:r>
      <w:r>
        <w:rPr>
          <w:color w:val="000000" w:themeColor="text1"/>
          <w:szCs w:val="22"/>
        </w:rPr>
        <w:t xml:space="preserve"> juin au chef d’établissement</w:t>
      </w:r>
      <w:r>
        <w:rPr>
          <w:color w:val="00B050"/>
          <w:szCs w:val="22"/>
        </w:rPr>
        <w:t>.</w:t>
      </w:r>
    </w:p>
    <w:p>
      <w:pPr>
        <w:numPr>
          <w:ilvl w:val="12"/>
          <w:numId w:val="0"/>
        </w:numPr>
        <w:jc w:val="both"/>
        <w:rPr>
          <w:szCs w:val="22"/>
        </w:rPr>
      </w:pPr>
    </w:p>
    <w:p>
      <w:pPr>
        <w:numPr>
          <w:ilvl w:val="12"/>
          <w:numId w:val="0"/>
        </w:numPr>
        <w:jc w:val="both"/>
        <w:rPr>
          <w:szCs w:val="22"/>
        </w:rPr>
      </w:pPr>
      <w:r>
        <w:rPr>
          <w:color w:val="000000" w:themeColor="text1"/>
          <w:szCs w:val="22"/>
        </w:rPr>
        <w:t>Il est distribué aux élèves réputés poursuivre leur scolarité dans la même école l’année qui suit l’année scolaire en cours, en ce compris les élèves de 3</w:t>
      </w:r>
      <w:r>
        <w:rPr>
          <w:color w:val="000000" w:themeColor="text1"/>
          <w:szCs w:val="22"/>
          <w:vertAlign w:val="superscript"/>
        </w:rPr>
        <w:t>e</w:t>
      </w:r>
      <w:r>
        <w:rPr>
          <w:color w:val="000000" w:themeColor="text1"/>
          <w:szCs w:val="22"/>
        </w:rPr>
        <w:t xml:space="preserve"> maternelle réputés poursuivre la 1</w:t>
      </w:r>
      <w:r>
        <w:rPr>
          <w:color w:val="000000" w:themeColor="text1"/>
          <w:szCs w:val="22"/>
          <w:vertAlign w:val="superscript"/>
        </w:rPr>
        <w:t>ère</w:t>
      </w:r>
      <w:r>
        <w:rPr>
          <w:color w:val="000000" w:themeColor="text1"/>
          <w:szCs w:val="22"/>
        </w:rPr>
        <w:t xml:space="preserve"> primaire dans la même école.</w:t>
      </w:r>
    </w:p>
    <w:p>
      <w:pPr>
        <w:numPr>
          <w:ilvl w:val="12"/>
          <w:numId w:val="0"/>
        </w:numPr>
        <w:jc w:val="both"/>
        <w:rPr>
          <w:szCs w:val="22"/>
        </w:rPr>
      </w:pPr>
    </w:p>
    <w:p>
      <w:pPr>
        <w:spacing w:line="232" w:lineRule="exact"/>
        <w:jc w:val="both"/>
        <w:rPr>
          <w:szCs w:val="22"/>
        </w:rPr>
      </w:pPr>
      <w:r>
        <w:rPr>
          <w:szCs w:val="22"/>
        </w:rPr>
        <w:t>A n’importe quel moment de l’année scolaire, un cours doit être créé lorsqu’un élève nouvellement inscrit dans l’école ou l’implantation choisit un cours non encore organisé. A l'inverse, un cours doit être supprimé lorsque l'(les) élève(s) qui y était(ent) inscrit(s) a(ont) quitté l'école ou l'implantation où le cours était organisé.</w:t>
      </w:r>
    </w:p>
    <w:p>
      <w:pPr>
        <w:numPr>
          <w:ilvl w:val="12"/>
          <w:numId w:val="0"/>
        </w:numPr>
        <w:jc w:val="both"/>
        <w:rPr>
          <w:szCs w:val="22"/>
        </w:rPr>
      </w:pPr>
    </w:p>
    <w:p/>
    <w:p>
      <w:pPr>
        <w:pStyle w:val="Titre2"/>
      </w:pPr>
      <w:r>
        <w:br w:type="page"/>
      </w:r>
      <w:bookmarkStart w:id="1305" w:name="Chapitre4_4"/>
      <w:bookmarkStart w:id="1306" w:name="_Toc295932061"/>
      <w:bookmarkStart w:id="1307" w:name="_Toc295913791"/>
      <w:bookmarkStart w:id="1308" w:name="_Toc423420095"/>
      <w:bookmarkStart w:id="1309" w:name="_Toc450645302"/>
      <w:bookmarkStart w:id="1310" w:name="_Toc453942541"/>
      <w:bookmarkStart w:id="1311" w:name="_Toc454888158"/>
      <w:bookmarkStart w:id="1312" w:name="_Toc486241818"/>
      <w:r>
        <w:t>Chapitre 4.</w:t>
      </w:r>
      <w:bookmarkEnd w:id="1305"/>
      <w:r>
        <w:t>4.</w:t>
      </w:r>
      <w:r>
        <w:tab/>
        <w:t>Cours de seconde langue et immersion linguistique</w:t>
      </w:r>
      <w:bookmarkEnd w:id="1306"/>
      <w:bookmarkEnd w:id="1307"/>
      <w:bookmarkEnd w:id="1308"/>
      <w:bookmarkEnd w:id="1309"/>
      <w:bookmarkEnd w:id="1310"/>
      <w:bookmarkEnd w:id="1311"/>
      <w:bookmarkEnd w:id="1312"/>
    </w:p>
    <w:p>
      <w:pPr>
        <w:rPr>
          <w:szCs w:val="22"/>
        </w:rPr>
      </w:pPr>
    </w:p>
    <w:p>
      <w:pPr>
        <w:ind w:left="1799" w:hanging="1800"/>
        <w:jc w:val="both"/>
        <w:rPr>
          <w:i/>
        </w:rPr>
      </w:pPr>
      <w:r>
        <w:rPr>
          <w:b/>
          <w:i/>
          <w:u w:val="single"/>
        </w:rPr>
        <w:t>Bases légales</w:t>
      </w:r>
      <w:r>
        <w:rPr>
          <w:b/>
          <w:i/>
        </w:rPr>
        <w:t>:</w:t>
      </w:r>
      <w:r>
        <w:rPr>
          <w:b/>
          <w:i/>
        </w:rPr>
        <w:tab/>
      </w:r>
      <w:hyperlink r:id="rId121" w:history="1">
        <w:r>
          <w:rPr>
            <w:rStyle w:val="Lienhypertexte"/>
            <w:i/>
            <w:color w:val="auto"/>
          </w:rPr>
          <w:t>Loi du 30/07/1963 concernant le régime linguistique dans l’enseignement</w:t>
        </w:r>
      </w:hyperlink>
      <w:r>
        <w:rPr>
          <w:i/>
        </w:rPr>
        <w:br/>
      </w:r>
      <w:hyperlink r:id="rId122" w:history="1">
        <w:r>
          <w:rPr>
            <w:rStyle w:val="Lienhypertexte"/>
            <w:i/>
            <w:color w:val="auto"/>
            <w:spacing w:val="-4"/>
          </w:rPr>
          <w:t>Lois coordonnées du 18/07/1966 sur l’emploi des langues en matière administrative</w:t>
        </w:r>
      </w:hyperlink>
      <w:r>
        <w:rPr>
          <w:i/>
        </w:rPr>
        <w:br/>
      </w:r>
      <w:hyperlink r:id="rId123" w:history="1">
        <w:r>
          <w:rPr>
            <w:rStyle w:val="Lienhypertexte"/>
            <w:i/>
            <w:color w:val="auto"/>
          </w:rPr>
          <w:t>Décret-cadre du 13/07/1998</w:t>
        </w:r>
      </w:hyperlink>
    </w:p>
    <w:p>
      <w:pPr>
        <w:ind w:left="1799" w:hanging="1800"/>
        <w:jc w:val="both"/>
        <w:rPr>
          <w:szCs w:val="22"/>
        </w:rPr>
      </w:pPr>
    </w:p>
    <w:p>
      <w:pPr>
        <w:pStyle w:val="Titre3"/>
      </w:pPr>
      <w:bookmarkStart w:id="1313" w:name="_4.4.1._Cours_obligatoires"/>
      <w:bookmarkStart w:id="1314" w:name="_Toc295932062"/>
      <w:bookmarkStart w:id="1315" w:name="_Toc295913792"/>
      <w:bookmarkStart w:id="1316" w:name="_Toc423420096"/>
      <w:bookmarkStart w:id="1317" w:name="_Toc450645303"/>
      <w:bookmarkStart w:id="1318" w:name="_Toc453942542"/>
      <w:bookmarkStart w:id="1319" w:name="_Toc454888159"/>
      <w:bookmarkStart w:id="1320" w:name="_Toc486241819"/>
      <w:bookmarkEnd w:id="1313"/>
      <w:r>
        <w:t>4.4.1.</w:t>
      </w:r>
      <w:r>
        <w:tab/>
        <w:t>Cours obligatoires de seconde langue</w:t>
      </w:r>
      <w:bookmarkEnd w:id="1314"/>
      <w:bookmarkEnd w:id="1315"/>
      <w:bookmarkEnd w:id="1316"/>
      <w:bookmarkEnd w:id="1317"/>
      <w:bookmarkEnd w:id="1318"/>
      <w:bookmarkEnd w:id="1319"/>
      <w:bookmarkEnd w:id="1320"/>
    </w:p>
    <w:p>
      <w:pPr>
        <w:pStyle w:val="Corpsdetexte2"/>
        <w:rPr>
          <w:sz w:val="16"/>
          <w:szCs w:val="16"/>
        </w:rPr>
      </w:pPr>
    </w:p>
    <w:p>
      <w:pPr>
        <w:pStyle w:val="Corpsdetexte2"/>
      </w:pPr>
      <w:r>
        <w:t>Les lois linguistiques imposent des obligations en matière d’enseignement d'une seconde langue.</w:t>
      </w:r>
    </w:p>
    <w:p>
      <w:pPr>
        <w:pStyle w:val="Corpsdetexte2"/>
        <w:rPr>
          <w:sz w:val="12"/>
          <w:szCs w:val="12"/>
        </w:rPr>
      </w:pPr>
    </w:p>
    <w:p>
      <w:pPr>
        <w:pStyle w:val="Corpsdetexte2"/>
        <w:numPr>
          <w:ilvl w:val="0"/>
          <w:numId w:val="12"/>
        </w:numPr>
        <w:tabs>
          <w:tab w:val="clear" w:pos="720"/>
        </w:tabs>
        <w:ind w:left="359"/>
      </w:pPr>
      <w:r>
        <w:t xml:space="preserve">L’enseignement du néerlandais comme seconde langue est obligatoire dans les 19 communes de </w:t>
      </w:r>
      <w:smartTag w:uri="urn:schemas-microsoft-com:office:smarttags" w:element="PersonName">
        <w:smartTagPr>
          <w:attr w:name="ProductID" w:val="la R￩gion"/>
        </w:smartTagPr>
        <w:r>
          <w:t>la Région</w:t>
        </w:r>
      </w:smartTag>
      <w:r>
        <w:t xml:space="preserve"> de Bruxelles-Capitale.</w:t>
      </w:r>
    </w:p>
    <w:p>
      <w:pPr>
        <w:pStyle w:val="Corpsdetexte2"/>
        <w:ind w:left="359" w:hanging="360"/>
        <w:rPr>
          <w:sz w:val="4"/>
          <w:szCs w:val="4"/>
        </w:rPr>
      </w:pPr>
    </w:p>
    <w:p>
      <w:pPr>
        <w:pStyle w:val="Corpsdetexte2"/>
        <w:numPr>
          <w:ilvl w:val="0"/>
          <w:numId w:val="12"/>
        </w:numPr>
        <w:tabs>
          <w:tab w:val="clear" w:pos="720"/>
        </w:tabs>
        <w:ind w:left="359"/>
      </w:pPr>
      <w:r>
        <w:t>L’enseignement du néerlandais est également obligatoire dans les communes wallonnes dites "de la frontière linguistique", c’est-à-dire Comines-Warneton, Mouscron, Flobecq et Enghien.</w:t>
      </w:r>
    </w:p>
    <w:p>
      <w:pPr>
        <w:pStyle w:val="Corpsdetexte2"/>
        <w:ind w:left="359" w:hanging="360"/>
        <w:rPr>
          <w:sz w:val="4"/>
          <w:szCs w:val="4"/>
        </w:rPr>
      </w:pPr>
    </w:p>
    <w:p>
      <w:pPr>
        <w:pStyle w:val="Corpsdetexte2"/>
        <w:numPr>
          <w:ilvl w:val="0"/>
          <w:numId w:val="12"/>
        </w:numPr>
        <w:tabs>
          <w:tab w:val="clear" w:pos="720"/>
        </w:tabs>
        <w:ind w:left="359"/>
      </w:pPr>
      <w:r>
        <w:t>Dans les communes de Malmédy, Waimes, Baelen, Plombières et Welkenraedt, la seconde langue peut être soit l'allemand, soit le néerlandais.</w:t>
      </w:r>
    </w:p>
    <w:p>
      <w:pPr>
        <w:pStyle w:val="Corpsdetexte2"/>
        <w:rPr>
          <w:sz w:val="4"/>
          <w:szCs w:val="4"/>
        </w:rPr>
      </w:pPr>
    </w:p>
    <w:p>
      <w:pPr>
        <w:pStyle w:val="Corpsdetexte2"/>
        <w:numPr>
          <w:ilvl w:val="0"/>
          <w:numId w:val="12"/>
        </w:numPr>
        <w:tabs>
          <w:tab w:val="clear" w:pos="720"/>
        </w:tabs>
        <w:ind w:left="359"/>
      </w:pPr>
      <w:r>
        <w:t>Dans les autres communes wallonnes, la seconde langue peut être le néerlandais, l'anglais ou l'allemand.</w:t>
      </w:r>
    </w:p>
    <w:p>
      <w:pPr>
        <w:pStyle w:val="Corpsdetexte2"/>
        <w:rPr>
          <w:sz w:val="14"/>
          <w:szCs w:val="14"/>
        </w:rPr>
      </w:pPr>
    </w:p>
    <w:p>
      <w:pPr>
        <w:pStyle w:val="Corpsdetexte2"/>
      </w:pPr>
      <w:r>
        <w:t xml:space="preserve">En ce qui concerne les périodes de seconde langue à intégrer à la grille-horaire de l'élève on se référera à la </w:t>
      </w:r>
      <w:hyperlink w:anchor="_4.2.3._Horaire_des" w:history="1">
        <w:r>
          <w:rPr>
            <w:rStyle w:val="Lienhypertexte"/>
            <w:color w:val="auto"/>
          </w:rPr>
          <w:t>section 4.2.3.</w:t>
        </w:r>
      </w:hyperlink>
    </w:p>
    <w:p>
      <w:pPr>
        <w:pStyle w:val="Corpsdetexte2"/>
        <w:rPr>
          <w:sz w:val="14"/>
          <w:szCs w:val="14"/>
        </w:rPr>
      </w:pPr>
    </w:p>
    <w:p>
      <w:pPr>
        <w:pStyle w:val="Corpsdetexte2"/>
      </w:pPr>
      <w:r>
        <w:t>Le choix entre 2 langues peut être proposé aux parents, après avoir pris l’avis du Conseil de Participation.  Le choix ne peut jamais être proposé entre 3 langues modernes différentes.</w:t>
      </w:r>
    </w:p>
    <w:p>
      <w:pPr>
        <w:pStyle w:val="Corpsdetexte2"/>
        <w:rPr>
          <w:sz w:val="14"/>
          <w:szCs w:val="14"/>
        </w:rPr>
      </w:pPr>
    </w:p>
    <w:p>
      <w:pPr>
        <w:pStyle w:val="Corpsdetexte2"/>
        <w:rPr>
          <w:spacing w:val="-2"/>
        </w:rPr>
      </w:pPr>
      <w:r>
        <w:rPr>
          <w:spacing w:val="-2"/>
        </w:rPr>
        <w:t>L’élève ne peut modifier son choix de langue entre la 5</w:t>
      </w:r>
      <w:r>
        <w:rPr>
          <w:spacing w:val="-2"/>
          <w:vertAlign w:val="superscript"/>
        </w:rPr>
        <w:t>e</w:t>
      </w:r>
      <w:r>
        <w:rPr>
          <w:spacing w:val="-2"/>
        </w:rPr>
        <w:t xml:space="preserve"> et la 6</w:t>
      </w:r>
      <w:r>
        <w:rPr>
          <w:spacing w:val="-2"/>
          <w:vertAlign w:val="superscript"/>
        </w:rPr>
        <w:t>e</w:t>
      </w:r>
      <w:r>
        <w:rPr>
          <w:spacing w:val="-2"/>
        </w:rPr>
        <w:t xml:space="preserve"> primaire, sauf dérogation ministérielle. La demande de dérogation motivée doit être adressée sur papier libre à l'adresse suivante:</w:t>
      </w:r>
    </w:p>
    <w:p>
      <w:pPr>
        <w:pStyle w:val="Corpsdetexte2"/>
        <w:jc w:val="left"/>
        <w:rPr>
          <w:sz w:val="4"/>
          <w:szCs w:val="4"/>
        </w:rPr>
      </w:pPr>
    </w:p>
    <w:p>
      <w:pPr>
        <w:pBdr>
          <w:top w:val="single" w:sz="4" w:space="1" w:color="auto"/>
          <w:left w:val="single" w:sz="4" w:space="31" w:color="auto"/>
          <w:bottom w:val="single" w:sz="4" w:space="1" w:color="auto"/>
          <w:right w:val="single" w:sz="4" w:space="4" w:color="auto"/>
        </w:pBdr>
        <w:spacing w:before="120"/>
        <w:ind w:left="1079"/>
        <w:jc w:val="center"/>
      </w:pPr>
      <w:r>
        <w:t>Direction générale de l'Enseignement obligatoire</w:t>
      </w:r>
    </w:p>
    <w:p>
      <w:pPr>
        <w:pBdr>
          <w:top w:val="single" w:sz="4" w:space="1" w:color="auto"/>
          <w:left w:val="single" w:sz="4" w:space="31" w:color="auto"/>
          <w:bottom w:val="single" w:sz="4" w:space="1" w:color="auto"/>
          <w:right w:val="single" w:sz="4" w:space="4" w:color="auto"/>
        </w:pBdr>
        <w:ind w:left="1079"/>
        <w:jc w:val="center"/>
      </w:pPr>
      <w:r>
        <w:t xml:space="preserve">Direction de l'Organisation des Etablissements </w:t>
      </w:r>
    </w:p>
    <w:p>
      <w:pPr>
        <w:pBdr>
          <w:top w:val="single" w:sz="4" w:space="1" w:color="auto"/>
          <w:left w:val="single" w:sz="4" w:space="31" w:color="auto"/>
          <w:bottom w:val="single" w:sz="4" w:space="1" w:color="auto"/>
          <w:right w:val="single" w:sz="4" w:space="4" w:color="auto"/>
        </w:pBdr>
        <w:ind w:left="1079"/>
        <w:jc w:val="center"/>
      </w:pPr>
      <w:r>
        <w:t xml:space="preserve">d’Enseignement fondamental ordinaire </w:t>
      </w:r>
    </w:p>
    <w:p>
      <w:pPr>
        <w:pBdr>
          <w:top w:val="single" w:sz="4" w:space="1" w:color="auto"/>
          <w:left w:val="single" w:sz="4" w:space="31" w:color="auto"/>
          <w:bottom w:val="single" w:sz="4" w:space="1" w:color="auto"/>
          <w:right w:val="single" w:sz="4" w:space="4" w:color="auto"/>
        </w:pBdr>
        <w:ind w:left="1079"/>
        <w:jc w:val="center"/>
      </w:pPr>
      <w:r>
        <w:t>Rue Adolphe Lavallée, 1 – 2F211</w:t>
      </w:r>
    </w:p>
    <w:p>
      <w:pPr>
        <w:pBdr>
          <w:top w:val="single" w:sz="4" w:space="1" w:color="auto"/>
          <w:left w:val="single" w:sz="4" w:space="31" w:color="auto"/>
          <w:bottom w:val="single" w:sz="4" w:space="1" w:color="auto"/>
          <w:right w:val="single" w:sz="4" w:space="4" w:color="auto"/>
        </w:pBdr>
        <w:ind w:left="1079"/>
        <w:jc w:val="center"/>
      </w:pPr>
      <w:r>
        <w:t>1080  Bruxelles.</w:t>
      </w:r>
    </w:p>
    <w:p>
      <w:pPr>
        <w:pStyle w:val="Corpsdetexte2"/>
      </w:pPr>
    </w:p>
    <w:p>
      <w:pPr>
        <w:pStyle w:val="Corpsdetexte2"/>
      </w:pPr>
      <w:r>
        <w:t>A la requête du chef de famille, sont dispensés de l’étude de la seconde langue, les enfants de nationalité étrangère lorsque le chef de famille fait partie d’une organisation de droit des gens, d’une ambassade, d’une légation ou d’un consulat ou lorsque le chef de famille ne réside pas en Belgique.</w:t>
      </w:r>
    </w:p>
    <w:p>
      <w:pPr>
        <w:pStyle w:val="Corpsdetexte2"/>
      </w:pPr>
    </w:p>
    <w:p>
      <w:pPr>
        <w:pStyle w:val="Titre3"/>
      </w:pPr>
      <w:bookmarkStart w:id="1321" w:name="_Toc295932063"/>
      <w:bookmarkStart w:id="1322" w:name="_Toc295913793"/>
      <w:bookmarkStart w:id="1323" w:name="_Toc423420097"/>
      <w:bookmarkStart w:id="1324" w:name="_Toc450645304"/>
      <w:bookmarkStart w:id="1325" w:name="_Toc453942543"/>
      <w:bookmarkStart w:id="1326" w:name="_Toc454888160"/>
      <w:bookmarkStart w:id="1327" w:name="_Toc486241820"/>
      <w:r>
        <w:t>4.4.2.</w:t>
      </w:r>
      <w:r>
        <w:tab/>
        <w:t>Organisation facultative de cours de seconde langue</w:t>
      </w:r>
      <w:bookmarkEnd w:id="1321"/>
      <w:bookmarkEnd w:id="1322"/>
      <w:bookmarkEnd w:id="1323"/>
      <w:bookmarkEnd w:id="1324"/>
      <w:bookmarkEnd w:id="1325"/>
      <w:bookmarkEnd w:id="1326"/>
      <w:bookmarkEnd w:id="1327"/>
    </w:p>
    <w:p>
      <w:pPr>
        <w:pStyle w:val="Corpsdetexte2"/>
        <w:rPr>
          <w:sz w:val="16"/>
          <w:szCs w:val="16"/>
          <w:lang w:val="fr-BE"/>
        </w:rPr>
      </w:pPr>
    </w:p>
    <w:p>
      <w:pPr>
        <w:pStyle w:val="Corpsdetexte2"/>
      </w:pPr>
      <w:r>
        <w:t>On entend par enseignement facultatif d’une seconde langue, un cours que ni les lois linguistiques, ni le décret-cadre n'impose mais que les écoles ou les P.O. organisent en complément aux périodes obligatoires.</w:t>
      </w:r>
    </w:p>
    <w:p>
      <w:pPr>
        <w:rPr>
          <w:sz w:val="14"/>
          <w:szCs w:val="14"/>
        </w:rPr>
      </w:pPr>
    </w:p>
    <w:p>
      <w:pPr>
        <w:jc w:val="both"/>
      </w:pPr>
      <w:r>
        <w:t>Ces cours complémentaires doivent être inscrits dans le projet d’établissement si on les intègre dans l’horaire hebdomadaire obligatoire. Les titres requis sont alors les mêmes que pour l’enseignement obligatoire d’une seconde langue. Tous les élèves concernés doivent y participer.</w:t>
      </w:r>
    </w:p>
    <w:p>
      <w:pPr>
        <w:jc w:val="both"/>
        <w:rPr>
          <w:sz w:val="14"/>
          <w:szCs w:val="14"/>
        </w:rPr>
      </w:pPr>
    </w:p>
    <w:p>
      <w:pPr>
        <w:jc w:val="both"/>
      </w:pPr>
      <w:r>
        <w:t>Les écoles et les P.O. peuvent inclure dans les 28 périodes minimales hebdomadaires:</w:t>
      </w:r>
    </w:p>
    <w:p>
      <w:pPr>
        <w:jc w:val="both"/>
        <w:rPr>
          <w:sz w:val="12"/>
        </w:rPr>
      </w:pPr>
    </w:p>
    <w:p>
      <w:pPr>
        <w:numPr>
          <w:ilvl w:val="0"/>
          <w:numId w:val="13"/>
        </w:numPr>
        <w:ind w:left="359"/>
        <w:jc w:val="both"/>
      </w:pPr>
      <w:r>
        <w:t>2 périodes de néerlandais à partir de la 1</w:t>
      </w:r>
      <w:r>
        <w:rPr>
          <w:vertAlign w:val="superscript"/>
        </w:rPr>
        <w:t>ère</w:t>
      </w:r>
      <w:r>
        <w:t xml:space="preserve"> année primaire en région de Bruxelles-Capitale et dans les communes de Comines-Warneton, Mouscron, Flobecq et Enghien;</w:t>
      </w:r>
    </w:p>
    <w:p>
      <w:pPr>
        <w:numPr>
          <w:ilvl w:val="0"/>
          <w:numId w:val="13"/>
        </w:numPr>
        <w:ind w:left="356" w:hanging="357"/>
        <w:jc w:val="both"/>
      </w:pPr>
      <w:r>
        <w:t>2 périodes de néerlandais ou d'allemand à partir de la 1</w:t>
      </w:r>
      <w:r>
        <w:rPr>
          <w:vertAlign w:val="superscript"/>
        </w:rPr>
        <w:t>ère</w:t>
      </w:r>
      <w:r>
        <w:t xml:space="preserve"> année primaire dans les communes de Malmédy, Waimes, Baelen, Plombières et Welkenraedt;</w:t>
      </w:r>
    </w:p>
    <w:p>
      <w:pPr>
        <w:numPr>
          <w:ilvl w:val="0"/>
          <w:numId w:val="13"/>
        </w:numPr>
        <w:ind w:left="356" w:hanging="357"/>
        <w:jc w:val="both"/>
      </w:pPr>
      <w:r>
        <w:t>1 période supplémentaire de seconde langue en 5</w:t>
      </w:r>
      <w:r>
        <w:rPr>
          <w:vertAlign w:val="superscript"/>
        </w:rPr>
        <w:t>e</w:t>
      </w:r>
      <w:r>
        <w:t xml:space="preserve"> et 6</w:t>
      </w:r>
      <w:r>
        <w:rPr>
          <w:vertAlign w:val="superscript"/>
        </w:rPr>
        <w:t>e</w:t>
      </w:r>
      <w:r>
        <w:t xml:space="preserve"> années primaires dans les autres communes wallonnes;</w:t>
      </w:r>
    </w:p>
    <w:p>
      <w:pPr>
        <w:numPr>
          <w:ilvl w:val="0"/>
          <w:numId w:val="13"/>
        </w:numPr>
        <w:ind w:left="356" w:hanging="357"/>
        <w:jc w:val="both"/>
      </w:pPr>
      <w:r>
        <w:t>2 périodes de seconde langue en 1</w:t>
      </w:r>
      <w:r>
        <w:rPr>
          <w:vertAlign w:val="superscript"/>
        </w:rPr>
        <w:t>ère</w:t>
      </w:r>
      <w:r>
        <w:t>, 2</w:t>
      </w:r>
      <w:r>
        <w:rPr>
          <w:vertAlign w:val="superscript"/>
        </w:rPr>
        <w:t>e</w:t>
      </w:r>
      <w:r>
        <w:t>, 3</w:t>
      </w:r>
      <w:r>
        <w:rPr>
          <w:vertAlign w:val="superscript"/>
        </w:rPr>
        <w:t>e</w:t>
      </w:r>
      <w:r>
        <w:t xml:space="preserve"> et 4</w:t>
      </w:r>
      <w:r>
        <w:rPr>
          <w:vertAlign w:val="superscript"/>
        </w:rPr>
        <w:t>e</w:t>
      </w:r>
      <w:r>
        <w:t xml:space="preserve"> années primaires dans les autres communes wallonnes également;</w:t>
      </w:r>
    </w:p>
    <w:p>
      <w:pPr>
        <w:jc w:val="both"/>
        <w:rPr>
          <w:sz w:val="16"/>
          <w:szCs w:val="16"/>
        </w:rPr>
      </w:pPr>
    </w:p>
    <w:p>
      <w:pPr>
        <w:pStyle w:val="Corpsdetexte2"/>
      </w:pPr>
      <w:r>
        <w:t>Si l'augmentation du nombre de périodes de seconde langue est supérieure à ce qui précède, il y a lieu d’accroître l’horaire hebdomadaire jusqu’à 29, 30 ou 31 périodes.</w:t>
      </w:r>
    </w:p>
    <w:p>
      <w:pPr>
        <w:jc w:val="both"/>
        <w:rPr>
          <w:sz w:val="16"/>
          <w:szCs w:val="16"/>
        </w:rPr>
      </w:pPr>
    </w:p>
    <w:p>
      <w:pPr>
        <w:jc w:val="both"/>
      </w:pPr>
      <w:r>
        <w:t>L’enseignement facultatif d’une seconde langue doit être soit le néerlandais, soit l’allemand, soit l’anglais. Aucune autre langue n’est permise dans le cadre de l’horaire obligatoire.</w:t>
      </w:r>
    </w:p>
    <w:p>
      <w:pPr>
        <w:jc w:val="both"/>
        <w:rPr>
          <w:sz w:val="16"/>
          <w:szCs w:val="16"/>
        </w:rPr>
      </w:pPr>
    </w:p>
    <w:p>
      <w:pPr>
        <w:pStyle w:val="Corpsdetexte"/>
        <w:rPr>
          <w:rFonts w:cs="Times New Roman"/>
          <w:spacing w:val="0"/>
        </w:rPr>
      </w:pPr>
      <w:r>
        <w:rPr>
          <w:rFonts w:cs="Times New Roman"/>
          <w:spacing w:val="0"/>
        </w:rPr>
        <w:t>Pour autant que les dispositions reprises ci-dessus soient respectées, l’école ou le P.O. peut utiliser des périodes de ses reliquats pour l’organisation de ces cours complémentaires.</w:t>
      </w:r>
    </w:p>
    <w:p>
      <w:pPr>
        <w:pStyle w:val="Corpsdetexte2"/>
        <w:rPr>
          <w:szCs w:val="22"/>
        </w:rPr>
      </w:pPr>
    </w:p>
    <w:p>
      <w:pPr>
        <w:pStyle w:val="Titre3"/>
      </w:pPr>
      <w:bookmarkStart w:id="1328" w:name="_Toc295932064"/>
      <w:bookmarkStart w:id="1329" w:name="_Toc295913794"/>
      <w:bookmarkStart w:id="1330" w:name="_Toc423420098"/>
      <w:bookmarkStart w:id="1331" w:name="_Toc450645305"/>
      <w:bookmarkStart w:id="1332" w:name="_Toc453942544"/>
      <w:bookmarkStart w:id="1333" w:name="_Toc454888161"/>
      <w:bookmarkStart w:id="1334" w:name="_Toc486241821"/>
      <w:r>
        <w:t>4.4.3.</w:t>
      </w:r>
      <w:r>
        <w:tab/>
        <w:t>Apprentissage d'une seconde langue par immersion</w:t>
      </w:r>
      <w:bookmarkEnd w:id="1328"/>
      <w:bookmarkEnd w:id="1329"/>
      <w:bookmarkEnd w:id="1330"/>
      <w:bookmarkEnd w:id="1331"/>
      <w:bookmarkEnd w:id="1332"/>
      <w:bookmarkEnd w:id="1333"/>
      <w:bookmarkEnd w:id="1334"/>
    </w:p>
    <w:p>
      <w:pPr>
        <w:ind w:left="1799" w:hanging="1800"/>
        <w:rPr>
          <w:szCs w:val="22"/>
        </w:rPr>
      </w:pPr>
    </w:p>
    <w:p>
      <w:pPr>
        <w:ind w:left="1796" w:hanging="1797"/>
        <w:rPr>
          <w:i/>
        </w:rPr>
      </w:pPr>
      <w:r>
        <w:rPr>
          <w:b/>
          <w:i/>
          <w:u w:val="single"/>
        </w:rPr>
        <w:t>Base légale</w:t>
      </w:r>
      <w:r>
        <w:rPr>
          <w:b/>
          <w:i/>
        </w:rPr>
        <w:t>:</w:t>
      </w:r>
      <w:r>
        <w:rPr>
          <w:b/>
          <w:i/>
        </w:rPr>
        <w:tab/>
      </w:r>
      <w:hyperlink r:id="rId124" w:history="1">
        <w:r>
          <w:rPr>
            <w:rStyle w:val="Lienhypertexte"/>
            <w:i/>
            <w:color w:val="auto"/>
          </w:rPr>
          <w:t>Décret du 11/05/2007 relatif à l'enseignement en immersion linguistique</w:t>
        </w:r>
      </w:hyperlink>
    </w:p>
    <w:p>
      <w:pPr>
        <w:ind w:left="1799" w:hanging="1800"/>
        <w:rPr>
          <w:szCs w:val="22"/>
        </w:rPr>
      </w:pPr>
    </w:p>
    <w:p>
      <w:pPr>
        <w:pStyle w:val="Titre4"/>
      </w:pPr>
      <w:bookmarkStart w:id="1335" w:name="_Toc207192200"/>
      <w:bookmarkStart w:id="1336" w:name="_Toc295932065"/>
      <w:bookmarkStart w:id="1337" w:name="_Toc423420099"/>
      <w:bookmarkStart w:id="1338" w:name="_Toc450645306"/>
      <w:bookmarkStart w:id="1339" w:name="_Toc453942545"/>
      <w:bookmarkStart w:id="1340" w:name="_Toc454888162"/>
      <w:bookmarkStart w:id="1341" w:name="_Toc486241822"/>
      <w:r>
        <w:t>4.4.3.1.</w:t>
      </w:r>
      <w:r>
        <w:tab/>
        <w:t>Définitions</w:t>
      </w:r>
      <w:bookmarkEnd w:id="1335"/>
      <w:bookmarkEnd w:id="1336"/>
      <w:bookmarkEnd w:id="1337"/>
      <w:bookmarkEnd w:id="1338"/>
      <w:bookmarkEnd w:id="1339"/>
      <w:bookmarkEnd w:id="1340"/>
      <w:bookmarkEnd w:id="1341"/>
    </w:p>
    <w:p>
      <w:pPr>
        <w:jc w:val="both"/>
        <w:rPr>
          <w:sz w:val="16"/>
          <w:szCs w:val="16"/>
        </w:rPr>
      </w:pPr>
    </w:p>
    <w:p>
      <w:pPr>
        <w:pStyle w:val="Corpsdetexte"/>
        <w:rPr>
          <w:rFonts w:cs="Times New Roman"/>
          <w:spacing w:val="0"/>
        </w:rPr>
      </w:pPr>
      <w:r>
        <w:rPr>
          <w:rFonts w:cs="Times New Roman"/>
          <w:spacing w:val="0"/>
        </w:rPr>
        <w:t>On entend par:</w:t>
      </w:r>
    </w:p>
    <w:p>
      <w:pPr>
        <w:jc w:val="both"/>
        <w:rPr>
          <w:sz w:val="4"/>
          <w:szCs w:val="4"/>
        </w:rPr>
      </w:pPr>
    </w:p>
    <w:p>
      <w:pPr>
        <w:numPr>
          <w:ilvl w:val="0"/>
          <w:numId w:val="102"/>
        </w:numPr>
        <w:tabs>
          <w:tab w:val="clear" w:pos="1077"/>
        </w:tabs>
        <w:ind w:left="539"/>
        <w:jc w:val="both"/>
      </w:pPr>
      <w:r>
        <w:rPr>
          <w:b/>
          <w:bCs/>
        </w:rPr>
        <w:t>Apprentissage par immersion</w:t>
      </w:r>
      <w:r>
        <w:t>, une procédure pédagogique visant à assurer la maîtrise des compétences attendues en assurant une partie des cours et des activités pédagogiques de la grille-horaire dans une langue moderne autre que le français, en vue de l’acquisition progressive de cette autre langue.</w:t>
      </w:r>
    </w:p>
    <w:p>
      <w:pPr>
        <w:tabs>
          <w:tab w:val="num" w:pos="360"/>
        </w:tabs>
        <w:ind w:left="539" w:hanging="360"/>
        <w:jc w:val="both"/>
        <w:rPr>
          <w:sz w:val="8"/>
          <w:szCs w:val="8"/>
        </w:rPr>
      </w:pPr>
    </w:p>
    <w:p>
      <w:pPr>
        <w:numPr>
          <w:ilvl w:val="0"/>
          <w:numId w:val="102"/>
        </w:numPr>
        <w:tabs>
          <w:tab w:val="clear" w:pos="1077"/>
        </w:tabs>
        <w:ind w:left="539"/>
        <w:jc w:val="both"/>
      </w:pPr>
      <w:r>
        <w:rPr>
          <w:b/>
          <w:bCs/>
        </w:rPr>
        <w:t>Grille-horaire</w:t>
      </w:r>
      <w:r>
        <w:t>, la liste des différents cours assurés hebdomadairement avec mention du nombre de périodes affectées à chacun.</w:t>
      </w:r>
    </w:p>
    <w:p>
      <w:pPr>
        <w:jc w:val="both"/>
      </w:pPr>
    </w:p>
    <w:p>
      <w:pPr>
        <w:pStyle w:val="Titre4"/>
      </w:pPr>
      <w:bookmarkStart w:id="1342" w:name="_Toc207192201"/>
      <w:bookmarkStart w:id="1343" w:name="_Toc295932066"/>
      <w:bookmarkStart w:id="1344" w:name="_Toc423420100"/>
      <w:bookmarkStart w:id="1345" w:name="_Toc450645307"/>
      <w:bookmarkStart w:id="1346" w:name="_Toc453942546"/>
      <w:bookmarkStart w:id="1347" w:name="_Toc454888163"/>
      <w:bookmarkStart w:id="1348" w:name="_Toc486241823"/>
      <w:r>
        <w:t>4.4.3.2.</w:t>
      </w:r>
      <w:r>
        <w:tab/>
        <w:t>Objectifs de l'apprentissage par immersion</w:t>
      </w:r>
      <w:bookmarkEnd w:id="1342"/>
      <w:bookmarkEnd w:id="1343"/>
      <w:bookmarkEnd w:id="1344"/>
      <w:bookmarkEnd w:id="1345"/>
      <w:bookmarkEnd w:id="1346"/>
      <w:bookmarkEnd w:id="1347"/>
      <w:bookmarkEnd w:id="1348"/>
    </w:p>
    <w:p>
      <w:pPr>
        <w:jc w:val="both"/>
        <w:rPr>
          <w:sz w:val="16"/>
          <w:szCs w:val="16"/>
        </w:rPr>
      </w:pPr>
    </w:p>
    <w:p>
      <w:pPr>
        <w:jc w:val="both"/>
      </w:pPr>
      <w:r>
        <w:t>L’apprentissage par l’immersion poursuit les objectifs suivants:</w:t>
      </w:r>
    </w:p>
    <w:p>
      <w:pPr>
        <w:jc w:val="both"/>
        <w:rPr>
          <w:sz w:val="12"/>
          <w:szCs w:val="12"/>
        </w:rPr>
      </w:pPr>
    </w:p>
    <w:p>
      <w:pPr>
        <w:tabs>
          <w:tab w:val="left" w:pos="540"/>
        </w:tabs>
        <w:ind w:left="539" w:hanging="360"/>
        <w:jc w:val="both"/>
      </w:pPr>
      <w:r>
        <w:t xml:space="preserve">1) </w:t>
      </w:r>
      <w:r>
        <w:tab/>
        <w:t xml:space="preserve">En ce qui concerne </w:t>
      </w:r>
      <w:r>
        <w:rPr>
          <w:u w:val="single"/>
        </w:rPr>
        <w:t>l</w:t>
      </w:r>
      <w:r>
        <w:t xml:space="preserve">es </w:t>
      </w:r>
      <w:r>
        <w:rPr>
          <w:u w:val="single"/>
        </w:rPr>
        <w:t>cours et activités pédagogiques assurés dans la langue de l’immersion</w:t>
      </w:r>
      <w:r>
        <w:t xml:space="preserve">, la maîtrise des compétences définies dans les socles de compétences (voir </w:t>
      </w:r>
      <w:hyperlink w:anchor="_1.1.3._Socles_de" w:history="1">
        <w:r>
          <w:rPr>
            <w:rStyle w:val="Lienhypertexte"/>
            <w:color w:val="auto"/>
          </w:rPr>
          <w:t>section 1.1.3.</w:t>
        </w:r>
      </w:hyperlink>
      <w:r>
        <w:t>)</w:t>
      </w:r>
    </w:p>
    <w:p>
      <w:pPr>
        <w:tabs>
          <w:tab w:val="left" w:pos="540"/>
        </w:tabs>
        <w:ind w:left="539" w:hanging="360"/>
        <w:jc w:val="both"/>
        <w:rPr>
          <w:sz w:val="16"/>
        </w:rPr>
      </w:pPr>
    </w:p>
    <w:p>
      <w:pPr>
        <w:tabs>
          <w:tab w:val="left" w:pos="540"/>
        </w:tabs>
        <w:ind w:left="539" w:hanging="360"/>
        <w:jc w:val="both"/>
      </w:pPr>
      <w:r>
        <w:t>2)</w:t>
      </w:r>
      <w:r>
        <w:tab/>
        <w:t xml:space="preserve">En ce qui concerne la </w:t>
      </w:r>
      <w:r>
        <w:rPr>
          <w:u w:val="single"/>
        </w:rPr>
        <w:t>langue de l’immersion</w:t>
      </w:r>
      <w:r>
        <w:t>, la maîtrise des compétences liées à la communication orale et écrite dans cette langue définies dans les socles de compétences.</w:t>
      </w:r>
    </w:p>
    <w:p>
      <w:pPr>
        <w:jc w:val="both"/>
      </w:pPr>
    </w:p>
    <w:p>
      <w:pPr>
        <w:pStyle w:val="Titre4"/>
      </w:pPr>
      <w:bookmarkStart w:id="1349" w:name="_Toc207192202"/>
      <w:bookmarkStart w:id="1350" w:name="_Toc295932067"/>
      <w:bookmarkStart w:id="1351" w:name="_Toc423420101"/>
      <w:bookmarkStart w:id="1352" w:name="_Toc450645308"/>
      <w:bookmarkStart w:id="1353" w:name="_Toc453942547"/>
      <w:bookmarkStart w:id="1354" w:name="_Toc454888164"/>
      <w:bookmarkStart w:id="1355" w:name="_Toc486241824"/>
      <w:r>
        <w:t>4.4.3.3.</w:t>
      </w:r>
      <w:r>
        <w:tab/>
        <w:t>Principes généraux</w:t>
      </w:r>
      <w:bookmarkEnd w:id="1349"/>
      <w:bookmarkEnd w:id="1350"/>
      <w:bookmarkEnd w:id="1351"/>
      <w:bookmarkEnd w:id="1352"/>
      <w:bookmarkEnd w:id="1353"/>
      <w:bookmarkEnd w:id="1354"/>
      <w:bookmarkEnd w:id="1355"/>
    </w:p>
    <w:p>
      <w:pPr>
        <w:jc w:val="both"/>
        <w:rPr>
          <w:sz w:val="16"/>
          <w:szCs w:val="16"/>
        </w:rPr>
      </w:pPr>
    </w:p>
    <w:p>
      <w:pPr>
        <w:pStyle w:val="Corpsdetexte"/>
        <w:rPr>
          <w:rFonts w:cs="Times New Roman"/>
          <w:spacing w:val="0"/>
        </w:rPr>
      </w:pPr>
      <w:r>
        <w:rPr>
          <w:rFonts w:cs="Times New Roman"/>
          <w:spacing w:val="0"/>
        </w:rPr>
        <w:t xml:space="preserve">Sur autorisation du Ministre pour l'enseignement organisé par </w:t>
      </w:r>
      <w:smartTag w:uri="urn:schemas-microsoft-com:office:smarttags" w:element="PersonName">
        <w:smartTagPr>
          <w:attr w:name="ProductID" w:val="la F￩d￩ration Wallonie-Bruxelles"/>
        </w:smartTagPr>
        <w:r>
          <w:rPr>
            <w:rFonts w:cs="Times New Roman"/>
            <w:spacing w:val="0"/>
          </w:rPr>
          <w:t>la Fédération Wallonie-Bruxelles</w:t>
        </w:r>
      </w:smartTag>
      <w:r>
        <w:rPr>
          <w:rFonts w:cs="Times New Roman"/>
          <w:spacing w:val="0"/>
        </w:rPr>
        <w:t xml:space="preserve">, à l’initiative du P.O. pour l'enseignement subventionné, une école ou une implantation peut organiser l’apprentissage par immersion, dans le respect des </w:t>
      </w:r>
      <w:r>
        <w:rPr>
          <w:rFonts w:cs="Times New Roman"/>
          <w:spacing w:val="0"/>
          <w:u w:val="single"/>
        </w:rPr>
        <w:t>conditions suivantes</w:t>
      </w:r>
      <w:r>
        <w:rPr>
          <w:rFonts w:cs="Times New Roman"/>
          <w:spacing w:val="0"/>
        </w:rPr>
        <w:t xml:space="preserve">, ainsi que des règles d'organisation précisées aux sections </w:t>
      </w:r>
      <w:hyperlink w:anchor="_4.4.3.4._organisation_et" w:history="1">
        <w:r>
          <w:rPr>
            <w:rStyle w:val="Lienhypertexte"/>
            <w:rFonts w:cs="Times New Roman"/>
            <w:color w:val="auto"/>
            <w:spacing w:val="0"/>
          </w:rPr>
          <w:t>4.4.3.4.</w:t>
        </w:r>
      </w:hyperlink>
      <w:r>
        <w:rPr>
          <w:rFonts w:cs="Times New Roman"/>
          <w:spacing w:val="0"/>
        </w:rPr>
        <w:t xml:space="preserve"> et </w:t>
      </w:r>
      <w:hyperlink w:anchor="_4.4.3.5._Grille-horaire" w:history="1">
        <w:r>
          <w:rPr>
            <w:rStyle w:val="Lienhypertexte"/>
            <w:rFonts w:cs="Times New Roman"/>
            <w:color w:val="auto"/>
            <w:spacing w:val="0"/>
          </w:rPr>
          <w:t>4.4.3.5.</w:t>
        </w:r>
      </w:hyperlink>
      <w:r>
        <w:rPr>
          <w:rFonts w:cs="Times New Roman"/>
          <w:spacing w:val="0"/>
        </w:rPr>
        <w:t xml:space="preserve"> ci-après:</w:t>
      </w:r>
    </w:p>
    <w:p>
      <w:pPr>
        <w:jc w:val="both"/>
        <w:rPr>
          <w:sz w:val="16"/>
          <w:szCs w:val="16"/>
        </w:rPr>
      </w:pPr>
    </w:p>
    <w:p>
      <w:pPr>
        <w:ind w:left="539" w:hanging="360"/>
        <w:jc w:val="both"/>
      </w:pPr>
      <w:r>
        <w:t>1.</w:t>
      </w:r>
      <w:r>
        <w:tab/>
        <w:t xml:space="preserve">La langue moderne dans laquelle est pratiqué l’apprentissage par immersion sera toujours la </w:t>
      </w:r>
      <w:r>
        <w:rPr>
          <w:u w:val="single"/>
        </w:rPr>
        <w:t>seconde langue</w:t>
      </w:r>
      <w:r>
        <w:t xml:space="preserve"> telle que spécifiée à la </w:t>
      </w:r>
      <w:hyperlink w:anchor="_4.4.1._Cours_obligatoires" w:history="1">
        <w:r>
          <w:rPr>
            <w:rStyle w:val="Lienhypertexte"/>
            <w:color w:val="auto"/>
          </w:rPr>
          <w:t>section 4.4.1.</w:t>
        </w:r>
      </w:hyperlink>
      <w:r>
        <w:t xml:space="preserve"> Il en résulte qu'un même élève ne pourra suivre les cours en immersion que dans cette seule seconde langue.  </w:t>
      </w:r>
    </w:p>
    <w:p>
      <w:pPr>
        <w:ind w:firstLine="540"/>
        <w:jc w:val="both"/>
      </w:pPr>
      <w:r>
        <w:t>Les langues dans lesquelles peut être organisé l'apprentissage par immersion sont:</w:t>
      </w:r>
    </w:p>
    <w:p>
      <w:pPr>
        <w:numPr>
          <w:ilvl w:val="0"/>
          <w:numId w:val="94"/>
        </w:numPr>
        <w:tabs>
          <w:tab w:val="num" w:pos="900"/>
        </w:tabs>
        <w:spacing w:before="120"/>
        <w:ind w:left="899"/>
        <w:jc w:val="both"/>
      </w:pPr>
      <w:r>
        <w:t xml:space="preserve">le néerlandais exclusivement, dans </w:t>
      </w:r>
      <w:smartTag w:uri="urn:schemas-microsoft-com:office:smarttags" w:element="PersonName">
        <w:smartTagPr>
          <w:attr w:name="ProductID" w:val="la R￩gion"/>
        </w:smartTagPr>
        <w:r>
          <w:t>la Région</w:t>
        </w:r>
      </w:smartTag>
      <w:r>
        <w:t xml:space="preserve"> de Bruxelles-Capitale et dans les communes de Comines-Warneton, Mouscron, Flobecq et Enghien; </w:t>
      </w:r>
    </w:p>
    <w:p>
      <w:pPr>
        <w:numPr>
          <w:ilvl w:val="0"/>
          <w:numId w:val="94"/>
        </w:numPr>
        <w:tabs>
          <w:tab w:val="num" w:pos="900"/>
        </w:tabs>
        <w:spacing w:before="80"/>
        <w:ind w:left="899"/>
        <w:jc w:val="both"/>
      </w:pPr>
      <w:r>
        <w:t>le néerlandais et l'allemand, dans les communes de Malmédy, Waimes, Baelen, Plombières et Welkenraedt;</w:t>
      </w:r>
    </w:p>
    <w:p>
      <w:pPr>
        <w:numPr>
          <w:ilvl w:val="0"/>
          <w:numId w:val="94"/>
        </w:numPr>
        <w:tabs>
          <w:tab w:val="num" w:pos="900"/>
        </w:tabs>
        <w:spacing w:before="80"/>
        <w:ind w:left="899"/>
        <w:jc w:val="both"/>
      </w:pPr>
      <w:r>
        <w:t>le néerlandais, l'anglais, l'allemand dans les autres communes wallonnes.</w:t>
      </w:r>
    </w:p>
    <w:p>
      <w:pPr>
        <w:ind w:left="539" w:hanging="360"/>
        <w:jc w:val="both"/>
        <w:rPr>
          <w:sz w:val="4"/>
          <w:szCs w:val="4"/>
        </w:rPr>
      </w:pPr>
    </w:p>
    <w:p>
      <w:pPr>
        <w:ind w:left="539"/>
        <w:jc w:val="both"/>
      </w:pPr>
      <w:r>
        <w:t xml:space="preserve">Dans les communes visées ci-dessus aux points b) et c), de la même manière que pour l'enseignement de la seconde langue, l'apprentissage par immersion peut être proposé dans </w:t>
      </w:r>
      <w:r>
        <w:rPr>
          <w:u w:val="single"/>
        </w:rPr>
        <w:t>2 langues au maximum</w:t>
      </w:r>
      <w:r>
        <w:t xml:space="preserve"> par école ou implantation concernée.</w:t>
      </w:r>
    </w:p>
    <w:p>
      <w:pPr>
        <w:ind w:left="539" w:hanging="360"/>
        <w:jc w:val="both"/>
        <w:rPr>
          <w:sz w:val="8"/>
          <w:szCs w:val="8"/>
        </w:rPr>
      </w:pPr>
    </w:p>
    <w:p>
      <w:pPr>
        <w:ind w:left="539" w:hanging="360"/>
        <w:jc w:val="both"/>
      </w:pPr>
      <w:r>
        <w:t>2.</w:t>
      </w:r>
      <w:r>
        <w:tab/>
        <w:t xml:space="preserve">L'organisation de l’immersion doit être mentionnée dans le </w:t>
      </w:r>
      <w:r>
        <w:rPr>
          <w:u w:val="single"/>
        </w:rPr>
        <w:t>projet d’établissement</w:t>
      </w:r>
      <w:r>
        <w:t>.</w:t>
      </w:r>
    </w:p>
    <w:p>
      <w:pPr>
        <w:ind w:left="539" w:hanging="360"/>
        <w:jc w:val="both"/>
        <w:rPr>
          <w:sz w:val="8"/>
          <w:szCs w:val="8"/>
        </w:rPr>
      </w:pPr>
    </w:p>
    <w:p>
      <w:pPr>
        <w:ind w:left="539" w:hanging="360"/>
        <w:jc w:val="both"/>
        <w:rPr>
          <w:u w:val="single"/>
        </w:rPr>
      </w:pPr>
      <w:r>
        <w:t>3.</w:t>
      </w:r>
      <w:r>
        <w:tab/>
        <w:t xml:space="preserve">L’inscription des élèves dans l’apprentissage par immersion ne peut être soumise à </w:t>
      </w:r>
      <w:r>
        <w:rPr>
          <w:u w:val="single"/>
        </w:rPr>
        <w:t>aucune sélection préalable</w:t>
      </w:r>
      <w:r>
        <w:t xml:space="preserve">. </w:t>
      </w:r>
    </w:p>
    <w:p>
      <w:pPr>
        <w:ind w:left="539"/>
        <w:jc w:val="both"/>
      </w:pPr>
      <w:r>
        <w:t xml:space="preserve">Le chef d’établissement dans l’enseignement organisé par </w:t>
      </w:r>
      <w:smartTag w:uri="urn:schemas-microsoft-com:office:smarttags" w:element="PersonName">
        <w:smartTagPr>
          <w:attr w:name="ProductID" w:val="la F￩d￩ration Wallonie-Bruxelles"/>
        </w:smartTagPr>
        <w:r>
          <w:t>la Fédération Wallonie-Bruxelles</w:t>
        </w:r>
      </w:smartTag>
      <w:r>
        <w:t xml:space="preserve">, le P.O. dans l’enseignement subventionné, peut toutefois limiter dans l’école ou l’implantation le nombre de classes au sein desquelles est pratiqué l’apprentissage par immersion. Cette limitation figure dans la demande ou le dossier visés ci-dessous à la </w:t>
      </w:r>
      <w:hyperlink w:anchor="_4.4.3.6._Modalités_à" w:history="1">
        <w:r>
          <w:rPr>
            <w:rStyle w:val="Lienhypertexte"/>
            <w:color w:val="auto"/>
          </w:rPr>
          <w:t>section 4.4.3.6.</w:t>
        </w:r>
      </w:hyperlink>
      <w:r>
        <w:t xml:space="preserve"> Dans ce cas, l’autorisation de fréquenter une desdites classes est accordée en suivant l’ordre chronologique d’introduction des demandes relatives à cette fréquentation.</w:t>
      </w:r>
    </w:p>
    <w:p>
      <w:pPr>
        <w:ind w:left="539"/>
      </w:pPr>
      <w:r>
        <w:t>Aucune priorité ne peut être accordée à un élève dont un frère/une sœur ainsi que tout autre mineur résidant sous le même toit fréquente déjà l’école.</w:t>
      </w:r>
    </w:p>
    <w:p>
      <w:pPr>
        <w:ind w:left="539"/>
        <w:jc w:val="both"/>
        <w:rPr>
          <w:rFonts w:cs="Arial"/>
          <w:szCs w:val="22"/>
        </w:rPr>
      </w:pPr>
      <w:r>
        <w:t>En cas de demande d’inscription de jumeaux, celle-ci peut se faire simultanément pour les deux enfants, quelles que soient les modalités d’inscription, en particulier lorsqu’il s’agit d’une inscription par voie électronique.</w:t>
      </w:r>
    </w:p>
    <w:p>
      <w:pPr>
        <w:ind w:left="539"/>
        <w:jc w:val="both"/>
        <w:rPr>
          <w:b/>
          <w:bCs/>
          <w:sz w:val="8"/>
          <w:szCs w:val="8"/>
        </w:rPr>
      </w:pPr>
    </w:p>
    <w:p>
      <w:pPr>
        <w:ind w:left="539" w:hanging="360"/>
        <w:jc w:val="both"/>
        <w:rPr>
          <w:spacing w:val="-2"/>
        </w:rPr>
      </w:pPr>
      <w:r>
        <w:t>4.</w:t>
      </w:r>
      <w:r>
        <w:tab/>
      </w:r>
      <w:r>
        <w:rPr>
          <w:spacing w:val="-2"/>
        </w:rPr>
        <w:t xml:space="preserve">Les </w:t>
      </w:r>
      <w:r>
        <w:rPr>
          <w:spacing w:val="-2"/>
          <w:u w:val="single"/>
        </w:rPr>
        <w:t>évaluations à caractère certificatif</w:t>
      </w:r>
      <w:r>
        <w:rPr>
          <w:spacing w:val="-2"/>
        </w:rPr>
        <w:t xml:space="preserve"> au terme d’un cycle ou d’une étape, à l’exception toutefois de l’épreuve externe commune conduisant à l’octroi du CEB, doivent être organisées dans la langue de l’immersion pour les disciplines faisant l’objet d’un apprentissage par immersion. </w:t>
      </w:r>
    </w:p>
    <w:p>
      <w:pPr>
        <w:ind w:left="539" w:hanging="360"/>
        <w:jc w:val="both"/>
        <w:rPr>
          <w:sz w:val="8"/>
          <w:szCs w:val="8"/>
        </w:rPr>
      </w:pPr>
    </w:p>
    <w:p>
      <w:pPr>
        <w:ind w:left="539" w:hanging="360"/>
        <w:jc w:val="both"/>
      </w:pPr>
      <w:r>
        <w:t>5.</w:t>
      </w:r>
      <w:r>
        <w:tab/>
        <w:t xml:space="preserve">Les </w:t>
      </w:r>
      <w:r>
        <w:rPr>
          <w:u w:val="single"/>
        </w:rPr>
        <w:t>évaluations externes non certificatives</w:t>
      </w:r>
      <w:r>
        <w:t xml:space="preserve"> doivent être organisées en français pour les élèves fréquentant une classe au sein de laquelle est organisé un apprentissage par immersion. Les écoles concernées veillent à ce que les élèves maîtrisent le vocabulaire spécifique nécessaire pour participer à ces évaluations.</w:t>
      </w:r>
    </w:p>
    <w:p>
      <w:pPr>
        <w:ind w:left="539" w:hanging="360"/>
        <w:jc w:val="both"/>
        <w:rPr>
          <w:sz w:val="16"/>
        </w:rPr>
      </w:pPr>
    </w:p>
    <w:p>
      <w:pPr>
        <w:jc w:val="both"/>
      </w:pPr>
      <w:r>
        <w:t xml:space="preserve">Le </w:t>
      </w:r>
      <w:r>
        <w:rPr>
          <w:u w:val="single"/>
        </w:rPr>
        <w:t>CPMS</w:t>
      </w:r>
      <w:r>
        <w:t xml:space="preserve"> est chargé des mêmes missions pour les élèves concernés par l’apprentissage par immersion que pour les autres élèves.</w:t>
      </w:r>
    </w:p>
    <w:p>
      <w:pPr>
        <w:jc w:val="both"/>
        <w:rPr>
          <w:sz w:val="16"/>
          <w:szCs w:val="16"/>
        </w:rPr>
      </w:pPr>
    </w:p>
    <w:p>
      <w:pPr>
        <w:pStyle w:val="Titre4"/>
        <w:rPr>
          <w:sz w:val="18"/>
        </w:rPr>
      </w:pPr>
      <w:bookmarkStart w:id="1356" w:name="_4.4.3.4._organisation_et"/>
      <w:bookmarkStart w:id="1357" w:name="_4.4.3.4._Organisation"/>
      <w:bookmarkStart w:id="1358" w:name="_Toc207192203"/>
      <w:bookmarkStart w:id="1359" w:name="_Toc295932068"/>
      <w:bookmarkStart w:id="1360" w:name="_Toc423420102"/>
      <w:bookmarkStart w:id="1361" w:name="_Toc450645309"/>
      <w:bookmarkStart w:id="1362" w:name="_Toc453942548"/>
      <w:bookmarkStart w:id="1363" w:name="_Toc454888165"/>
      <w:bookmarkStart w:id="1364" w:name="_Toc486241825"/>
      <w:bookmarkEnd w:id="1356"/>
      <w:bookmarkEnd w:id="1357"/>
      <w:r>
        <w:t>4.4.3.4.</w:t>
      </w:r>
      <w:r>
        <w:tab/>
        <w:t>Organisation</w:t>
      </w:r>
      <w:bookmarkEnd w:id="1358"/>
      <w:bookmarkEnd w:id="1359"/>
      <w:bookmarkEnd w:id="1360"/>
      <w:bookmarkEnd w:id="1361"/>
      <w:bookmarkEnd w:id="1362"/>
      <w:bookmarkEnd w:id="1363"/>
      <w:bookmarkEnd w:id="1364"/>
      <w:r>
        <w:t xml:space="preserve"> </w:t>
      </w:r>
    </w:p>
    <w:p>
      <w:pPr>
        <w:jc w:val="both"/>
        <w:rPr>
          <w:sz w:val="16"/>
          <w:szCs w:val="16"/>
        </w:rPr>
      </w:pPr>
    </w:p>
    <w:p>
      <w:pPr>
        <w:jc w:val="both"/>
      </w:pPr>
      <w:r>
        <w:t xml:space="preserve">L’élève </w:t>
      </w:r>
      <w:r>
        <w:rPr>
          <w:b/>
        </w:rPr>
        <w:t>débute</w:t>
      </w:r>
      <w:r>
        <w:t xml:space="preserve"> l’apprentissage par immersion:</w:t>
      </w:r>
    </w:p>
    <w:p>
      <w:pPr>
        <w:numPr>
          <w:ilvl w:val="0"/>
          <w:numId w:val="93"/>
        </w:numPr>
        <w:ind w:left="719"/>
        <w:jc w:val="both"/>
      </w:pPr>
      <w:r>
        <w:t xml:space="preserve">soit au niveau de la </w:t>
      </w:r>
      <w:r>
        <w:rPr>
          <w:u w:val="single"/>
        </w:rPr>
        <w:t>3</w:t>
      </w:r>
      <w:r>
        <w:rPr>
          <w:u w:val="single"/>
          <w:vertAlign w:val="superscript"/>
        </w:rPr>
        <w:t>e</w:t>
      </w:r>
      <w:r>
        <w:rPr>
          <w:u w:val="single"/>
        </w:rPr>
        <w:t xml:space="preserve"> maternelle</w:t>
      </w:r>
      <w:r>
        <w:t xml:space="preserve"> s'il s'agit d'une école fondamentale ou maternelle   ou au niveau de la </w:t>
      </w:r>
      <w:r>
        <w:rPr>
          <w:u w:val="single"/>
        </w:rPr>
        <w:t>1</w:t>
      </w:r>
      <w:r>
        <w:rPr>
          <w:u w:val="single"/>
          <w:vertAlign w:val="superscript"/>
        </w:rPr>
        <w:t>ère</w:t>
      </w:r>
      <w:r>
        <w:rPr>
          <w:u w:val="single"/>
        </w:rPr>
        <w:t xml:space="preserve"> primaire</w:t>
      </w:r>
      <w:r>
        <w:t xml:space="preserve"> s'il s'agit d'une école primaire</w:t>
      </w:r>
    </w:p>
    <w:p>
      <w:pPr>
        <w:numPr>
          <w:ilvl w:val="0"/>
          <w:numId w:val="93"/>
        </w:numPr>
        <w:ind w:left="719"/>
      </w:pPr>
      <w:r>
        <w:t xml:space="preserve">soit au niveau de la </w:t>
      </w:r>
      <w:r>
        <w:rPr>
          <w:u w:val="single"/>
        </w:rPr>
        <w:t>3</w:t>
      </w:r>
      <w:r>
        <w:rPr>
          <w:u w:val="single"/>
          <w:vertAlign w:val="superscript"/>
        </w:rPr>
        <w:t>e</w:t>
      </w:r>
      <w:r>
        <w:rPr>
          <w:u w:val="single"/>
        </w:rPr>
        <w:t xml:space="preserve"> primaire</w:t>
      </w:r>
      <w:r>
        <w:t xml:space="preserve"> (école fondamentale ou primaire).</w:t>
      </w:r>
      <w:r>
        <w:br/>
      </w:r>
    </w:p>
    <w:p>
      <w:pPr>
        <w:jc w:val="both"/>
        <w:rPr>
          <w:rFonts w:cs="Arial"/>
          <w:bCs/>
          <w:iCs/>
          <w:spacing w:val="-4"/>
          <w:szCs w:val="22"/>
        </w:rPr>
      </w:pPr>
      <w:r>
        <w:rPr>
          <w:rFonts w:cs="Arial"/>
          <w:bCs/>
          <w:iCs/>
          <w:spacing w:val="-4"/>
          <w:szCs w:val="22"/>
        </w:rPr>
        <w:t>Par dérogation à l’article 8 du décret du 11/05/2007 relatif à l'enseignement en immersion linguistique, un Pouvoir organisateur ou une direction d’école pourra admettre:</w:t>
      </w:r>
    </w:p>
    <w:p>
      <w:pPr>
        <w:jc w:val="both"/>
        <w:rPr>
          <w:rFonts w:cs="Arial"/>
          <w:bCs/>
          <w:iCs/>
          <w:dstrike/>
          <w:spacing w:val="-4"/>
          <w:szCs w:val="22"/>
        </w:rPr>
      </w:pPr>
    </w:p>
    <w:p>
      <w:pPr>
        <w:numPr>
          <w:ilvl w:val="0"/>
          <w:numId w:val="111"/>
        </w:numPr>
        <w:tabs>
          <w:tab w:val="clear" w:pos="720"/>
        </w:tabs>
        <w:ind w:left="359"/>
        <w:jc w:val="both"/>
        <w:rPr>
          <w:rFonts w:cs="Arial"/>
          <w:spacing w:val="-4"/>
          <w:szCs w:val="22"/>
        </w:rPr>
      </w:pPr>
      <w:r>
        <w:rPr>
          <w:rFonts w:cs="Arial"/>
          <w:spacing w:val="-4"/>
          <w:szCs w:val="22"/>
        </w:rPr>
        <w:t xml:space="preserve">un élève dont au moins l’un des parents a pour langue maternelle la langue d’immersion; </w:t>
      </w:r>
    </w:p>
    <w:p>
      <w:pPr>
        <w:numPr>
          <w:ilvl w:val="0"/>
          <w:numId w:val="111"/>
        </w:numPr>
        <w:tabs>
          <w:tab w:val="clear" w:pos="720"/>
        </w:tabs>
        <w:ind w:left="359"/>
        <w:jc w:val="both"/>
        <w:rPr>
          <w:rFonts w:cs="Arial"/>
          <w:spacing w:val="-4"/>
          <w:szCs w:val="22"/>
        </w:rPr>
      </w:pPr>
      <w:r>
        <w:rPr>
          <w:rFonts w:cs="Arial"/>
          <w:spacing w:val="-4"/>
          <w:szCs w:val="22"/>
        </w:rPr>
        <w:t>un élève issu d’une école internationale dont la langue de l’enseignement est la même que la langue de l’immersion;</w:t>
      </w:r>
    </w:p>
    <w:p>
      <w:pPr>
        <w:numPr>
          <w:ilvl w:val="0"/>
          <w:numId w:val="111"/>
        </w:numPr>
        <w:tabs>
          <w:tab w:val="clear" w:pos="720"/>
        </w:tabs>
        <w:ind w:left="359"/>
        <w:jc w:val="both"/>
        <w:rPr>
          <w:rFonts w:cs="Arial"/>
          <w:spacing w:val="-4"/>
          <w:szCs w:val="22"/>
        </w:rPr>
      </w:pPr>
      <w:r>
        <w:rPr>
          <w:rFonts w:cs="Arial"/>
          <w:spacing w:val="-4"/>
          <w:szCs w:val="22"/>
        </w:rPr>
        <w:t>un élève issu d’une école européenne. dont la langue de l’enseignement est la même que la langue de l’immersion;</w:t>
      </w:r>
    </w:p>
    <w:p>
      <w:pPr>
        <w:numPr>
          <w:ilvl w:val="0"/>
          <w:numId w:val="111"/>
        </w:numPr>
        <w:tabs>
          <w:tab w:val="clear" w:pos="720"/>
        </w:tabs>
        <w:ind w:left="359"/>
        <w:jc w:val="both"/>
        <w:rPr>
          <w:rFonts w:cs="Arial"/>
          <w:spacing w:val="-4"/>
          <w:szCs w:val="22"/>
        </w:rPr>
      </w:pPr>
      <w:r>
        <w:rPr>
          <w:rFonts w:cs="Arial"/>
          <w:spacing w:val="-4"/>
          <w:szCs w:val="22"/>
        </w:rPr>
        <w:t>uniquement dans le cadre d’un changement d’école, un élève en première année primaire, même s’il n’a pas suivi d’enseignement dans la langue de l’immersion au niveau de la dernière année de l’enseignement maternel.</w:t>
      </w:r>
    </w:p>
    <w:p>
      <w:pPr>
        <w:jc w:val="both"/>
        <w:rPr>
          <w:sz w:val="12"/>
        </w:rPr>
      </w:pPr>
    </w:p>
    <w:p>
      <w:pPr>
        <w:jc w:val="both"/>
      </w:pPr>
      <w:r>
        <w:t>Une école fondamentale qui organise de l’apprentissage par immersion offre la possibilité de suivre cet apprentissage soit durant la 3</w:t>
      </w:r>
      <w:r>
        <w:rPr>
          <w:vertAlign w:val="superscript"/>
        </w:rPr>
        <w:t>e</w:t>
      </w:r>
      <w:r>
        <w:t xml:space="preserve"> maternelle et les 6 années de l’enseignement primaire, soit durant les 4 dernières années primaires. Une école primaire qui organise de l’apprentissage par immersion offre la possibilité de suivre cet apprentissage soit durant les 6 années de l’enseignement primaire, soit durant les 4 dernières années de l’enseignement primaire.</w:t>
      </w:r>
    </w:p>
    <w:p>
      <w:pPr>
        <w:jc w:val="both"/>
        <w:rPr>
          <w:sz w:val="12"/>
          <w:szCs w:val="12"/>
        </w:rPr>
      </w:pPr>
    </w:p>
    <w:p>
      <w:pPr>
        <w:jc w:val="both"/>
      </w:pPr>
      <w:r>
        <w:t>Une même école ne peut pas organiser l’apprentissage par immersion commençant en 3</w:t>
      </w:r>
      <w:r>
        <w:rPr>
          <w:vertAlign w:val="superscript"/>
        </w:rPr>
        <w:t>e</w:t>
      </w:r>
      <w:r>
        <w:t xml:space="preserve"> maternelle ou en 1</w:t>
      </w:r>
      <w:r>
        <w:rPr>
          <w:vertAlign w:val="superscript"/>
        </w:rPr>
        <w:t>ère</w:t>
      </w:r>
      <w:r>
        <w:t xml:space="preserve"> primaire et l’apprentissage par immersion commençant en 3</w:t>
      </w:r>
      <w:r>
        <w:rPr>
          <w:vertAlign w:val="superscript"/>
        </w:rPr>
        <w:t>e</w:t>
      </w:r>
      <w:r>
        <w:t xml:space="preserve"> primaire.</w:t>
      </w:r>
    </w:p>
    <w:p>
      <w:pPr>
        <w:jc w:val="both"/>
        <w:rPr>
          <w:sz w:val="12"/>
        </w:rPr>
      </w:pPr>
    </w:p>
    <w:p>
      <w:pPr>
        <w:jc w:val="both"/>
      </w:pPr>
      <w:r>
        <w:t xml:space="preserve">Des écoles maternelles, fondamentales ou primaires peuvent conclure des accords de collaboration entre elles afin de satisfaire aux dispositions visées aux deux alinéas précédents.  </w:t>
      </w:r>
    </w:p>
    <w:p>
      <w:pPr>
        <w:jc w:val="both"/>
        <w:rPr>
          <w:sz w:val="12"/>
          <w:szCs w:val="12"/>
        </w:rPr>
      </w:pPr>
    </w:p>
    <w:p>
      <w:pPr>
        <w:jc w:val="both"/>
        <w:rPr>
          <w:spacing w:val="-2"/>
          <w:szCs w:val="22"/>
        </w:rPr>
      </w:pPr>
      <w:r>
        <w:rPr>
          <w:spacing w:val="-2"/>
          <w:szCs w:val="22"/>
        </w:rPr>
        <w:t>Une école fondamentale ou primaire qui met progressivement en place l’apprentissage par immersion soit à partir de la 3</w:t>
      </w:r>
      <w:r>
        <w:rPr>
          <w:spacing w:val="-2"/>
          <w:szCs w:val="22"/>
          <w:vertAlign w:val="superscript"/>
        </w:rPr>
        <w:t>e</w:t>
      </w:r>
      <w:r>
        <w:rPr>
          <w:spacing w:val="-2"/>
          <w:szCs w:val="22"/>
        </w:rPr>
        <w:t xml:space="preserve"> maternelle ou en 1</w:t>
      </w:r>
      <w:r>
        <w:rPr>
          <w:spacing w:val="-2"/>
          <w:szCs w:val="22"/>
          <w:vertAlign w:val="superscript"/>
        </w:rPr>
        <w:t>ère</w:t>
      </w:r>
      <w:r>
        <w:rPr>
          <w:spacing w:val="-2"/>
          <w:szCs w:val="22"/>
        </w:rPr>
        <w:t xml:space="preserve"> primaire, soit en 3</w:t>
      </w:r>
      <w:r>
        <w:rPr>
          <w:spacing w:val="-2"/>
          <w:szCs w:val="22"/>
          <w:vertAlign w:val="superscript"/>
        </w:rPr>
        <w:t>e</w:t>
      </w:r>
      <w:r>
        <w:rPr>
          <w:spacing w:val="-2"/>
          <w:szCs w:val="22"/>
        </w:rPr>
        <w:t xml:space="preserve"> primaire, doit permettre aux élèves concernés de poursuivre celui-ci durant la suite de sa scolarité primaire au sein de la même école.</w:t>
      </w:r>
    </w:p>
    <w:p>
      <w:pPr>
        <w:jc w:val="both"/>
        <w:rPr>
          <w:sz w:val="12"/>
        </w:rPr>
      </w:pPr>
    </w:p>
    <w:p>
      <w:pPr>
        <w:jc w:val="both"/>
      </w:pPr>
      <w:r>
        <w:t>Les écoles fondamentales ou primaires et les établissements d'enseignement secondaire peuvent conclure des accords de collaboration afin d'assurer la continuité de l'apprentissage par immersion entre le 3</w:t>
      </w:r>
      <w:r>
        <w:rPr>
          <w:vertAlign w:val="superscript"/>
        </w:rPr>
        <w:t>e</w:t>
      </w:r>
      <w:r>
        <w:t xml:space="preserve"> degré primaire et le 1</w:t>
      </w:r>
      <w:r>
        <w:rPr>
          <w:vertAlign w:val="superscript"/>
        </w:rPr>
        <w:t>er</w:t>
      </w:r>
      <w:r>
        <w:t xml:space="preserve"> degré secondaire.</w:t>
      </w:r>
    </w:p>
    <w:p>
      <w:pPr>
        <w:jc w:val="both"/>
        <w:rPr>
          <w:sz w:val="20"/>
          <w:szCs w:val="20"/>
        </w:rPr>
      </w:pPr>
    </w:p>
    <w:p>
      <w:pPr>
        <w:pStyle w:val="Titre4"/>
      </w:pPr>
      <w:bookmarkStart w:id="1365" w:name="_4.4.3.5._Grille-horaire"/>
      <w:bookmarkStart w:id="1366" w:name="_Toc207192204"/>
      <w:bookmarkStart w:id="1367" w:name="_Toc295932069"/>
      <w:bookmarkStart w:id="1368" w:name="_Toc423420103"/>
      <w:bookmarkStart w:id="1369" w:name="_Toc450645310"/>
      <w:bookmarkStart w:id="1370" w:name="_Toc453942549"/>
      <w:bookmarkStart w:id="1371" w:name="_Toc454888166"/>
      <w:bookmarkStart w:id="1372" w:name="_Toc486241826"/>
      <w:bookmarkEnd w:id="1365"/>
      <w:r>
        <w:t>4.4.3.5.</w:t>
      </w:r>
      <w:r>
        <w:tab/>
        <w:t>Grille-horaire</w:t>
      </w:r>
      <w:bookmarkEnd w:id="1366"/>
      <w:bookmarkEnd w:id="1367"/>
      <w:bookmarkEnd w:id="1368"/>
      <w:bookmarkEnd w:id="1369"/>
      <w:bookmarkEnd w:id="1370"/>
      <w:bookmarkEnd w:id="1371"/>
      <w:bookmarkEnd w:id="1372"/>
      <w:r>
        <w:t xml:space="preserve"> </w:t>
      </w:r>
    </w:p>
    <w:p>
      <w:pPr>
        <w:jc w:val="both"/>
        <w:rPr>
          <w:sz w:val="14"/>
          <w:szCs w:val="14"/>
        </w:rPr>
      </w:pPr>
    </w:p>
    <w:p>
      <w:pPr>
        <w:jc w:val="both"/>
      </w:pPr>
      <w:r>
        <w:t xml:space="preserve">La partie de la </w:t>
      </w:r>
      <w:r>
        <w:rPr>
          <w:u w:val="single"/>
        </w:rPr>
        <w:t>grille-horaire hebdomadaire</w:t>
      </w:r>
      <w:r>
        <w:t xml:space="preserve"> à consacrer à l'apprentissage par immersion est de:</w:t>
      </w:r>
    </w:p>
    <w:p>
      <w:pPr>
        <w:jc w:val="both"/>
        <w:rPr>
          <w:sz w:val="4"/>
          <w:szCs w:val="4"/>
        </w:rPr>
      </w:pPr>
    </w:p>
    <w:p>
      <w:pPr>
        <w:numPr>
          <w:ilvl w:val="0"/>
          <w:numId w:val="91"/>
        </w:numPr>
        <w:ind w:left="359"/>
        <w:jc w:val="both"/>
      </w:pPr>
      <w:r>
        <w:t>8 à 21 périodes de la 3</w:t>
      </w:r>
      <w:r>
        <w:rPr>
          <w:vertAlign w:val="superscript"/>
        </w:rPr>
        <w:t>e</w:t>
      </w:r>
      <w:r>
        <w:t xml:space="preserve"> maternelle à la 2</w:t>
      </w:r>
      <w:r>
        <w:rPr>
          <w:vertAlign w:val="superscript"/>
        </w:rPr>
        <w:t>e</w:t>
      </w:r>
      <w:r>
        <w:t xml:space="preserve"> primaire;</w:t>
      </w:r>
    </w:p>
    <w:p>
      <w:pPr>
        <w:numPr>
          <w:ilvl w:val="0"/>
          <w:numId w:val="91"/>
        </w:numPr>
        <w:spacing w:before="60"/>
        <w:ind w:left="356" w:hanging="357"/>
        <w:jc w:val="both"/>
      </w:pPr>
      <w:r>
        <w:t>8 à 18 périodes de la 3</w:t>
      </w:r>
      <w:r>
        <w:rPr>
          <w:vertAlign w:val="superscript"/>
        </w:rPr>
        <w:t>e</w:t>
      </w:r>
      <w:r>
        <w:t xml:space="preserve"> primaire à la 6</w:t>
      </w:r>
      <w:r>
        <w:rPr>
          <w:vertAlign w:val="superscript"/>
        </w:rPr>
        <w:t>e</w:t>
      </w:r>
      <w:r>
        <w:t xml:space="preserve"> primaire pour les élèves ayant entamé l’immersion en 3</w:t>
      </w:r>
      <w:r>
        <w:rPr>
          <w:vertAlign w:val="superscript"/>
        </w:rPr>
        <w:t>e</w:t>
      </w:r>
      <w:r>
        <w:t xml:space="preserve"> maternelle ou en 1</w:t>
      </w:r>
      <w:r>
        <w:rPr>
          <w:vertAlign w:val="superscript"/>
        </w:rPr>
        <w:t>ère</w:t>
      </w:r>
      <w:r>
        <w:t xml:space="preserve"> primaire;</w:t>
      </w:r>
    </w:p>
    <w:p>
      <w:pPr>
        <w:numPr>
          <w:ilvl w:val="0"/>
          <w:numId w:val="91"/>
        </w:numPr>
        <w:spacing w:before="60"/>
        <w:ind w:left="356" w:hanging="357"/>
        <w:jc w:val="both"/>
      </w:pPr>
      <w:r>
        <w:t>12 à 18 périodes de la 3</w:t>
      </w:r>
      <w:r>
        <w:rPr>
          <w:vertAlign w:val="superscript"/>
        </w:rPr>
        <w:t>e</w:t>
      </w:r>
      <w:r>
        <w:t xml:space="preserve"> primaire à la 6</w:t>
      </w:r>
      <w:r>
        <w:rPr>
          <w:vertAlign w:val="superscript"/>
        </w:rPr>
        <w:t>e</w:t>
      </w:r>
      <w:r>
        <w:t xml:space="preserve"> primaire pour les élèves ayant entamé l’immersion en 3</w:t>
      </w:r>
      <w:r>
        <w:rPr>
          <w:vertAlign w:val="superscript"/>
        </w:rPr>
        <w:t>e</w:t>
      </w:r>
      <w:r>
        <w:t xml:space="preserve"> primaire.</w:t>
      </w:r>
    </w:p>
    <w:p>
      <w:pPr>
        <w:spacing w:before="60"/>
        <w:jc w:val="both"/>
        <w:rPr>
          <w:sz w:val="4"/>
          <w:szCs w:val="4"/>
        </w:rPr>
      </w:pPr>
    </w:p>
    <w:p>
      <w:pPr>
        <w:pStyle w:val="Corpsdetexte"/>
        <w:rPr>
          <w:rFonts w:cs="Times New Roman"/>
          <w:spacing w:val="0"/>
        </w:rPr>
      </w:pPr>
      <w:r>
        <w:rPr>
          <w:rFonts w:cs="Times New Roman"/>
          <w:spacing w:val="0"/>
        </w:rPr>
        <w:t xml:space="preserve">Le </w:t>
      </w:r>
      <w:r>
        <w:rPr>
          <w:rFonts w:cs="Times New Roman"/>
          <w:spacing w:val="0"/>
          <w:u w:val="single"/>
        </w:rPr>
        <w:t>cours de seconde langue</w:t>
      </w:r>
      <w:r>
        <w:rPr>
          <w:rFonts w:cs="Times New Roman"/>
          <w:spacing w:val="0"/>
        </w:rPr>
        <w:t xml:space="preserve"> est comptabilisé dans la partie de la grille horaire consacrée à l’apprentissage par immersion. Les apprentissages visés durant ce cours portent spécifiquement sur les compétences liées à la maîtrise de la langue concernée et sur le vocabulaire spécifique aux disciplines enseignées dans le cadre de l’apprentissage par immersion.</w:t>
      </w:r>
    </w:p>
    <w:p>
      <w:pPr>
        <w:pStyle w:val="Corpsdetexte"/>
        <w:rPr>
          <w:rFonts w:cs="Times New Roman"/>
          <w:spacing w:val="0"/>
          <w:sz w:val="12"/>
          <w:szCs w:val="12"/>
        </w:rPr>
      </w:pPr>
    </w:p>
    <w:p>
      <w:pPr>
        <w:pStyle w:val="Corpsdetexte"/>
        <w:rPr>
          <w:rFonts w:cs="Times New Roman"/>
        </w:rPr>
      </w:pPr>
      <w:r>
        <w:rPr>
          <w:rFonts w:cs="Times New Roman"/>
        </w:rPr>
        <w:t xml:space="preserve">Les </w:t>
      </w:r>
      <w:r>
        <w:rPr>
          <w:rFonts w:cs="Times New Roman"/>
          <w:u w:val="single"/>
        </w:rPr>
        <w:t>cours de morale, de religion, de philosophie et de citoyenneté</w:t>
      </w:r>
      <w:r>
        <w:rPr>
          <w:rFonts w:cs="Times New Roman"/>
        </w:rPr>
        <w:t xml:space="preserve"> ne peuvent faire partie de la partie de la grille-horaire consacrée à l'apprentissage par immersion. Par contre, à la différence des règles en application précédemment, les </w:t>
      </w:r>
      <w:r>
        <w:rPr>
          <w:rFonts w:cs="Times New Roman"/>
          <w:u w:val="single"/>
        </w:rPr>
        <w:t>cours d'éducation physique</w:t>
      </w:r>
      <w:r>
        <w:rPr>
          <w:rFonts w:cs="Times New Roman"/>
        </w:rPr>
        <w:t xml:space="preserve"> et de psychomotricité peuvent faire partie de la grille-horaire consacrée à l'apprentissage par immersion. </w:t>
      </w:r>
    </w:p>
    <w:p>
      <w:pPr>
        <w:pStyle w:val="Corpsdetexte"/>
        <w:rPr>
          <w:rFonts w:cs="Times New Roman"/>
          <w:spacing w:val="0"/>
          <w:szCs w:val="22"/>
        </w:rPr>
      </w:pPr>
    </w:p>
    <w:p>
      <w:pPr>
        <w:pStyle w:val="Titre4"/>
      </w:pPr>
      <w:bookmarkStart w:id="1373" w:name="_4.4.3.4._Modalités_à"/>
      <w:bookmarkStart w:id="1374" w:name="_4.4.3.6._Modalités_a"/>
      <w:bookmarkStart w:id="1375" w:name="_4.4.3.6._Modalités_à"/>
      <w:bookmarkStart w:id="1376" w:name="_Toc207192205"/>
      <w:bookmarkStart w:id="1377" w:name="_Toc295932070"/>
      <w:bookmarkStart w:id="1378" w:name="_Toc423420104"/>
      <w:bookmarkStart w:id="1379" w:name="_Toc450645311"/>
      <w:bookmarkStart w:id="1380" w:name="_Toc453942550"/>
      <w:bookmarkStart w:id="1381" w:name="_Toc454888167"/>
      <w:bookmarkStart w:id="1382" w:name="_Toc486241827"/>
      <w:bookmarkEnd w:id="1373"/>
      <w:bookmarkEnd w:id="1374"/>
      <w:bookmarkEnd w:id="1375"/>
      <w:r>
        <w:t>4.4.3.6.</w:t>
      </w:r>
      <w:r>
        <w:tab/>
        <w:t>Modalités à remplir pour organiser de l'apprentissage par immersion</w:t>
      </w:r>
      <w:bookmarkEnd w:id="1376"/>
      <w:bookmarkEnd w:id="1377"/>
      <w:bookmarkEnd w:id="1378"/>
      <w:bookmarkEnd w:id="1379"/>
      <w:bookmarkEnd w:id="1380"/>
      <w:bookmarkEnd w:id="1381"/>
      <w:bookmarkEnd w:id="1382"/>
    </w:p>
    <w:p>
      <w:pPr>
        <w:jc w:val="both"/>
        <w:rPr>
          <w:sz w:val="14"/>
          <w:szCs w:val="14"/>
        </w:rPr>
      </w:pPr>
    </w:p>
    <w:p>
      <w:pPr>
        <w:jc w:val="both"/>
      </w:pPr>
      <w:r>
        <w:rPr>
          <w:u w:val="single"/>
        </w:rPr>
        <w:t xml:space="preserve">Dans l’enseignement organisé par </w:t>
      </w:r>
      <w:smartTag w:uri="urn:schemas-microsoft-com:office:smarttags" w:element="PersonName">
        <w:smartTagPr>
          <w:attr w:name="ProductID" w:val="la F￩d￩ration Wallonie-Bruxelles"/>
        </w:smartTagPr>
        <w:r>
          <w:rPr>
            <w:u w:val="single"/>
          </w:rPr>
          <w:t>la Fédération Wallonie-Bruxelles</w:t>
        </w:r>
      </w:smartTag>
      <w:r>
        <w:t xml:space="preserve">, le chef d’établissement introduit </w:t>
      </w:r>
      <w:r>
        <w:rPr>
          <w:u w:val="single"/>
        </w:rPr>
        <w:t>pour le 31 mars au plus tard</w:t>
      </w:r>
      <w:r>
        <w:t xml:space="preserve"> une demande visant à obtenir l’autorisation d’assurer ou de poursuivre l’organisation de l’apprentissage par immersion (</w:t>
      </w:r>
      <w:hyperlink w:anchor="Annexe_44A" w:history="1">
        <w:r>
          <w:rPr>
            <w:rStyle w:val="Lienhypertexte"/>
            <w:bCs/>
            <w:color w:val="auto"/>
          </w:rPr>
          <w:t>Annexe 4.4.A.</w:t>
        </w:r>
      </w:hyperlink>
      <w:r>
        <w:rPr>
          <w:bCs/>
        </w:rPr>
        <w:t>)</w:t>
      </w:r>
    </w:p>
    <w:p>
      <w:pPr>
        <w:jc w:val="both"/>
      </w:pPr>
      <w:r>
        <w:rPr>
          <w:u w:val="single"/>
        </w:rPr>
        <w:t>Dans l’enseignement subventionné</w:t>
      </w:r>
      <w:r>
        <w:t xml:space="preserve">, le P.O. introduit </w:t>
      </w:r>
      <w:r>
        <w:rPr>
          <w:u w:val="single"/>
        </w:rPr>
        <w:t>pour le 31 mars au plus tard</w:t>
      </w:r>
      <w:r>
        <w:t xml:space="preserve"> une déclaration d’organisation d’un apprentissage par immersion pour une période de 3 ans (</w:t>
      </w:r>
      <w:hyperlink w:anchor="Annexe_44B" w:history="1">
        <w:r>
          <w:rPr>
            <w:rStyle w:val="Lienhypertexte"/>
            <w:bCs/>
            <w:color w:val="auto"/>
          </w:rPr>
          <w:t>Annexe 4.4.B.</w:t>
        </w:r>
      </w:hyperlink>
      <w:r>
        <w:rPr>
          <w:bCs/>
        </w:rPr>
        <w:t xml:space="preserve">) </w:t>
      </w:r>
      <w:r>
        <w:t>et au début du mois d’octobre un dossier de subventionnement spécifique pour chaque école ou implantation au sein de laquelle est organisé l’apprentissage par immersion.</w:t>
      </w:r>
    </w:p>
    <w:p>
      <w:pPr>
        <w:jc w:val="both"/>
        <w:rPr>
          <w:sz w:val="12"/>
          <w:szCs w:val="12"/>
        </w:rPr>
      </w:pPr>
    </w:p>
    <w:p>
      <w:pPr>
        <w:pStyle w:val="Corpsdetexte"/>
        <w:rPr>
          <w:rFonts w:cs="Times New Roman"/>
          <w:spacing w:val="0"/>
        </w:rPr>
      </w:pPr>
      <w:r>
        <w:rPr>
          <w:rFonts w:cs="Times New Roman"/>
          <w:spacing w:val="0"/>
        </w:rPr>
        <w:t xml:space="preserve">La </w:t>
      </w:r>
      <w:r>
        <w:rPr>
          <w:rFonts w:cs="Times New Roman"/>
          <w:b/>
          <w:spacing w:val="0"/>
          <w:u w:val="single"/>
        </w:rPr>
        <w:t>demande et le dossier susvisé, introduits tous les 3 ans</w:t>
      </w:r>
      <w:r>
        <w:rPr>
          <w:rFonts w:cs="Times New Roman"/>
          <w:spacing w:val="0"/>
        </w:rPr>
        <w:t>, comprendront au minimum:</w:t>
      </w:r>
    </w:p>
    <w:p>
      <w:pPr>
        <w:jc w:val="both"/>
        <w:rPr>
          <w:sz w:val="8"/>
          <w:szCs w:val="8"/>
        </w:rPr>
      </w:pPr>
    </w:p>
    <w:p>
      <w:pPr>
        <w:ind w:left="359" w:hanging="360"/>
        <w:jc w:val="both"/>
        <w:rPr>
          <w:b/>
          <w:bCs/>
        </w:rPr>
      </w:pPr>
      <w:r>
        <w:t>1)</w:t>
      </w:r>
      <w:r>
        <w:rPr>
          <w:b/>
          <w:bCs/>
        </w:rPr>
        <w:tab/>
        <w:t>L’avis du Conseil de participation;</w:t>
      </w:r>
    </w:p>
    <w:p>
      <w:pPr>
        <w:jc w:val="both"/>
        <w:rPr>
          <w:sz w:val="4"/>
          <w:szCs w:val="4"/>
        </w:rPr>
      </w:pPr>
    </w:p>
    <w:p>
      <w:pPr>
        <w:ind w:left="359" w:hanging="360"/>
      </w:pPr>
      <w:r>
        <w:t xml:space="preserve">2) </w:t>
      </w:r>
      <w:r>
        <w:tab/>
      </w:r>
      <w:r>
        <w:rPr>
          <w:b/>
          <w:bCs/>
        </w:rPr>
        <w:t>L’avis de l'instance de concertation</w:t>
      </w:r>
      <w:r>
        <w:t xml:space="preserve"> propre à chaque réseau, à savoir:</w:t>
      </w:r>
    </w:p>
    <w:p>
      <w:pPr>
        <w:numPr>
          <w:ilvl w:val="0"/>
          <w:numId w:val="34"/>
        </w:numPr>
        <w:tabs>
          <w:tab w:val="clear" w:pos="720"/>
          <w:tab w:val="num" w:pos="540"/>
        </w:tabs>
        <w:ind w:left="539" w:hanging="180"/>
      </w:pPr>
      <w:r>
        <w:t xml:space="preserve">le comité de concertation de base dans l'enseignement organisé par </w:t>
      </w:r>
      <w:smartTag w:uri="urn:schemas-microsoft-com:office:smarttags" w:element="PersonName">
        <w:smartTagPr>
          <w:attr w:name="ProductID" w:val="la F￩d￩ration Wallonie-Bruxelles"/>
        </w:smartTagPr>
        <w:r>
          <w:t>la Fédération Wallonie-Bruxelles</w:t>
        </w:r>
      </w:smartTag>
    </w:p>
    <w:p>
      <w:pPr>
        <w:numPr>
          <w:ilvl w:val="0"/>
          <w:numId w:val="34"/>
        </w:numPr>
        <w:tabs>
          <w:tab w:val="clear" w:pos="720"/>
          <w:tab w:val="num" w:pos="540"/>
        </w:tabs>
        <w:ind w:left="539" w:hanging="180"/>
      </w:pPr>
      <w:r>
        <w:t xml:space="preserve">la commission paritaire locale dans l’enseignement officiel subventionné </w:t>
      </w:r>
    </w:p>
    <w:p>
      <w:pPr>
        <w:numPr>
          <w:ilvl w:val="0"/>
          <w:numId w:val="34"/>
        </w:numPr>
        <w:tabs>
          <w:tab w:val="clear" w:pos="720"/>
          <w:tab w:val="num" w:pos="540"/>
        </w:tabs>
        <w:ind w:left="539" w:hanging="180"/>
      </w:pPr>
      <w:r>
        <w:t>l’instance de concertation locale ou le conseil d’entreprise ou, à défaut, la délégation syndicale dans l’enseignement libre subventionné;</w:t>
      </w:r>
    </w:p>
    <w:p>
      <w:pPr>
        <w:rPr>
          <w:sz w:val="4"/>
          <w:szCs w:val="4"/>
        </w:rPr>
      </w:pPr>
    </w:p>
    <w:p>
      <w:pPr>
        <w:ind w:left="359" w:hanging="360"/>
        <w:jc w:val="both"/>
        <w:rPr>
          <w:b/>
          <w:bCs/>
        </w:rPr>
      </w:pPr>
      <w:r>
        <w:t>3)</w:t>
      </w:r>
      <w:r>
        <w:tab/>
      </w:r>
      <w:r>
        <w:rPr>
          <w:b/>
          <w:bCs/>
        </w:rPr>
        <w:t>Un descriptif complet du projet.</w:t>
      </w:r>
    </w:p>
    <w:p>
      <w:pPr>
        <w:ind w:left="359" w:hanging="360"/>
        <w:jc w:val="both"/>
        <w:rPr>
          <w:sz w:val="4"/>
          <w:szCs w:val="4"/>
        </w:rPr>
      </w:pPr>
    </w:p>
    <w:p>
      <w:pPr>
        <w:ind w:left="359"/>
        <w:jc w:val="both"/>
      </w:pPr>
      <w:r>
        <w:t>Ce descriptif aborde notamment:</w:t>
      </w:r>
    </w:p>
    <w:p>
      <w:pPr>
        <w:ind w:left="359"/>
        <w:jc w:val="both"/>
        <w:rPr>
          <w:sz w:val="4"/>
          <w:szCs w:val="4"/>
        </w:rPr>
      </w:pPr>
    </w:p>
    <w:p>
      <w:pPr>
        <w:ind w:left="899" w:hanging="360"/>
        <w:jc w:val="both"/>
      </w:pPr>
      <w:r>
        <w:t>a)</w:t>
      </w:r>
      <w:r>
        <w:tab/>
        <w:t>Pour chaque année d’études, les disciplines à propos desquelles sera organisé l’apprentissage par immersion ainsi que, pour chaque discipline visée, le nombre de périodes hebdomadaires organisées en immersion;</w:t>
      </w:r>
    </w:p>
    <w:p>
      <w:pPr>
        <w:ind w:left="895" w:hanging="357"/>
        <w:jc w:val="both"/>
      </w:pPr>
      <w:r>
        <w:t>b)</w:t>
      </w:r>
      <w:r>
        <w:tab/>
        <w:t xml:space="preserve">La composition et les modalités de fonctionnement d’un </w:t>
      </w:r>
      <w:r>
        <w:rPr>
          <w:u w:val="single"/>
        </w:rPr>
        <w:t>comité d’accompagnement local</w:t>
      </w:r>
      <w:r>
        <w:t xml:space="preserve"> chargé d’accompagner l’équipe pédagogique dans la mise en place du projet;</w:t>
      </w:r>
    </w:p>
    <w:p>
      <w:pPr>
        <w:ind w:left="359"/>
        <w:jc w:val="both"/>
        <w:rPr>
          <w:sz w:val="12"/>
          <w:szCs w:val="12"/>
        </w:rPr>
      </w:pPr>
    </w:p>
    <w:p>
      <w:pPr>
        <w:ind w:left="359"/>
        <w:jc w:val="both"/>
        <w:rPr>
          <w:sz w:val="12"/>
          <w:szCs w:val="12"/>
        </w:rPr>
      </w:pPr>
    </w:p>
    <w:p>
      <w:pPr>
        <w:ind w:left="359"/>
        <w:jc w:val="both"/>
        <w:rPr>
          <w:szCs w:val="22"/>
        </w:rPr>
      </w:pPr>
      <w:r>
        <w:rPr>
          <w:szCs w:val="22"/>
        </w:rPr>
        <w:t>Il aborde également les mesures prises afin de:</w:t>
      </w:r>
    </w:p>
    <w:p>
      <w:pPr>
        <w:ind w:left="359"/>
        <w:jc w:val="both"/>
        <w:rPr>
          <w:szCs w:val="22"/>
        </w:rPr>
      </w:pPr>
    </w:p>
    <w:p>
      <w:pPr>
        <w:ind w:left="899" w:hanging="360"/>
        <w:jc w:val="both"/>
        <w:rPr>
          <w:szCs w:val="22"/>
        </w:rPr>
      </w:pPr>
      <w:r>
        <w:rPr>
          <w:szCs w:val="22"/>
        </w:rPr>
        <w:t>a)</w:t>
      </w:r>
      <w:r>
        <w:rPr>
          <w:szCs w:val="22"/>
        </w:rPr>
        <w:tab/>
        <w:t>Mettre à disposition des élèves et des enseignants des outils pédagogiques propres à l’apprentissage par immersion;</w:t>
      </w:r>
    </w:p>
    <w:p>
      <w:pPr>
        <w:ind w:left="895" w:hanging="357"/>
        <w:jc w:val="both"/>
        <w:rPr>
          <w:szCs w:val="22"/>
        </w:rPr>
      </w:pPr>
      <w:r>
        <w:rPr>
          <w:szCs w:val="22"/>
        </w:rPr>
        <w:t>b)</w:t>
      </w:r>
      <w:r>
        <w:rPr>
          <w:szCs w:val="22"/>
        </w:rPr>
        <w:tab/>
        <w:t>Assurer la continuité du projet;</w:t>
      </w:r>
    </w:p>
    <w:p>
      <w:pPr>
        <w:ind w:left="895" w:hanging="357"/>
        <w:jc w:val="both"/>
        <w:rPr>
          <w:szCs w:val="22"/>
        </w:rPr>
      </w:pPr>
      <w:r>
        <w:rPr>
          <w:szCs w:val="22"/>
        </w:rPr>
        <w:t>c)</w:t>
      </w:r>
      <w:r>
        <w:rPr>
          <w:szCs w:val="22"/>
        </w:rPr>
        <w:tab/>
        <w:t>Aider les élèves en difficulté et notamment ceux qui, s’il échoit, quitteraient l’apprentissage par immersion.</w:t>
      </w:r>
    </w:p>
    <w:p>
      <w:pPr>
        <w:ind w:left="359"/>
        <w:jc w:val="both"/>
        <w:rPr>
          <w:szCs w:val="22"/>
        </w:rPr>
      </w:pPr>
    </w:p>
    <w:p>
      <w:pPr>
        <w:ind w:left="359"/>
        <w:jc w:val="both"/>
        <w:rPr>
          <w:szCs w:val="22"/>
        </w:rPr>
      </w:pPr>
      <w:r>
        <w:rPr>
          <w:szCs w:val="22"/>
        </w:rPr>
        <w:t>Il décrit également les mesures prises afin d’informer les parents sur:</w:t>
      </w:r>
    </w:p>
    <w:p>
      <w:pPr>
        <w:ind w:left="359"/>
        <w:jc w:val="both"/>
        <w:rPr>
          <w:szCs w:val="22"/>
        </w:rPr>
      </w:pPr>
    </w:p>
    <w:p>
      <w:pPr>
        <w:ind w:left="899" w:hanging="360"/>
        <w:jc w:val="both"/>
        <w:rPr>
          <w:szCs w:val="22"/>
        </w:rPr>
      </w:pPr>
      <w:r>
        <w:rPr>
          <w:szCs w:val="22"/>
        </w:rPr>
        <w:t>a)</w:t>
      </w:r>
      <w:r>
        <w:rPr>
          <w:szCs w:val="22"/>
        </w:rPr>
        <w:tab/>
        <w:t>Les caractéristiques de l’apprentissage par immersion;</w:t>
      </w:r>
    </w:p>
    <w:p>
      <w:pPr>
        <w:ind w:left="895" w:hanging="357"/>
        <w:jc w:val="both"/>
        <w:rPr>
          <w:spacing w:val="-6"/>
          <w:szCs w:val="22"/>
        </w:rPr>
      </w:pPr>
      <w:r>
        <w:rPr>
          <w:szCs w:val="22"/>
        </w:rPr>
        <w:t>b)</w:t>
      </w:r>
      <w:r>
        <w:rPr>
          <w:szCs w:val="22"/>
        </w:rPr>
        <w:tab/>
      </w:r>
      <w:r>
        <w:rPr>
          <w:spacing w:val="-6"/>
          <w:szCs w:val="22"/>
        </w:rPr>
        <w:t>Les possibilités de poursuivre au sein de la même zone ou à une distance raisonnable dans une zone voisine l’apprentissage par immersion au niveau du 1</w:t>
      </w:r>
      <w:r>
        <w:rPr>
          <w:spacing w:val="-6"/>
          <w:szCs w:val="22"/>
          <w:vertAlign w:val="superscript"/>
        </w:rPr>
        <w:t>er</w:t>
      </w:r>
      <w:r>
        <w:rPr>
          <w:spacing w:val="-6"/>
          <w:szCs w:val="22"/>
        </w:rPr>
        <w:t xml:space="preserve"> degré de l'enseignement secondaire;</w:t>
      </w:r>
    </w:p>
    <w:p>
      <w:pPr>
        <w:ind w:left="895" w:hanging="357"/>
        <w:jc w:val="both"/>
        <w:rPr>
          <w:szCs w:val="22"/>
        </w:rPr>
      </w:pPr>
      <w:r>
        <w:rPr>
          <w:szCs w:val="22"/>
        </w:rPr>
        <w:t>c)</w:t>
      </w:r>
      <w:r>
        <w:rPr>
          <w:szCs w:val="22"/>
        </w:rPr>
        <w:tab/>
        <w:t xml:space="preserve">Les éventuels accords de collaboration évoqués à la </w:t>
      </w:r>
      <w:hyperlink w:anchor="_4.4.3.4._organisation_et" w:history="1">
        <w:r>
          <w:rPr>
            <w:rStyle w:val="Lienhypertexte"/>
            <w:color w:val="auto"/>
            <w:szCs w:val="22"/>
          </w:rPr>
          <w:t>section 4.4.3.4.</w:t>
        </w:r>
      </w:hyperlink>
      <w:r>
        <w:rPr>
          <w:szCs w:val="22"/>
        </w:rPr>
        <w:t>, alinéas 4 et 6;</w:t>
      </w:r>
    </w:p>
    <w:p>
      <w:pPr>
        <w:spacing w:before="120"/>
        <w:jc w:val="both"/>
        <w:rPr>
          <w:spacing w:val="-2"/>
          <w:szCs w:val="22"/>
        </w:rPr>
      </w:pPr>
      <w:r>
        <w:rPr>
          <w:spacing w:val="-2"/>
          <w:szCs w:val="22"/>
        </w:rPr>
        <w:t>L’adaptation du projet d’établissement de l’école et sa présentation pour avis aux organes de concertation doit se faire avant l’introduction de la demande visant à obtenir l’autorisation d’assurer l’organisation de l’apprentissage par immersion.</w:t>
      </w:r>
    </w:p>
    <w:p>
      <w:pPr>
        <w:jc w:val="both"/>
        <w:rPr>
          <w:szCs w:val="22"/>
        </w:rPr>
      </w:pPr>
    </w:p>
    <w:p>
      <w:pPr>
        <w:pStyle w:val="Corpsdetexte"/>
        <w:rPr>
          <w:szCs w:val="22"/>
        </w:rPr>
      </w:pPr>
      <w:r>
        <w:rPr>
          <w:szCs w:val="22"/>
        </w:rPr>
        <w:t xml:space="preserve">En ce qui concerne les </w:t>
      </w:r>
      <w:r>
        <w:rPr>
          <w:szCs w:val="22"/>
          <w:u w:val="single"/>
        </w:rPr>
        <w:t>demandes de renouvellement</w:t>
      </w:r>
      <w:r>
        <w:rPr>
          <w:szCs w:val="22"/>
        </w:rPr>
        <w:t xml:space="preserve"> (enseignement organisé par la Fédération Wallonie-Bruxelles) ou les </w:t>
      </w:r>
      <w:r>
        <w:rPr>
          <w:szCs w:val="22"/>
          <w:u w:val="single"/>
        </w:rPr>
        <w:t>dossiers relatifs à une prolongation</w:t>
      </w:r>
      <w:r>
        <w:rPr>
          <w:szCs w:val="22"/>
        </w:rPr>
        <w:t xml:space="preserve"> (enseignement subventionné) de l'organisation de l'apprentissage par immersion, le descriptif sera accompagné d’un avis du comité d’accompagnement local et d’un bilan des activités passées. Ce bilan aborde notamment le nombre d’enfants suivant avec fruit l’apprentissage par immersion et, s’il échet, le nombre d’enfants ayant quitté le projet. Concernant ces derniers, le bilan envisage le motif pour lequel ils ont quitté le projet et la façon dont ils se sont réinsérés dans l’enseignement donné exclusivement en français. Le bilan envisage également les difficultés rencontrées ainsi que les mesures prises ou projetées pour les pallier. </w:t>
      </w:r>
    </w:p>
    <w:p>
      <w:pPr>
        <w:pStyle w:val="Corpsdetexte"/>
        <w:rPr>
          <w:rFonts w:cs="Times New Roman"/>
          <w:spacing w:val="-2"/>
          <w:szCs w:val="22"/>
        </w:rPr>
      </w:pPr>
      <w:r>
        <w:rPr>
          <w:szCs w:val="22"/>
        </w:rPr>
        <w:t>Seules les écoles organisées par la Fédération Wallonie-Bruxelles ayant bénéficié d'une autorisation et les écoles subventionnées ayant introduit une déclaration et obtenu le subventionnement, peuvent se prévaloir d’organiser de l’apprentissage par immersion.</w:t>
      </w:r>
    </w:p>
    <w:p>
      <w:pPr>
        <w:jc w:val="both"/>
        <w:rPr>
          <w:szCs w:val="22"/>
        </w:rPr>
      </w:pPr>
    </w:p>
    <w:p>
      <w:pPr>
        <w:jc w:val="both"/>
        <w:rPr>
          <w:szCs w:val="22"/>
        </w:rPr>
      </w:pPr>
    </w:p>
    <w:p>
      <w:pPr>
        <w:jc w:val="both"/>
        <w:rPr>
          <w:b/>
          <w:bCs/>
          <w:szCs w:val="22"/>
        </w:rPr>
      </w:pPr>
      <w:r>
        <w:rPr>
          <w:b/>
          <w:bCs/>
          <w:szCs w:val="22"/>
          <w:u w:val="single"/>
        </w:rPr>
        <w:t>Dispositions propres à l'enseignement organisé par la Fédération Wallonie-Bruxelles :</w:t>
      </w:r>
    </w:p>
    <w:p>
      <w:pPr>
        <w:spacing w:line="120" w:lineRule="auto"/>
        <w:jc w:val="both"/>
        <w:rPr>
          <w:szCs w:val="22"/>
        </w:rPr>
      </w:pPr>
    </w:p>
    <w:p>
      <w:pPr>
        <w:ind w:left="179"/>
        <w:jc w:val="both"/>
        <w:rPr>
          <w:szCs w:val="22"/>
        </w:rPr>
      </w:pPr>
    </w:p>
    <w:p>
      <w:pPr>
        <w:ind w:left="179"/>
        <w:jc w:val="both"/>
        <w:rPr>
          <w:szCs w:val="22"/>
        </w:rPr>
      </w:pPr>
      <w:r>
        <w:rPr>
          <w:szCs w:val="22"/>
        </w:rPr>
        <w:t xml:space="preserve">L’autorisation d’assurer ou de poursuivre l’organisation de l’apprentissage par immersion est accordée pour une période maximale de 3 ans renouvelable.  </w:t>
      </w:r>
    </w:p>
    <w:p>
      <w:pPr>
        <w:spacing w:line="120" w:lineRule="auto"/>
        <w:ind w:left="180"/>
        <w:jc w:val="both"/>
        <w:rPr>
          <w:szCs w:val="22"/>
        </w:rPr>
      </w:pPr>
    </w:p>
    <w:p>
      <w:pPr>
        <w:ind w:left="179"/>
        <w:jc w:val="both"/>
        <w:rPr>
          <w:szCs w:val="22"/>
        </w:rPr>
      </w:pPr>
      <w:r>
        <w:rPr>
          <w:szCs w:val="22"/>
        </w:rPr>
        <w:t>Pour la période de 3 ans commençant à partir de l'année scolaire 2018-2019, la demande doit être introduite au moyen de l'</w:t>
      </w:r>
      <w:hyperlink w:anchor="Annexe_44A" w:history="1">
        <w:r>
          <w:rPr>
            <w:rStyle w:val="Lienhypertexte"/>
            <w:bCs/>
            <w:color w:val="auto"/>
            <w:szCs w:val="22"/>
          </w:rPr>
          <w:t>annexe 4.4.A.</w:t>
        </w:r>
      </w:hyperlink>
      <w:r>
        <w:rPr>
          <w:b/>
          <w:bCs/>
          <w:szCs w:val="22"/>
        </w:rPr>
        <w:t>,</w:t>
      </w:r>
      <w:r>
        <w:rPr>
          <w:szCs w:val="22"/>
        </w:rPr>
        <w:t xml:space="preserve"> accompagnée des avis et du descriptif visés ci-dessus, </w:t>
      </w:r>
      <w:r>
        <w:rPr>
          <w:szCs w:val="22"/>
          <w:u w:val="single"/>
        </w:rPr>
        <w:t>pour le 31 mars 2018</w:t>
      </w:r>
      <w:r>
        <w:rPr>
          <w:szCs w:val="22"/>
        </w:rPr>
        <w:t xml:space="preserve"> à l'adresse suivante: </w:t>
      </w:r>
    </w:p>
    <w:p>
      <w:pPr>
        <w:spacing w:line="120" w:lineRule="auto"/>
        <w:ind w:left="180"/>
        <w:jc w:val="both"/>
        <w:rPr>
          <w:szCs w:val="22"/>
        </w:rPr>
      </w:pPr>
    </w:p>
    <w:p>
      <w:pPr>
        <w:pBdr>
          <w:top w:val="single" w:sz="4" w:space="1" w:color="auto"/>
          <w:left w:val="single" w:sz="4" w:space="4" w:color="auto"/>
          <w:bottom w:val="single" w:sz="4" w:space="1" w:color="auto"/>
          <w:right w:val="single" w:sz="4" w:space="4" w:color="auto"/>
        </w:pBdr>
        <w:jc w:val="center"/>
        <w:rPr>
          <w:szCs w:val="22"/>
        </w:rPr>
      </w:pPr>
      <w:r>
        <w:rPr>
          <w:szCs w:val="22"/>
        </w:rPr>
        <w:t>Service général de l’Enseignement organisé par la Communauté français</w:t>
      </w:r>
    </w:p>
    <w:p>
      <w:pPr>
        <w:pBdr>
          <w:top w:val="single" w:sz="4" w:space="1" w:color="auto"/>
          <w:left w:val="single" w:sz="4" w:space="4" w:color="auto"/>
          <w:bottom w:val="single" w:sz="4" w:space="1" w:color="auto"/>
          <w:right w:val="single" w:sz="4" w:space="4" w:color="auto"/>
        </w:pBdr>
        <w:jc w:val="center"/>
        <w:rPr>
          <w:szCs w:val="22"/>
        </w:rPr>
      </w:pPr>
      <w:r>
        <w:rPr>
          <w:szCs w:val="22"/>
        </w:rPr>
        <w:t>Monsieur Didier LETURCQ, Directeur général adjoint</w:t>
      </w:r>
    </w:p>
    <w:p>
      <w:pPr>
        <w:pBdr>
          <w:top w:val="single" w:sz="4" w:space="1" w:color="auto"/>
          <w:left w:val="single" w:sz="4" w:space="4" w:color="auto"/>
          <w:bottom w:val="single" w:sz="4" w:space="1" w:color="auto"/>
          <w:right w:val="single" w:sz="4" w:space="4" w:color="auto"/>
        </w:pBdr>
        <w:jc w:val="center"/>
        <w:rPr>
          <w:szCs w:val="22"/>
        </w:rPr>
      </w:pPr>
      <w:r>
        <w:rPr>
          <w:szCs w:val="22"/>
        </w:rPr>
        <w:t>Boulevard du Jardin Botanique, 20-22</w:t>
      </w:r>
    </w:p>
    <w:p>
      <w:pPr>
        <w:pBdr>
          <w:top w:val="single" w:sz="4" w:space="1" w:color="auto"/>
          <w:left w:val="single" w:sz="4" w:space="4" w:color="auto"/>
          <w:bottom w:val="single" w:sz="4" w:space="1" w:color="auto"/>
          <w:right w:val="single" w:sz="4" w:space="4" w:color="auto"/>
        </w:pBdr>
        <w:jc w:val="center"/>
        <w:rPr>
          <w:szCs w:val="22"/>
        </w:rPr>
      </w:pPr>
      <w:r>
        <w:rPr>
          <w:szCs w:val="22"/>
        </w:rPr>
        <w:t>1000  BRUXELLES.</w:t>
      </w:r>
    </w:p>
    <w:p>
      <w:pPr>
        <w:spacing w:line="120" w:lineRule="auto"/>
        <w:ind w:left="180"/>
        <w:jc w:val="both"/>
        <w:rPr>
          <w:szCs w:val="22"/>
        </w:rPr>
      </w:pPr>
    </w:p>
    <w:p>
      <w:pPr>
        <w:ind w:left="179"/>
        <w:jc w:val="both"/>
        <w:rPr>
          <w:szCs w:val="22"/>
        </w:rPr>
      </w:pPr>
      <w:r>
        <w:rPr>
          <w:szCs w:val="22"/>
        </w:rPr>
        <w:t>Le Ministre peut, sur la base d’un rapport rédigé par l'inspection, suspendre, à dater de l’année scolaire suivante, toute autorisation d’assurer ou de poursuivre l’organisation de l’apprentissage par immersion.</w:t>
      </w:r>
    </w:p>
    <w:p>
      <w:pPr>
        <w:spacing w:line="120" w:lineRule="auto"/>
        <w:ind w:left="180"/>
        <w:jc w:val="both"/>
        <w:rPr>
          <w:szCs w:val="22"/>
        </w:rPr>
      </w:pPr>
    </w:p>
    <w:p>
      <w:pPr>
        <w:ind w:left="179"/>
        <w:jc w:val="both"/>
        <w:rPr>
          <w:szCs w:val="22"/>
        </w:rPr>
      </w:pPr>
      <w:r>
        <w:rPr>
          <w:szCs w:val="22"/>
        </w:rPr>
        <w:t>Les écoles ayant bénéficié d’une autorisation d’assurer ou de poursuivre l’organisation de l’apprentissage par immersion qui n’utilisent pas ou n’utilisent plus cette autorisation en informent la Direction générale de l'Enseignement obligatoire en veillant à préciser les motifs pour lesquels ils n’utilisent pas ou n’utilisent plus cette autorisation. Ces écoles devront introduire une nouvelle demande, si elles souhaitent par la suite organiser l’immersion.</w:t>
      </w:r>
    </w:p>
    <w:p>
      <w:pPr>
        <w:ind w:left="179"/>
        <w:jc w:val="both"/>
        <w:rPr>
          <w:szCs w:val="22"/>
        </w:rPr>
      </w:pPr>
    </w:p>
    <w:p>
      <w:pPr>
        <w:ind w:left="179"/>
        <w:jc w:val="both"/>
        <w:rPr>
          <w:szCs w:val="22"/>
        </w:rPr>
      </w:pPr>
    </w:p>
    <w:p>
      <w:pPr>
        <w:ind w:left="179"/>
        <w:jc w:val="both"/>
        <w:rPr>
          <w:szCs w:val="22"/>
        </w:rPr>
      </w:pPr>
    </w:p>
    <w:p>
      <w:pPr>
        <w:ind w:left="179"/>
        <w:jc w:val="both"/>
        <w:rPr>
          <w:szCs w:val="22"/>
        </w:rPr>
      </w:pPr>
    </w:p>
    <w:p>
      <w:pPr>
        <w:jc w:val="both"/>
        <w:rPr>
          <w:b/>
          <w:bCs/>
        </w:rPr>
      </w:pPr>
      <w:r>
        <w:rPr>
          <w:b/>
          <w:bCs/>
          <w:u w:val="single"/>
        </w:rPr>
        <w:t>Dispositions propres à l'enseignement subventionné :</w:t>
      </w:r>
    </w:p>
    <w:p>
      <w:pPr>
        <w:pStyle w:val="Corpsdetexte"/>
        <w:spacing w:line="120" w:lineRule="auto"/>
        <w:rPr>
          <w:rFonts w:cs="Times New Roman"/>
          <w:spacing w:val="0"/>
          <w:sz w:val="16"/>
          <w:szCs w:val="16"/>
        </w:rPr>
      </w:pPr>
    </w:p>
    <w:p>
      <w:pPr>
        <w:pStyle w:val="Corpsdetexte"/>
        <w:ind w:left="180"/>
        <w:rPr>
          <w:rFonts w:cs="Times New Roman"/>
          <w:spacing w:val="0"/>
        </w:rPr>
      </w:pPr>
      <w:r>
        <w:rPr>
          <w:rFonts w:cs="Times New Roman"/>
          <w:spacing w:val="0"/>
        </w:rPr>
        <w:t xml:space="preserve">Le dossier doit être introduit tous les 3 ans.  </w:t>
      </w:r>
    </w:p>
    <w:p>
      <w:pPr>
        <w:ind w:left="179"/>
        <w:jc w:val="both"/>
      </w:pPr>
      <w:r>
        <w:t>Pour la période de 3 ans commençant à partir de l'année scolaire 2018-2019, la déclaration d'organisation d'un apprentissage par immersion doit être introduite au moyen de l'</w:t>
      </w:r>
      <w:hyperlink w:anchor="Annexe_44B" w:history="1">
        <w:hyperlink w:anchor="Annexe_44B" w:history="1">
          <w:r>
            <w:rPr>
              <w:rStyle w:val="Lienhypertexte"/>
              <w:bCs/>
              <w:color w:val="auto"/>
            </w:rPr>
            <w:t>annexe 4.4.B.</w:t>
          </w:r>
        </w:hyperlink>
      </w:hyperlink>
      <w:r>
        <w:rPr>
          <w:b/>
          <w:bCs/>
        </w:rPr>
        <w:t xml:space="preserve"> </w:t>
      </w:r>
      <w:r>
        <w:rPr>
          <w:u w:val="single"/>
        </w:rPr>
        <w:t>pour le 31 mars 2018</w:t>
      </w:r>
      <w:r>
        <w:t>, à l'adresse suivante :</w:t>
      </w:r>
    </w:p>
    <w:p>
      <w:pPr>
        <w:pBdr>
          <w:top w:val="single" w:sz="4" w:space="1" w:color="auto"/>
          <w:left w:val="single" w:sz="4" w:space="4" w:color="auto"/>
          <w:bottom w:val="single" w:sz="4" w:space="1" w:color="auto"/>
          <w:right w:val="single" w:sz="4" w:space="4" w:color="auto"/>
        </w:pBdr>
        <w:spacing w:before="120"/>
        <w:ind w:left="179"/>
        <w:jc w:val="center"/>
      </w:pPr>
      <w:r>
        <w:t>Direction générale de l'Enseignement obligatoire</w:t>
      </w:r>
    </w:p>
    <w:p>
      <w:pPr>
        <w:pBdr>
          <w:top w:val="single" w:sz="4" w:space="1" w:color="auto"/>
          <w:left w:val="single" w:sz="4" w:space="4" w:color="auto"/>
          <w:bottom w:val="single" w:sz="4" w:space="1" w:color="auto"/>
          <w:right w:val="single" w:sz="4" w:space="4" w:color="auto"/>
        </w:pBdr>
        <w:ind w:left="179"/>
        <w:jc w:val="center"/>
      </w:pPr>
      <w:r>
        <w:t xml:space="preserve">Direction de l'Organisation des Etablissements </w:t>
      </w:r>
    </w:p>
    <w:p>
      <w:pPr>
        <w:pBdr>
          <w:top w:val="single" w:sz="4" w:space="1" w:color="auto"/>
          <w:left w:val="single" w:sz="4" w:space="4" w:color="auto"/>
          <w:bottom w:val="single" w:sz="4" w:space="1" w:color="auto"/>
          <w:right w:val="single" w:sz="4" w:space="4" w:color="auto"/>
        </w:pBdr>
        <w:ind w:left="179"/>
        <w:jc w:val="center"/>
      </w:pPr>
      <w:r>
        <w:t xml:space="preserve">d’Enseignement fondamental ordinaire </w:t>
      </w:r>
    </w:p>
    <w:p>
      <w:pPr>
        <w:pBdr>
          <w:top w:val="single" w:sz="4" w:space="1" w:color="auto"/>
          <w:left w:val="single" w:sz="4" w:space="4" w:color="auto"/>
          <w:bottom w:val="single" w:sz="4" w:space="1" w:color="auto"/>
          <w:right w:val="single" w:sz="4" w:space="4" w:color="auto"/>
        </w:pBdr>
        <w:ind w:left="179"/>
        <w:jc w:val="center"/>
      </w:pPr>
      <w:r>
        <w:t>Rue Adolphe Lavallée, 1 – 2F211</w:t>
      </w:r>
    </w:p>
    <w:p>
      <w:pPr>
        <w:pBdr>
          <w:top w:val="single" w:sz="4" w:space="1" w:color="auto"/>
          <w:left w:val="single" w:sz="4" w:space="4" w:color="auto"/>
          <w:bottom w:val="single" w:sz="4" w:space="1" w:color="auto"/>
          <w:right w:val="single" w:sz="4" w:space="4" w:color="auto"/>
        </w:pBdr>
        <w:ind w:left="179"/>
        <w:jc w:val="center"/>
      </w:pPr>
      <w:r>
        <w:t>1080  Bruxelles</w:t>
      </w:r>
    </w:p>
    <w:p>
      <w:pPr>
        <w:spacing w:line="120" w:lineRule="auto"/>
        <w:ind w:left="356"/>
        <w:rPr>
          <w:szCs w:val="22"/>
        </w:rPr>
      </w:pPr>
    </w:p>
    <w:p>
      <w:pPr>
        <w:ind w:left="179"/>
        <w:jc w:val="both"/>
      </w:pPr>
      <w:r>
        <w:t xml:space="preserve">Le dossier de subventionnement complet, comprenant le descriptif du projet et accompagné des avis visés ci-dessus, devra être envoyé à la même adresse, en même temps que les documents relatifs à l'encadrement pour l'année scolaire 2018-2019, </w:t>
      </w:r>
      <w:r>
        <w:rPr>
          <w:u w:val="single"/>
        </w:rPr>
        <w:t>pour le 15 octobre 2018</w:t>
      </w:r>
      <w:r>
        <w:t xml:space="preserve">. </w:t>
      </w:r>
    </w:p>
    <w:p>
      <w:pPr>
        <w:pStyle w:val="Corpsdetexte"/>
        <w:ind w:left="179"/>
        <w:rPr>
          <w:rFonts w:cs="Times New Roman"/>
          <w:spacing w:val="-2"/>
        </w:rPr>
      </w:pPr>
    </w:p>
    <w:p>
      <w:pPr>
        <w:pStyle w:val="Corpsdetexte"/>
        <w:ind w:left="179"/>
        <w:rPr>
          <w:rFonts w:cs="Times New Roman"/>
          <w:spacing w:val="-2"/>
        </w:rPr>
      </w:pPr>
      <w:r>
        <w:rPr>
          <w:rFonts w:cs="Times New Roman"/>
          <w:spacing w:val="-2"/>
        </w:rPr>
        <w:t>Le Ministre</w:t>
      </w:r>
      <w:r>
        <w:rPr>
          <w:rFonts w:cs="Times New Roman"/>
          <w:i/>
          <w:spacing w:val="-2"/>
        </w:rPr>
        <w:t xml:space="preserve"> </w:t>
      </w:r>
      <w:r>
        <w:rPr>
          <w:rFonts w:cs="Times New Roman"/>
          <w:spacing w:val="-2"/>
        </w:rPr>
        <w:t>peut, sur la base d’un rapport rédigé par l'inspection, adresser une mise en demeure au P.O., par laquelle il l’invite dans un délai de 60 jours calendrier à dater de cette mise en demeure, à prendre les mesures nécessaires pour assurer ou poursuivre l’organisation de l’apprentissage par immersion conformément aux dispositions du présent décret. Si à l’échéance de ce délai, le P.O. n’a pas apporté la preuve qu’il a pris les mesures nécessaires pour assurer ou poursuivre l’organisation de cet apprentissage conformément aux dispositions décrétales, le Ministre suspend, sur la base d’un rapport rédigé par l'inspection, à dater de l’année scolaire suivante, tout subventionnement lié à l’organisation de l’apprentissage par immersion.</w:t>
      </w:r>
    </w:p>
    <w:p>
      <w:pPr>
        <w:ind w:left="179"/>
        <w:jc w:val="both"/>
      </w:pPr>
    </w:p>
    <w:p>
      <w:pPr>
        <w:ind w:left="179"/>
        <w:jc w:val="both"/>
      </w:pPr>
      <w:r>
        <w:t xml:space="preserve">Les P.O. ayant déclaré assurer ou poursuivre l’organisation de l’apprentissage par immersion qui décident de ne plus organiser cet apprentissage en informent </w:t>
      </w:r>
      <w:smartTag w:uri="urn:schemas-microsoft-com:office:smarttags" w:element="PersonName">
        <w:smartTagPr>
          <w:attr w:name="ProductID" w:val="la Direction"/>
        </w:smartTagPr>
        <w:r>
          <w:t>la Direction</w:t>
        </w:r>
      </w:smartTag>
      <w:r>
        <w:t xml:space="preserve"> générale de l'Enseignement obligatoire en veillant à préciser les motifs pour lesquels ils n’organisent pas ou n’organisent plus cet apprentissage.</w:t>
      </w:r>
    </w:p>
    <w:p>
      <w:pPr>
        <w:jc w:val="both"/>
      </w:pPr>
    </w:p>
    <w:p>
      <w:pPr>
        <w:pStyle w:val="Titre3"/>
      </w:pPr>
      <w:bookmarkStart w:id="1383" w:name="_4.4.4._Apprentissage_par"/>
      <w:bookmarkStart w:id="1384" w:name="_Toc295932071"/>
      <w:bookmarkStart w:id="1385" w:name="_Toc295913795"/>
      <w:bookmarkStart w:id="1386" w:name="_Toc423420105"/>
      <w:bookmarkStart w:id="1387" w:name="_Toc450645312"/>
      <w:bookmarkStart w:id="1388" w:name="_Toc453942551"/>
      <w:bookmarkStart w:id="1389" w:name="_Toc454888168"/>
      <w:bookmarkStart w:id="1390" w:name="_Toc486241828"/>
      <w:bookmarkEnd w:id="1383"/>
      <w:r>
        <w:t>4.4.4.</w:t>
      </w:r>
      <w:r>
        <w:tab/>
        <w:t>Apprentissage en classe bilingue français – langue des signes</w:t>
      </w:r>
      <w:bookmarkEnd w:id="1384"/>
      <w:bookmarkEnd w:id="1385"/>
      <w:bookmarkEnd w:id="1386"/>
      <w:bookmarkEnd w:id="1387"/>
      <w:bookmarkEnd w:id="1388"/>
      <w:bookmarkEnd w:id="1389"/>
      <w:bookmarkEnd w:id="1390"/>
    </w:p>
    <w:p>
      <w:pPr>
        <w:ind w:left="1799" w:hanging="1800"/>
        <w:rPr>
          <w:szCs w:val="22"/>
        </w:rPr>
      </w:pPr>
    </w:p>
    <w:p>
      <w:pPr>
        <w:ind w:left="1796" w:hanging="1797"/>
        <w:rPr>
          <w:i/>
        </w:rPr>
      </w:pPr>
      <w:r>
        <w:rPr>
          <w:b/>
          <w:i/>
          <w:u w:val="single"/>
        </w:rPr>
        <w:t>Base légale</w:t>
      </w:r>
      <w:r>
        <w:rPr>
          <w:b/>
          <w:i/>
        </w:rPr>
        <w:t>:</w:t>
      </w:r>
      <w:r>
        <w:rPr>
          <w:b/>
          <w:i/>
        </w:rPr>
        <w:tab/>
      </w:r>
      <w:hyperlink r:id="rId125" w:history="1">
        <w:r>
          <w:rPr>
            <w:rStyle w:val="Lienhypertexte"/>
            <w:i/>
            <w:color w:val="auto"/>
          </w:rPr>
          <w:t>Décret du 13/07/1998 portant organisation de l’enseignement maternel et primaire ordinaire</w:t>
        </w:r>
      </w:hyperlink>
      <w:r>
        <w:rPr>
          <w:i/>
        </w:rPr>
        <w:t>, tel que</w:t>
      </w:r>
      <w:hyperlink r:id="rId126" w:history="1">
        <w:r>
          <w:rPr>
            <w:rStyle w:val="Lienhypertexte"/>
            <w:i/>
            <w:color w:val="auto"/>
          </w:rPr>
          <w:t xml:space="preserve"> modifié par le Décret du 23/01/2009</w:t>
        </w:r>
      </w:hyperlink>
    </w:p>
    <w:p>
      <w:pPr>
        <w:ind w:left="1799" w:hanging="1800"/>
        <w:rPr>
          <w:szCs w:val="22"/>
        </w:rPr>
      </w:pPr>
    </w:p>
    <w:p>
      <w:pPr>
        <w:pStyle w:val="Titre4"/>
      </w:pPr>
      <w:bookmarkStart w:id="1391" w:name="_Toc295932072"/>
      <w:bookmarkStart w:id="1392" w:name="_Toc423420106"/>
      <w:bookmarkStart w:id="1393" w:name="_Toc450645313"/>
      <w:bookmarkStart w:id="1394" w:name="_Toc453942552"/>
      <w:bookmarkStart w:id="1395" w:name="_Toc454888169"/>
      <w:bookmarkStart w:id="1396" w:name="_Toc486241829"/>
      <w:r>
        <w:t>4.4.4.1.</w:t>
      </w:r>
      <w:r>
        <w:tab/>
        <w:t>Définitions et principes généraux</w:t>
      </w:r>
      <w:bookmarkEnd w:id="1391"/>
      <w:bookmarkEnd w:id="1392"/>
      <w:bookmarkEnd w:id="1393"/>
      <w:bookmarkEnd w:id="1394"/>
      <w:bookmarkEnd w:id="1395"/>
      <w:bookmarkEnd w:id="1396"/>
    </w:p>
    <w:p>
      <w:pPr>
        <w:jc w:val="both"/>
        <w:rPr>
          <w:sz w:val="16"/>
          <w:szCs w:val="16"/>
        </w:rPr>
      </w:pPr>
    </w:p>
    <w:p>
      <w:pPr>
        <w:numPr>
          <w:ilvl w:val="0"/>
          <w:numId w:val="102"/>
        </w:numPr>
        <w:tabs>
          <w:tab w:val="clear" w:pos="1077"/>
        </w:tabs>
        <w:ind w:left="539"/>
        <w:jc w:val="both"/>
      </w:pPr>
      <w:r>
        <w:rPr>
          <w:b/>
          <w:bCs/>
        </w:rPr>
        <w:t>Classe bilingue français-langue des signes:</w:t>
      </w:r>
      <w:r>
        <w:t xml:space="preserve"> une classe au sein de laquelle une partie des élèves bénéficie d’un enseignement en langue française pendant que simultanément des élèves sourds bénéficient d’un apprentissage en immersion en langue des signes et en français écrit.</w:t>
      </w:r>
    </w:p>
    <w:p>
      <w:pPr>
        <w:ind w:left="179"/>
        <w:jc w:val="both"/>
        <w:rPr>
          <w:sz w:val="4"/>
          <w:szCs w:val="4"/>
        </w:rPr>
      </w:pPr>
    </w:p>
    <w:p>
      <w:pPr>
        <w:numPr>
          <w:ilvl w:val="0"/>
          <w:numId w:val="102"/>
        </w:numPr>
        <w:tabs>
          <w:tab w:val="clear" w:pos="1077"/>
        </w:tabs>
        <w:ind w:left="539"/>
        <w:jc w:val="both"/>
      </w:pPr>
      <w:r>
        <w:rPr>
          <w:b/>
          <w:bCs/>
        </w:rPr>
        <w:t xml:space="preserve">Grille-horaire: </w:t>
      </w:r>
      <w:r>
        <w:rPr>
          <w:bCs/>
        </w:rPr>
        <w:t xml:space="preserve">A l’exception des cours philosophiques, l’ensemble des cours et activités pédagogiques de la grille-horaire est organisé dans le cadre de classes bilingues français-langue des signes. </w:t>
      </w:r>
    </w:p>
    <w:p>
      <w:pPr>
        <w:jc w:val="both"/>
        <w:rPr>
          <w:sz w:val="4"/>
          <w:szCs w:val="4"/>
        </w:rPr>
      </w:pPr>
    </w:p>
    <w:p>
      <w:pPr>
        <w:numPr>
          <w:ilvl w:val="0"/>
          <w:numId w:val="102"/>
        </w:numPr>
        <w:tabs>
          <w:tab w:val="clear" w:pos="1077"/>
        </w:tabs>
        <w:ind w:left="539"/>
        <w:jc w:val="both"/>
      </w:pPr>
      <w:r>
        <w:rPr>
          <w:b/>
          <w:bCs/>
        </w:rPr>
        <w:t>Encadrement des classes bilingues:</w:t>
      </w:r>
      <w:r>
        <w:t xml:space="preserve"> Les élèves faisant partie de ces classes sont encadrés simultanément par un instituteur maternel ou primaire (selon le niveau) et un instituteur maternel ou primaire (selon le niveau) chargé des cours en langue des signes.</w:t>
      </w:r>
    </w:p>
    <w:p>
      <w:pPr>
        <w:jc w:val="both"/>
        <w:rPr>
          <w:sz w:val="4"/>
          <w:szCs w:val="4"/>
        </w:rPr>
      </w:pPr>
    </w:p>
    <w:p>
      <w:pPr>
        <w:numPr>
          <w:ilvl w:val="0"/>
          <w:numId w:val="102"/>
        </w:numPr>
        <w:tabs>
          <w:tab w:val="clear" w:pos="1077"/>
        </w:tabs>
        <w:ind w:left="539"/>
        <w:jc w:val="both"/>
      </w:pPr>
      <w:r>
        <w:rPr>
          <w:b/>
        </w:rPr>
        <w:t>Enseignants en langue des signes</w:t>
      </w:r>
      <w:r>
        <w:t xml:space="preserve">: </w:t>
      </w:r>
    </w:p>
    <w:p>
      <w:pPr>
        <w:numPr>
          <w:ilvl w:val="1"/>
          <w:numId w:val="102"/>
        </w:numPr>
        <w:ind w:left="1439"/>
        <w:jc w:val="both"/>
      </w:pPr>
      <w:r>
        <w:t>les enseignants chargés du cours en langue des signes en classe bilingue français-langue des signes sont porteurs des titres suivants:</w:t>
      </w:r>
    </w:p>
    <w:p>
      <w:pPr>
        <w:numPr>
          <w:ilvl w:val="2"/>
          <w:numId w:val="102"/>
        </w:numPr>
        <w:ind w:left="2159"/>
        <w:jc w:val="both"/>
      </w:pPr>
      <w:r>
        <w:t>instituteur maternel ou primaire</w:t>
      </w:r>
    </w:p>
    <w:p>
      <w:pPr>
        <w:numPr>
          <w:ilvl w:val="2"/>
          <w:numId w:val="102"/>
        </w:numPr>
        <w:ind w:left="2159"/>
        <w:jc w:val="both"/>
      </w:pPr>
      <w:r>
        <w:t>être porteur du certificat de niveau approfondi en langue des signes de l’Unité de formation 12 de promotion sociale</w:t>
      </w:r>
    </w:p>
    <w:p>
      <w:pPr>
        <w:numPr>
          <w:ilvl w:val="1"/>
          <w:numId w:val="102"/>
        </w:numPr>
        <w:ind w:left="1439"/>
        <w:jc w:val="both"/>
      </w:pPr>
      <w:r>
        <w:t>Au moins un tiers des enseignants en langue des signes sont sourds et parmi ceux-ci au moins un est affecté aux classes maternelles.</w:t>
      </w:r>
    </w:p>
    <w:p>
      <w:pPr>
        <w:jc w:val="both"/>
        <w:rPr>
          <w:sz w:val="4"/>
          <w:szCs w:val="4"/>
        </w:rPr>
      </w:pPr>
    </w:p>
    <w:p>
      <w:pPr>
        <w:numPr>
          <w:ilvl w:val="0"/>
          <w:numId w:val="102"/>
        </w:numPr>
        <w:tabs>
          <w:tab w:val="clear" w:pos="1077"/>
        </w:tabs>
        <w:ind w:left="539"/>
        <w:jc w:val="both"/>
      </w:pPr>
      <w:r>
        <w:rPr>
          <w:b/>
          <w:bCs/>
        </w:rPr>
        <w:t>Horaire hebdomadaire:</w:t>
      </w:r>
      <w:r>
        <w:t xml:space="preserve"> pour les élèves sourds, l’horaire hebdomadaire comprend 2 périodes supplémentaires réservées au cours de la langue des signes et à l’analyse contrastive de la grammaire et de la syntaxe des deux langues (français-langue des signes). </w:t>
      </w:r>
    </w:p>
    <w:p>
      <w:pPr>
        <w:jc w:val="both"/>
        <w:rPr>
          <w:sz w:val="4"/>
          <w:szCs w:val="4"/>
        </w:rPr>
      </w:pPr>
    </w:p>
    <w:p>
      <w:pPr>
        <w:numPr>
          <w:ilvl w:val="0"/>
          <w:numId w:val="102"/>
        </w:numPr>
        <w:tabs>
          <w:tab w:val="clear" w:pos="1077"/>
        </w:tabs>
        <w:ind w:left="539"/>
        <w:jc w:val="both"/>
      </w:pPr>
      <w:r>
        <w:rPr>
          <w:b/>
        </w:rPr>
        <w:t>Projet d’établissement</w:t>
      </w:r>
      <w:r>
        <w:t>: l'organisation de l’apprentissage par immersion en langue des signes en classe bilingue français – langue des signes doit être mentionnée dans le projet d’établissement.</w:t>
      </w:r>
    </w:p>
    <w:p>
      <w:pPr>
        <w:jc w:val="both"/>
        <w:rPr>
          <w:sz w:val="4"/>
          <w:szCs w:val="4"/>
        </w:rPr>
      </w:pPr>
    </w:p>
    <w:p>
      <w:pPr>
        <w:numPr>
          <w:ilvl w:val="0"/>
          <w:numId w:val="102"/>
        </w:numPr>
        <w:tabs>
          <w:tab w:val="clear" w:pos="1077"/>
        </w:tabs>
        <w:ind w:left="539"/>
        <w:jc w:val="both"/>
      </w:pPr>
      <w:r>
        <w:rPr>
          <w:b/>
        </w:rPr>
        <w:t>Autorisation d’organisation de l’apprentissage</w:t>
      </w:r>
      <w:r>
        <w:t xml:space="preserve">: Le </w:t>
      </w:r>
      <w:r>
        <w:rPr>
          <w:spacing w:val="-2"/>
        </w:rPr>
        <w:t>Ministre</w:t>
      </w:r>
      <w:r>
        <w:t xml:space="preserve"> peut autoriser un Pouvoir organisateur (enseignement subventionné) ou un chef d’établissement (enseignement organisé par </w:t>
      </w:r>
      <w:smartTag w:uri="urn:schemas-microsoft-com:office:smarttags" w:element="PersonName">
        <w:smartTagPr>
          <w:attr w:name="ProductID" w:val="la F￩d￩ration Wallonie-Bruxelles"/>
        </w:smartTagPr>
        <w:r>
          <w:t>la Fédération Wallonie-Bruxelles</w:t>
        </w:r>
      </w:smartTag>
      <w:r>
        <w:t xml:space="preserve">) à organiser dans une de ses écoles ou implantations l’apprentissage par immersion en langue des signes en classe bilingue français-langue des signes, dans le respect de toutes les dispositions précisées dans la </w:t>
      </w:r>
      <w:hyperlink w:anchor="_4.4.4._Apprentissage_par" w:history="1">
        <w:r>
          <w:rPr>
            <w:rStyle w:val="Lienhypertexte"/>
            <w:color w:val="auto"/>
          </w:rPr>
          <w:t>section 4.4.4.</w:t>
        </w:r>
      </w:hyperlink>
      <w:r>
        <w:t xml:space="preserve"> de la présente circulaire.</w:t>
      </w:r>
    </w:p>
    <w:p>
      <w:pPr>
        <w:pStyle w:val="Titre4"/>
        <w:rPr>
          <w:sz w:val="18"/>
        </w:rPr>
      </w:pPr>
      <w:bookmarkStart w:id="1397" w:name="_Toc295932073"/>
      <w:bookmarkStart w:id="1398" w:name="_Toc423420107"/>
      <w:bookmarkStart w:id="1399" w:name="_Toc450645314"/>
      <w:bookmarkStart w:id="1400" w:name="_Toc453942553"/>
      <w:bookmarkStart w:id="1401" w:name="_Toc454888170"/>
      <w:bookmarkStart w:id="1402" w:name="_Toc486241830"/>
      <w:r>
        <w:t>4.4.4.2.</w:t>
      </w:r>
      <w:r>
        <w:tab/>
        <w:t>Organisation</w:t>
      </w:r>
      <w:bookmarkEnd w:id="1397"/>
      <w:bookmarkEnd w:id="1398"/>
      <w:bookmarkEnd w:id="1399"/>
      <w:bookmarkEnd w:id="1400"/>
      <w:bookmarkEnd w:id="1401"/>
      <w:bookmarkEnd w:id="1402"/>
      <w:r>
        <w:t xml:space="preserve"> </w:t>
      </w:r>
    </w:p>
    <w:p>
      <w:pPr>
        <w:jc w:val="both"/>
        <w:rPr>
          <w:sz w:val="16"/>
          <w:szCs w:val="16"/>
        </w:rPr>
      </w:pPr>
    </w:p>
    <w:p>
      <w:pPr>
        <w:jc w:val="both"/>
      </w:pPr>
      <w:r>
        <w:t xml:space="preserve">L’élève débute l’apprentissage par immersion en langue des signes en classes bilingues français-langue des signes en </w:t>
      </w:r>
      <w:r>
        <w:rPr>
          <w:u w:val="single"/>
        </w:rPr>
        <w:t>1</w:t>
      </w:r>
      <w:r>
        <w:rPr>
          <w:u w:val="single"/>
          <w:vertAlign w:val="superscript"/>
        </w:rPr>
        <w:t>ère</w:t>
      </w:r>
      <w:r>
        <w:rPr>
          <w:u w:val="single"/>
        </w:rPr>
        <w:t xml:space="preserve"> maternelle</w:t>
      </w:r>
      <w:r>
        <w:t>.</w:t>
      </w:r>
    </w:p>
    <w:p>
      <w:pPr>
        <w:jc w:val="both"/>
        <w:rPr>
          <w:sz w:val="12"/>
          <w:szCs w:val="12"/>
        </w:rPr>
      </w:pPr>
    </w:p>
    <w:p>
      <w:pPr>
        <w:jc w:val="both"/>
      </w:pPr>
      <w:r>
        <w:t xml:space="preserve">Par dérogation, une </w:t>
      </w:r>
      <w:r>
        <w:rPr>
          <w:u w:val="single"/>
        </w:rPr>
        <w:t>commission créée au sein de l’établissement</w:t>
      </w:r>
      <w:r>
        <w:t>, peut autoriser un élève à aborder cet apprentissage dans une autre année pour autant qu’il apporte la preuve d’une maîtrise des compétences nécessaires. Cette commission est composée au moins du directeur, de l’instituteur et de l’instituteur chargé des cours en immersion en langue des signes en charge de l’année concernée.</w:t>
      </w:r>
    </w:p>
    <w:p>
      <w:pPr>
        <w:jc w:val="both"/>
      </w:pPr>
    </w:p>
    <w:p>
      <w:pPr>
        <w:jc w:val="both"/>
      </w:pPr>
      <w:r>
        <w:t xml:space="preserve">Une école fondamentale qui organise l’apprentissage par immersion en classe bilingue français- langue des signes le fait de manière </w:t>
      </w:r>
      <w:r>
        <w:rPr>
          <w:u w:val="single"/>
        </w:rPr>
        <w:t>progressive de la 1</w:t>
      </w:r>
      <w:r>
        <w:rPr>
          <w:u w:val="single"/>
          <w:vertAlign w:val="superscript"/>
        </w:rPr>
        <w:t>ère</w:t>
      </w:r>
      <w:r>
        <w:rPr>
          <w:u w:val="single"/>
        </w:rPr>
        <w:t xml:space="preserve"> maternelle à la 6</w:t>
      </w:r>
      <w:r>
        <w:rPr>
          <w:u w:val="single"/>
          <w:vertAlign w:val="superscript"/>
        </w:rPr>
        <w:t>ème</w:t>
      </w:r>
      <w:r>
        <w:rPr>
          <w:u w:val="single"/>
        </w:rPr>
        <w:t xml:space="preserve"> primaire </w:t>
      </w:r>
      <w:r>
        <w:t>et garantit qu’un élève ayant entamé l’apprentissage puisse le poursuivre au sein de la même école jusqu’au terme de sa scolarité primaire.</w:t>
      </w:r>
    </w:p>
    <w:p>
      <w:pPr>
        <w:jc w:val="both"/>
      </w:pPr>
      <w:r>
        <w:t xml:space="preserve">Pour pouvoir initier un projet d’apprentissage par immersion, il faut un </w:t>
      </w:r>
      <w:r>
        <w:rPr>
          <w:u w:val="single"/>
        </w:rPr>
        <w:t>minimum de 4 élèves sourds</w:t>
      </w:r>
      <w:r>
        <w:t xml:space="preserve"> dans la classe.</w:t>
      </w:r>
    </w:p>
    <w:p>
      <w:pPr>
        <w:jc w:val="both"/>
      </w:pPr>
    </w:p>
    <w:p>
      <w:pPr>
        <w:pStyle w:val="Titre4"/>
      </w:pPr>
      <w:bookmarkStart w:id="1403" w:name="_Toc295932074"/>
      <w:bookmarkStart w:id="1404" w:name="_Toc423420108"/>
      <w:bookmarkStart w:id="1405" w:name="_Toc450645315"/>
      <w:bookmarkStart w:id="1406" w:name="_Toc453942554"/>
      <w:bookmarkStart w:id="1407" w:name="_Toc454888171"/>
      <w:bookmarkStart w:id="1408" w:name="_Toc486241831"/>
      <w:r>
        <w:t>4.4.4.3.</w:t>
      </w:r>
      <w:r>
        <w:tab/>
        <w:t>Modalités à remplir pour organiser de l'apprentissage par immersion</w:t>
      </w:r>
      <w:bookmarkEnd w:id="1403"/>
      <w:bookmarkEnd w:id="1404"/>
      <w:bookmarkEnd w:id="1405"/>
      <w:r>
        <w:t xml:space="preserve"> en langue des signes</w:t>
      </w:r>
      <w:bookmarkEnd w:id="1406"/>
      <w:bookmarkEnd w:id="1407"/>
      <w:bookmarkEnd w:id="1408"/>
    </w:p>
    <w:p>
      <w:pPr>
        <w:jc w:val="both"/>
        <w:rPr>
          <w:szCs w:val="22"/>
        </w:rPr>
      </w:pPr>
    </w:p>
    <w:p>
      <w:pPr>
        <w:jc w:val="both"/>
      </w:pPr>
      <w:r>
        <w:t xml:space="preserve">Le chef d’établissement (enseignement organisé par </w:t>
      </w:r>
      <w:smartTag w:uri="urn:schemas-microsoft-com:office:smarttags" w:element="PersonName">
        <w:smartTagPr>
          <w:attr w:name="ProductID" w:val="la F￩d￩ration Wallonie-Bruxelles"/>
        </w:smartTagPr>
        <w:r>
          <w:t>la Fédération Wallonie-Bruxelles</w:t>
        </w:r>
      </w:smartTag>
      <w:r>
        <w:t>) ou le Pouvoir organisateur (enseignement subventionné) introduit une demande visant à obtenir l’autorisation d’organiser l’apprentissage par immersion en langue des signes en classe bilingue français-langue des signes à l’adresse suivante:</w:t>
      </w:r>
    </w:p>
    <w:p>
      <w:pPr>
        <w:jc w:val="both"/>
        <w:rPr>
          <w:szCs w:val="22"/>
        </w:rPr>
      </w:pPr>
    </w:p>
    <w:p>
      <w:pPr>
        <w:pBdr>
          <w:top w:val="single" w:sz="4" w:space="1" w:color="auto"/>
          <w:left w:val="single" w:sz="4" w:space="4" w:color="auto"/>
          <w:bottom w:val="single" w:sz="4" w:space="1" w:color="auto"/>
          <w:right w:val="single" w:sz="4" w:space="4" w:color="auto"/>
        </w:pBdr>
        <w:spacing w:before="120"/>
        <w:ind w:left="179"/>
        <w:jc w:val="center"/>
      </w:pPr>
      <w:r>
        <w:t>Direction générale de l'Enseignement obligatoire</w:t>
      </w:r>
    </w:p>
    <w:p>
      <w:pPr>
        <w:pBdr>
          <w:top w:val="single" w:sz="4" w:space="1" w:color="auto"/>
          <w:left w:val="single" w:sz="4" w:space="4" w:color="auto"/>
          <w:bottom w:val="single" w:sz="4" w:space="1" w:color="auto"/>
          <w:right w:val="single" w:sz="4" w:space="4" w:color="auto"/>
        </w:pBdr>
        <w:ind w:left="179"/>
        <w:jc w:val="center"/>
      </w:pPr>
      <w:r>
        <w:t xml:space="preserve">Direction de l'Organisation des Etablissements d’Enseignement fondamental ordinaire </w:t>
      </w:r>
    </w:p>
    <w:p>
      <w:pPr>
        <w:pBdr>
          <w:top w:val="single" w:sz="4" w:space="1" w:color="auto"/>
          <w:left w:val="single" w:sz="4" w:space="4" w:color="auto"/>
          <w:bottom w:val="single" w:sz="4" w:space="1" w:color="auto"/>
          <w:right w:val="single" w:sz="4" w:space="4" w:color="auto"/>
        </w:pBdr>
        <w:ind w:left="179"/>
        <w:jc w:val="center"/>
      </w:pPr>
      <w:r>
        <w:t>Rue Adolphe Lavallée, 1 – 2F211</w:t>
      </w:r>
    </w:p>
    <w:p>
      <w:pPr>
        <w:pBdr>
          <w:top w:val="single" w:sz="4" w:space="1" w:color="auto"/>
          <w:left w:val="single" w:sz="4" w:space="4" w:color="auto"/>
          <w:bottom w:val="single" w:sz="4" w:space="1" w:color="auto"/>
          <w:right w:val="single" w:sz="4" w:space="4" w:color="auto"/>
        </w:pBdr>
        <w:ind w:left="179"/>
        <w:jc w:val="center"/>
      </w:pPr>
      <w:r>
        <w:t>1080  Bruxelles</w:t>
      </w:r>
    </w:p>
    <w:p>
      <w:pPr>
        <w:jc w:val="both"/>
        <w:rPr>
          <w:szCs w:val="22"/>
        </w:rPr>
      </w:pPr>
    </w:p>
    <w:p>
      <w:pPr>
        <w:jc w:val="both"/>
        <w:rPr>
          <w:b/>
        </w:rPr>
      </w:pPr>
      <w:r>
        <w:rPr>
          <w:b/>
        </w:rPr>
        <w:t xml:space="preserve">La demande doit être introduite </w:t>
      </w:r>
    </w:p>
    <w:p>
      <w:pPr>
        <w:numPr>
          <w:ilvl w:val="0"/>
          <w:numId w:val="105"/>
        </w:numPr>
        <w:ind w:left="719"/>
        <w:jc w:val="both"/>
      </w:pPr>
      <w:r>
        <w:t>pour le 31 mars 2018 pour débuter l’apprentissage par immersion le 1/9/2018</w:t>
      </w:r>
    </w:p>
    <w:p>
      <w:pPr>
        <w:ind w:left="359"/>
        <w:jc w:val="both"/>
        <w:rPr>
          <w:sz w:val="8"/>
          <w:szCs w:val="8"/>
        </w:rPr>
      </w:pPr>
    </w:p>
    <w:p>
      <w:pPr>
        <w:jc w:val="both"/>
      </w:pPr>
      <w:r>
        <w:t xml:space="preserve">La demande d’autorisation doit être introduite une seule fois et ne doit pas être renouvelée chaque année. L’autorisation est accordée par le </w:t>
      </w:r>
      <w:r>
        <w:rPr>
          <w:spacing w:val="-2"/>
        </w:rPr>
        <w:t>Ministre</w:t>
      </w:r>
      <w:r>
        <w:t xml:space="preserve"> de </w:t>
      </w:r>
      <w:smartTag w:uri="urn:schemas-microsoft-com:office:smarttags" w:element="PersonName">
        <w:smartTagPr>
          <w:attr w:name="ProductID" w:val="la F￩d￩ration Wallonie-Bruxelles"/>
        </w:smartTagPr>
        <w:r>
          <w:t>la Fédération Wallonie-Bruxelles</w:t>
        </w:r>
      </w:smartTag>
      <w:r>
        <w:t xml:space="preserve"> pour une durée indéterminée.</w:t>
      </w:r>
    </w:p>
    <w:p>
      <w:pPr>
        <w:jc w:val="both"/>
        <w:rPr>
          <w:szCs w:val="22"/>
        </w:rPr>
      </w:pPr>
    </w:p>
    <w:p>
      <w:pPr>
        <w:pStyle w:val="Corpsdetexte"/>
        <w:rPr>
          <w:rFonts w:cs="Times New Roman"/>
          <w:spacing w:val="0"/>
        </w:rPr>
      </w:pPr>
      <w:r>
        <w:rPr>
          <w:rFonts w:cs="Times New Roman"/>
          <w:spacing w:val="0"/>
        </w:rPr>
        <w:t>Le dossier de demande comprendra au minimum:</w:t>
      </w:r>
    </w:p>
    <w:p>
      <w:pPr>
        <w:jc w:val="both"/>
        <w:rPr>
          <w:sz w:val="16"/>
        </w:rPr>
      </w:pPr>
    </w:p>
    <w:p>
      <w:pPr>
        <w:ind w:left="359" w:hanging="360"/>
        <w:jc w:val="both"/>
        <w:rPr>
          <w:b/>
          <w:bCs/>
        </w:rPr>
      </w:pPr>
      <w:r>
        <w:t>1)</w:t>
      </w:r>
      <w:r>
        <w:rPr>
          <w:b/>
          <w:bCs/>
        </w:rPr>
        <w:tab/>
        <w:t>L’avis du Conseil de participation;</w:t>
      </w:r>
    </w:p>
    <w:p>
      <w:pPr>
        <w:jc w:val="both"/>
        <w:rPr>
          <w:sz w:val="8"/>
          <w:szCs w:val="8"/>
        </w:rPr>
      </w:pPr>
    </w:p>
    <w:p>
      <w:pPr>
        <w:ind w:left="359" w:hanging="360"/>
      </w:pPr>
      <w:r>
        <w:t xml:space="preserve">2) </w:t>
      </w:r>
      <w:r>
        <w:tab/>
      </w:r>
      <w:r>
        <w:rPr>
          <w:b/>
          <w:bCs/>
        </w:rPr>
        <w:t>L’avis de l'instance de concertation</w:t>
      </w:r>
      <w:r>
        <w:t xml:space="preserve"> propre à chaque réseau, à savoir :</w:t>
      </w:r>
    </w:p>
    <w:p>
      <w:pPr>
        <w:numPr>
          <w:ilvl w:val="0"/>
          <w:numId w:val="34"/>
        </w:numPr>
        <w:tabs>
          <w:tab w:val="clear" w:pos="720"/>
          <w:tab w:val="num" w:pos="540"/>
        </w:tabs>
        <w:ind w:left="539" w:hanging="180"/>
      </w:pPr>
      <w:r>
        <w:t xml:space="preserve">le comité de concertation de base dans l'enseignement organisé par </w:t>
      </w:r>
      <w:smartTag w:uri="urn:schemas-microsoft-com:office:smarttags" w:element="PersonName">
        <w:smartTagPr>
          <w:attr w:name="ProductID" w:val="la F￩d￩ration Wallonie-Bruxelles"/>
        </w:smartTagPr>
        <w:r>
          <w:t>la Fédération Wallonie-Bruxelles</w:t>
        </w:r>
      </w:smartTag>
    </w:p>
    <w:p>
      <w:pPr>
        <w:numPr>
          <w:ilvl w:val="0"/>
          <w:numId w:val="34"/>
        </w:numPr>
        <w:tabs>
          <w:tab w:val="clear" w:pos="720"/>
          <w:tab w:val="num" w:pos="540"/>
        </w:tabs>
        <w:ind w:left="539" w:hanging="180"/>
      </w:pPr>
      <w:r>
        <w:t xml:space="preserve">la commission paritaire locale dans l’enseignement officiel subventionné </w:t>
      </w:r>
    </w:p>
    <w:p>
      <w:pPr>
        <w:numPr>
          <w:ilvl w:val="0"/>
          <w:numId w:val="34"/>
        </w:numPr>
        <w:tabs>
          <w:tab w:val="clear" w:pos="720"/>
          <w:tab w:val="num" w:pos="540"/>
        </w:tabs>
        <w:ind w:left="539" w:hanging="180"/>
      </w:pPr>
      <w:r>
        <w:t>l’instance de concertation locale ou le conseil d’entreprise ou, à défaut, la délégation syndicale dans l’enseignement libre subventionné;</w:t>
      </w:r>
    </w:p>
    <w:p>
      <w:pPr>
        <w:jc w:val="both"/>
        <w:rPr>
          <w:sz w:val="8"/>
          <w:szCs w:val="8"/>
        </w:rPr>
      </w:pPr>
    </w:p>
    <w:p>
      <w:pPr>
        <w:ind w:left="359" w:hanging="360"/>
        <w:jc w:val="both"/>
        <w:rPr>
          <w:b/>
          <w:bCs/>
        </w:rPr>
      </w:pPr>
      <w:r>
        <w:t>3)</w:t>
      </w:r>
      <w:r>
        <w:tab/>
      </w:r>
      <w:r>
        <w:rPr>
          <w:b/>
          <w:bCs/>
        </w:rPr>
        <w:t>Un descriptif complet du projet.</w:t>
      </w:r>
    </w:p>
    <w:p>
      <w:pPr>
        <w:ind w:left="359" w:hanging="360"/>
        <w:jc w:val="both"/>
        <w:rPr>
          <w:sz w:val="4"/>
          <w:szCs w:val="4"/>
        </w:rPr>
      </w:pPr>
    </w:p>
    <w:p>
      <w:pPr>
        <w:ind w:left="359"/>
        <w:jc w:val="both"/>
      </w:pPr>
      <w:r>
        <w:t>Ce descriptif aborde notamment:</w:t>
      </w:r>
    </w:p>
    <w:p>
      <w:pPr>
        <w:spacing w:before="60"/>
        <w:ind w:left="895" w:hanging="357"/>
        <w:jc w:val="both"/>
      </w:pPr>
      <w:r>
        <w:t>a)</w:t>
      </w:r>
      <w:r>
        <w:tab/>
        <w:t xml:space="preserve">La composition et les modalités de fonctionnement d’un </w:t>
      </w:r>
      <w:r>
        <w:rPr>
          <w:u w:val="single"/>
        </w:rPr>
        <w:t>comité d’accompagnement local</w:t>
      </w:r>
      <w:r>
        <w:t xml:space="preserve"> chargé d’accompagner l’équipe pédagogique dans la mise en place du projet;</w:t>
      </w:r>
    </w:p>
    <w:p>
      <w:pPr>
        <w:spacing w:before="60"/>
        <w:ind w:left="895" w:hanging="357"/>
        <w:jc w:val="both"/>
      </w:pPr>
      <w:r>
        <w:t>b)</w:t>
      </w:r>
      <w:r>
        <w:tab/>
        <w:t>Les mesures pédagogiques prises afin de:</w:t>
      </w:r>
    </w:p>
    <w:p>
      <w:pPr>
        <w:numPr>
          <w:ilvl w:val="0"/>
          <w:numId w:val="106"/>
        </w:numPr>
        <w:ind w:left="1259"/>
        <w:jc w:val="both"/>
      </w:pPr>
      <w:r>
        <w:t>Mettre à disposition des élèves et des enseignants des outils pédagogiques propres à l’apprentissage par immersion;</w:t>
      </w:r>
    </w:p>
    <w:p>
      <w:pPr>
        <w:numPr>
          <w:ilvl w:val="0"/>
          <w:numId w:val="106"/>
        </w:numPr>
        <w:spacing w:before="60"/>
        <w:ind w:left="1259"/>
        <w:jc w:val="both"/>
      </w:pPr>
      <w:r>
        <w:t>Assurer la continuité du projet;</w:t>
      </w:r>
    </w:p>
    <w:p>
      <w:pPr>
        <w:numPr>
          <w:ilvl w:val="0"/>
          <w:numId w:val="106"/>
        </w:numPr>
        <w:spacing w:before="60"/>
        <w:ind w:left="1259"/>
        <w:jc w:val="both"/>
      </w:pPr>
      <w:r>
        <w:t>Aider les élèves en difficulté et notamment ceux qui, s’il échoit, quitteraient l’apprentissage par immersion.</w:t>
      </w:r>
    </w:p>
    <w:p>
      <w:pPr>
        <w:spacing w:before="60"/>
        <w:ind w:left="895" w:hanging="357"/>
        <w:jc w:val="both"/>
      </w:pPr>
      <w:r>
        <w:t>c)</w:t>
      </w:r>
      <w:r>
        <w:tab/>
        <w:t>Les mesures prises afin d’informer les parents sur les caractéristiques de l’apprentissage par immersion en langue des signes en classes bilingues français-langue des signes</w:t>
      </w:r>
    </w:p>
    <w:p>
      <w:pPr>
        <w:jc w:val="both"/>
        <w:rPr>
          <w:bCs/>
          <w:szCs w:val="22"/>
        </w:rPr>
      </w:pPr>
    </w:p>
    <w:p>
      <w:pPr>
        <w:ind w:left="179"/>
        <w:jc w:val="both"/>
      </w:pPr>
      <w:r>
        <w:t xml:space="preserve">Les chefs d’établissement (enseignement organisés par </w:t>
      </w:r>
      <w:smartTag w:uri="urn:schemas-microsoft-com:office:smarttags" w:element="PersonName">
        <w:smartTagPr>
          <w:attr w:name="ProductID" w:val="la F￩d￩ration Wallonie-Bruxelles"/>
        </w:smartTagPr>
        <w:r>
          <w:t>la Fédération Wallonie-Bruxelles</w:t>
        </w:r>
      </w:smartTag>
      <w:r>
        <w:t xml:space="preserve">) et les pouvoirs organisateurs (enseignement subventionné) ayant bénéficié d’une autorisation d’assurer l’organisation de l’apprentissage par immersion qui n’utilisent pas ou n’utilisent plus cette autorisation en informent </w:t>
      </w:r>
      <w:smartTag w:uri="urn:schemas-microsoft-com:office:smarttags" w:element="PersonName">
        <w:smartTagPr>
          <w:attr w:name="ProductID" w:val="la Direction"/>
        </w:smartTagPr>
        <w:r>
          <w:t>la Direction</w:t>
        </w:r>
      </w:smartTag>
      <w:r>
        <w:t xml:space="preserve"> générale de l'Enseignement obligatoire en veillant à préciser les motifs pour lesquels ils n’utilisent pas ou n’utilisent plus cette autorisation. Dans ce cas, toute dotation ou subvention liée à l’organisation de ce type d’apprentissage est suspendu. Ces mêmes chefs d’établissement et pouvoirs organisateurs devront introduire une nouvelle demande, s’ils souhaitent par la suite organiser, à nouveau, l’apprentissage par immersion en langue des signes en classes bilingues français-langue des signes.</w:t>
      </w:r>
    </w:p>
    <w:p>
      <w:pPr>
        <w:pStyle w:val="Titre6"/>
      </w:pPr>
      <w:bookmarkStart w:id="1409" w:name="_Toc295932075"/>
    </w:p>
    <w:p>
      <w:pPr>
        <w:pStyle w:val="Titre4"/>
      </w:pPr>
      <w:bookmarkStart w:id="1410" w:name="_Toc423420109"/>
      <w:bookmarkStart w:id="1411" w:name="_Toc450645316"/>
      <w:bookmarkStart w:id="1412" w:name="_Toc453942555"/>
      <w:bookmarkStart w:id="1413" w:name="_Toc454888172"/>
      <w:bookmarkStart w:id="1414" w:name="_Toc486241832"/>
      <w:r>
        <w:t>4.4.4.4.</w:t>
      </w:r>
      <w:r>
        <w:tab/>
        <w:t>Documents concernant les élèves sourds</w:t>
      </w:r>
      <w:bookmarkEnd w:id="1409"/>
      <w:bookmarkEnd w:id="1410"/>
      <w:bookmarkEnd w:id="1411"/>
      <w:bookmarkEnd w:id="1412"/>
      <w:bookmarkEnd w:id="1413"/>
      <w:bookmarkEnd w:id="1414"/>
    </w:p>
    <w:p>
      <w:pPr>
        <w:pStyle w:val="ddxbook"/>
        <w:rPr>
          <w:rFonts w:ascii="Arial" w:hAnsi="Arial"/>
          <w:sz w:val="22"/>
          <w:szCs w:val="22"/>
          <w:lang w:val="fr-FR"/>
        </w:rPr>
      </w:pPr>
    </w:p>
    <w:p>
      <w:pPr>
        <w:pStyle w:val="ddxbook"/>
        <w:rPr>
          <w:rFonts w:ascii="Arial" w:hAnsi="Arial"/>
          <w:sz w:val="22"/>
          <w:szCs w:val="22"/>
          <w:lang w:val="fr-FR"/>
        </w:rPr>
      </w:pPr>
      <w:r>
        <w:rPr>
          <w:rFonts w:ascii="Arial" w:hAnsi="Arial"/>
          <w:sz w:val="22"/>
          <w:szCs w:val="22"/>
          <w:lang w:val="fr-FR"/>
        </w:rPr>
        <w:t xml:space="preserve">Le directeur doit conserver au sein de l’école dans le dossier de chaque élève sourd suivant un apprentissage en immersion en langue des signes en classes bilingues français-langue des signes les </w:t>
      </w:r>
      <w:r>
        <w:rPr>
          <w:rFonts w:ascii="Arial" w:hAnsi="Arial"/>
          <w:b/>
          <w:sz w:val="22"/>
          <w:szCs w:val="22"/>
          <w:u w:val="single"/>
          <w:lang w:val="fr-FR"/>
        </w:rPr>
        <w:t>deux documents</w:t>
      </w:r>
      <w:r>
        <w:rPr>
          <w:rFonts w:ascii="Arial" w:hAnsi="Arial"/>
          <w:sz w:val="22"/>
          <w:szCs w:val="22"/>
          <w:lang w:val="fr-FR"/>
        </w:rPr>
        <w:t xml:space="preserve"> suivants:</w:t>
      </w:r>
    </w:p>
    <w:p>
      <w:pPr>
        <w:pStyle w:val="ddxbook"/>
        <w:rPr>
          <w:rFonts w:ascii="Arial" w:hAnsi="Arial"/>
          <w:sz w:val="22"/>
          <w:szCs w:val="22"/>
          <w:lang w:val="fr-FR"/>
        </w:rPr>
      </w:pPr>
    </w:p>
    <w:p>
      <w:pPr>
        <w:pStyle w:val="ddxbook"/>
        <w:numPr>
          <w:ilvl w:val="0"/>
          <w:numId w:val="107"/>
        </w:numPr>
        <w:ind w:left="719"/>
        <w:rPr>
          <w:rFonts w:ascii="Arial" w:hAnsi="Arial"/>
          <w:sz w:val="22"/>
          <w:szCs w:val="22"/>
          <w:lang w:val="fr-FR"/>
        </w:rPr>
      </w:pPr>
      <w:r>
        <w:rPr>
          <w:rFonts w:ascii="Arial" w:hAnsi="Arial"/>
          <w:b/>
          <w:sz w:val="22"/>
          <w:szCs w:val="22"/>
          <w:u w:val="single"/>
          <w:lang w:val="fr-FR"/>
        </w:rPr>
        <w:t>l’attestation médicale</w:t>
      </w:r>
      <w:r>
        <w:rPr>
          <w:rFonts w:ascii="Arial" w:hAnsi="Arial"/>
          <w:sz w:val="22"/>
          <w:szCs w:val="22"/>
          <w:lang w:val="fr-FR"/>
        </w:rPr>
        <w:t xml:space="preserve"> signée par un médecin ORL, dont le modèle figure en </w:t>
      </w:r>
      <w:hyperlink w:anchor="Annexe_44C" w:history="1">
        <w:r>
          <w:rPr>
            <w:rStyle w:val="Lienhypertexte"/>
            <w:rFonts w:ascii="Arial" w:hAnsi="Arial"/>
            <w:b/>
            <w:i/>
            <w:color w:val="auto"/>
            <w:sz w:val="22"/>
            <w:szCs w:val="22"/>
            <w:lang w:val="fr-FR"/>
          </w:rPr>
          <w:t>annexe 4.4.C</w:t>
        </w:r>
      </w:hyperlink>
      <w:r>
        <w:rPr>
          <w:rFonts w:ascii="Arial" w:hAnsi="Arial"/>
          <w:sz w:val="22"/>
          <w:szCs w:val="22"/>
          <w:lang w:val="fr-FR"/>
        </w:rPr>
        <w:t xml:space="preserve"> </w:t>
      </w:r>
    </w:p>
    <w:p>
      <w:pPr>
        <w:pStyle w:val="ddxbook"/>
        <w:ind w:left="359"/>
        <w:rPr>
          <w:rFonts w:ascii="Arial" w:hAnsi="Arial"/>
          <w:sz w:val="4"/>
          <w:szCs w:val="4"/>
          <w:lang w:val="fr-FR"/>
        </w:rPr>
      </w:pPr>
    </w:p>
    <w:p>
      <w:pPr>
        <w:pStyle w:val="ddxbook"/>
        <w:numPr>
          <w:ilvl w:val="0"/>
          <w:numId w:val="107"/>
        </w:numPr>
        <w:ind w:left="719"/>
        <w:rPr>
          <w:rFonts w:ascii="Arial" w:hAnsi="Arial"/>
          <w:sz w:val="22"/>
          <w:szCs w:val="22"/>
          <w:lang w:val="fr-FR"/>
        </w:rPr>
      </w:pPr>
      <w:r>
        <w:rPr>
          <w:rFonts w:ascii="Arial" w:hAnsi="Arial"/>
          <w:b/>
          <w:sz w:val="22"/>
          <w:szCs w:val="22"/>
          <w:u w:val="single"/>
          <w:lang w:val="fr-FR"/>
        </w:rPr>
        <w:t>l’attestation d’inscription</w:t>
      </w:r>
      <w:r>
        <w:rPr>
          <w:rFonts w:ascii="Arial" w:hAnsi="Arial"/>
          <w:sz w:val="22"/>
          <w:szCs w:val="22"/>
          <w:lang w:val="fr-FR"/>
        </w:rPr>
        <w:t xml:space="preserve"> signée par les parents ou la personne investie de l’autorité parentale, dont le modèle figure en </w:t>
      </w:r>
      <w:hyperlink w:anchor="Annexe_44D" w:history="1">
        <w:r>
          <w:rPr>
            <w:rStyle w:val="Lienhypertexte"/>
            <w:rFonts w:ascii="Arial" w:hAnsi="Arial"/>
            <w:b/>
            <w:i/>
            <w:color w:val="auto"/>
            <w:sz w:val="22"/>
            <w:szCs w:val="22"/>
            <w:lang w:val="fr-FR"/>
          </w:rPr>
          <w:t>annexe 4.4.D</w:t>
        </w:r>
      </w:hyperlink>
    </w:p>
    <w:p>
      <w:pPr>
        <w:pStyle w:val="ddxbook"/>
        <w:rPr>
          <w:rFonts w:ascii="Arial" w:hAnsi="Arial"/>
          <w:sz w:val="22"/>
          <w:szCs w:val="22"/>
          <w:lang w:val="fr-FR"/>
        </w:rPr>
      </w:pPr>
    </w:p>
    <w:p>
      <w:pPr>
        <w:pStyle w:val="ddxbook"/>
        <w:rPr>
          <w:rFonts w:ascii="Arial" w:hAnsi="Arial"/>
          <w:sz w:val="22"/>
          <w:szCs w:val="22"/>
          <w:lang w:val="fr-FR"/>
        </w:rPr>
      </w:pPr>
      <w:r>
        <w:rPr>
          <w:rFonts w:ascii="Arial" w:hAnsi="Arial"/>
          <w:sz w:val="22"/>
          <w:szCs w:val="22"/>
          <w:lang w:val="fr-FR"/>
        </w:rPr>
        <w:t>Ces deux documents doivent être complétés une seule fois, lorsque l’enfant débute l’apprentissage et vaut jusqu’au terme de sa scolarité primaire.</w:t>
      </w:r>
    </w:p>
    <w:p>
      <w:pPr>
        <w:pStyle w:val="ddxbook"/>
        <w:rPr>
          <w:rFonts w:ascii="Arial" w:hAnsi="Arial"/>
          <w:sz w:val="22"/>
          <w:szCs w:val="22"/>
          <w:lang w:val="fr-FR"/>
        </w:rPr>
      </w:pPr>
      <w:r>
        <w:rPr>
          <w:rFonts w:ascii="Arial" w:hAnsi="Arial"/>
          <w:sz w:val="22"/>
          <w:szCs w:val="22"/>
          <w:lang w:val="fr-FR"/>
        </w:rPr>
        <w:t>Ces documents doivent être mis à disposition du vérificateur.</w:t>
      </w:r>
    </w:p>
    <w:p>
      <w:pPr>
        <w:rPr>
          <w:lang w:val="fr-BE"/>
        </w:rPr>
      </w:pPr>
      <w:bookmarkStart w:id="1415" w:name="_Toc295932076"/>
    </w:p>
    <w:p>
      <w:pPr>
        <w:pStyle w:val="Titre4"/>
      </w:pPr>
      <w:bookmarkStart w:id="1416" w:name="_Toc423420110"/>
      <w:bookmarkStart w:id="1417" w:name="_Toc450645317"/>
      <w:bookmarkStart w:id="1418" w:name="_Toc453942556"/>
      <w:bookmarkStart w:id="1419" w:name="_Toc454888173"/>
      <w:bookmarkStart w:id="1420" w:name="_Toc486241833"/>
      <w:r>
        <w:t>4.4.4.5.</w:t>
      </w:r>
      <w:r>
        <w:tab/>
        <w:t>Encadrement spécifique réservé à l’organisation de l’apprentissage par immersion en langue des signes en classes bilingues français-langue des signes</w:t>
      </w:r>
      <w:bookmarkEnd w:id="1415"/>
      <w:bookmarkEnd w:id="1416"/>
      <w:bookmarkEnd w:id="1417"/>
      <w:bookmarkEnd w:id="1418"/>
      <w:bookmarkEnd w:id="1419"/>
      <w:bookmarkEnd w:id="1420"/>
    </w:p>
    <w:p>
      <w:pPr>
        <w:pStyle w:val="ddxbook"/>
        <w:rPr>
          <w:rFonts w:ascii="Arial" w:hAnsi="Arial"/>
          <w:sz w:val="12"/>
          <w:szCs w:val="12"/>
          <w:lang w:val="fr-FR"/>
        </w:rPr>
      </w:pPr>
    </w:p>
    <w:p>
      <w:pPr>
        <w:pStyle w:val="ddxbook"/>
        <w:rPr>
          <w:rFonts w:ascii="Arial" w:hAnsi="Arial"/>
          <w:sz w:val="22"/>
          <w:szCs w:val="22"/>
          <w:lang w:val="fr-FR"/>
        </w:rPr>
      </w:pPr>
      <w:r>
        <w:rPr>
          <w:rFonts w:ascii="Arial" w:hAnsi="Arial"/>
          <w:sz w:val="22"/>
          <w:szCs w:val="22"/>
          <w:lang w:val="fr-FR"/>
        </w:rPr>
        <w:t xml:space="preserve">Un </w:t>
      </w:r>
      <w:r>
        <w:rPr>
          <w:rFonts w:ascii="Arial" w:hAnsi="Arial"/>
          <w:b/>
          <w:sz w:val="22"/>
          <w:szCs w:val="22"/>
          <w:u w:val="single"/>
          <w:lang w:val="fr-FR"/>
        </w:rPr>
        <w:t>encadrement spécifique complémentaire</w:t>
      </w:r>
      <w:r>
        <w:rPr>
          <w:rFonts w:ascii="Arial" w:hAnsi="Arial"/>
          <w:sz w:val="22"/>
          <w:szCs w:val="22"/>
          <w:lang w:val="fr-FR"/>
        </w:rPr>
        <w:t xml:space="preserve"> est alloué pour l’organisation des classes bilingues français-langue des signes.</w:t>
      </w:r>
    </w:p>
    <w:p>
      <w:pPr>
        <w:pStyle w:val="ddxbook"/>
        <w:rPr>
          <w:rFonts w:ascii="Arial" w:hAnsi="Arial"/>
          <w:sz w:val="12"/>
          <w:szCs w:val="12"/>
          <w:lang w:val="fr-FR"/>
        </w:rPr>
      </w:pPr>
    </w:p>
    <w:p>
      <w:pPr>
        <w:pStyle w:val="ddxbook"/>
        <w:rPr>
          <w:rFonts w:ascii="Arial" w:hAnsi="Arial"/>
          <w:sz w:val="22"/>
          <w:szCs w:val="22"/>
          <w:lang w:val="fr-FR"/>
        </w:rPr>
      </w:pPr>
      <w:r>
        <w:rPr>
          <w:rFonts w:ascii="Arial" w:hAnsi="Arial"/>
          <w:sz w:val="22"/>
          <w:szCs w:val="22"/>
          <w:lang w:val="fr-FR"/>
        </w:rPr>
        <w:t xml:space="preserve">Dans l’enseignement maternel comme dans l’enseignement primaire, le calcul de cet encadrement s’effectue </w:t>
      </w:r>
      <w:r>
        <w:rPr>
          <w:rFonts w:ascii="Arial" w:hAnsi="Arial"/>
          <w:b/>
          <w:sz w:val="22"/>
          <w:szCs w:val="22"/>
          <w:u w:val="single"/>
          <w:lang w:val="fr-FR"/>
        </w:rPr>
        <w:t>en périodes</w:t>
      </w:r>
      <w:r>
        <w:rPr>
          <w:rFonts w:ascii="Arial" w:hAnsi="Arial"/>
          <w:sz w:val="22"/>
          <w:szCs w:val="22"/>
          <w:lang w:val="fr-FR"/>
        </w:rPr>
        <w:t>:</w:t>
      </w:r>
    </w:p>
    <w:p>
      <w:pPr>
        <w:pStyle w:val="ddxbook"/>
        <w:rPr>
          <w:rFonts w:ascii="Arial" w:hAnsi="Arial"/>
          <w:sz w:val="8"/>
          <w:szCs w:val="8"/>
          <w:lang w:val="fr-FR"/>
        </w:rPr>
      </w:pPr>
    </w:p>
    <w:p>
      <w:pPr>
        <w:pStyle w:val="ddxbook"/>
        <w:numPr>
          <w:ilvl w:val="0"/>
          <w:numId w:val="108"/>
        </w:numPr>
        <w:tabs>
          <w:tab w:val="clear" w:pos="720"/>
        </w:tabs>
        <w:ind w:left="899" w:hanging="540"/>
        <w:rPr>
          <w:rFonts w:ascii="Arial" w:hAnsi="Arial"/>
          <w:sz w:val="22"/>
          <w:szCs w:val="22"/>
          <w:lang w:val="fr-FR"/>
        </w:rPr>
      </w:pPr>
      <w:r>
        <w:rPr>
          <w:rFonts w:ascii="Arial" w:hAnsi="Arial"/>
          <w:sz w:val="22"/>
          <w:szCs w:val="22"/>
          <w:lang w:val="fr-FR"/>
        </w:rPr>
        <w:t>6 périodes par élève sourd fréquentant une classe bilingue français-langue des signes</w:t>
      </w:r>
    </w:p>
    <w:p>
      <w:pPr>
        <w:pStyle w:val="ddxbook"/>
        <w:numPr>
          <w:ilvl w:val="0"/>
          <w:numId w:val="108"/>
        </w:numPr>
        <w:tabs>
          <w:tab w:val="clear" w:pos="720"/>
        </w:tabs>
        <w:ind w:left="899" w:hanging="540"/>
        <w:rPr>
          <w:rFonts w:ascii="Arial" w:hAnsi="Arial"/>
          <w:sz w:val="22"/>
          <w:szCs w:val="22"/>
          <w:lang w:val="fr-FR"/>
        </w:rPr>
      </w:pPr>
      <w:r>
        <w:rPr>
          <w:rFonts w:ascii="Arial" w:hAnsi="Arial"/>
          <w:sz w:val="22"/>
          <w:szCs w:val="22"/>
          <w:lang w:val="fr-FR"/>
        </w:rPr>
        <w:t>2 périodes par classe bilingue français-langue des signes, réservées au cours de langue des signes et de culture des sourds.</w:t>
      </w:r>
    </w:p>
    <w:p>
      <w:pPr>
        <w:pStyle w:val="ddxbook"/>
        <w:numPr>
          <w:ilvl w:val="0"/>
          <w:numId w:val="108"/>
        </w:numPr>
        <w:tabs>
          <w:tab w:val="clear" w:pos="720"/>
        </w:tabs>
        <w:ind w:left="899" w:hanging="540"/>
        <w:rPr>
          <w:rFonts w:ascii="Arial" w:hAnsi="Arial"/>
          <w:sz w:val="22"/>
          <w:szCs w:val="22"/>
          <w:lang w:val="fr-FR"/>
        </w:rPr>
      </w:pPr>
      <w:r>
        <w:rPr>
          <w:rFonts w:ascii="Arial" w:hAnsi="Arial"/>
          <w:sz w:val="22"/>
          <w:szCs w:val="22"/>
          <w:lang w:val="fr-FR"/>
        </w:rPr>
        <w:t>2 heures de capital-périodes supplémentaire par cours de langue moderne organisé afin de permettre aux élèves sourds de bénéficier d’un cours de langue moderne en langue des signes.</w:t>
      </w:r>
    </w:p>
    <w:p>
      <w:pPr>
        <w:pStyle w:val="ddxbook"/>
        <w:ind w:left="359"/>
        <w:rPr>
          <w:rFonts w:ascii="Arial" w:hAnsi="Arial"/>
          <w:sz w:val="22"/>
          <w:szCs w:val="22"/>
          <w:lang w:val="fr-FR"/>
        </w:rPr>
      </w:pPr>
    </w:p>
    <w:p>
      <w:pPr>
        <w:pStyle w:val="ddxbook"/>
        <w:rPr>
          <w:rFonts w:ascii="Arial" w:hAnsi="Arial"/>
          <w:sz w:val="12"/>
          <w:szCs w:val="12"/>
          <w:lang w:val="fr-FR"/>
        </w:rPr>
      </w:pPr>
    </w:p>
    <w:p>
      <w:pPr>
        <w:pStyle w:val="ddxbook"/>
        <w:rPr>
          <w:rFonts w:ascii="Arial" w:hAnsi="Arial"/>
          <w:sz w:val="22"/>
          <w:szCs w:val="22"/>
          <w:lang w:val="fr-FR"/>
        </w:rPr>
      </w:pPr>
      <w:r>
        <w:rPr>
          <w:rFonts w:ascii="Arial" w:hAnsi="Arial"/>
          <w:sz w:val="22"/>
          <w:szCs w:val="22"/>
          <w:lang w:val="fr-FR"/>
        </w:rPr>
        <w:t xml:space="preserve">Une seule </w:t>
      </w:r>
      <w:r>
        <w:rPr>
          <w:rFonts w:ascii="Arial" w:hAnsi="Arial"/>
          <w:b/>
          <w:sz w:val="22"/>
          <w:szCs w:val="22"/>
          <w:u w:val="single"/>
          <w:lang w:val="fr-FR"/>
        </w:rPr>
        <w:t>date de comptage</w:t>
      </w:r>
      <w:r>
        <w:rPr>
          <w:rFonts w:ascii="Arial" w:hAnsi="Arial"/>
          <w:sz w:val="22"/>
          <w:szCs w:val="22"/>
          <w:lang w:val="fr-FR"/>
        </w:rPr>
        <w:t xml:space="preserve">, tant en maternel qu’en primaire, celle du </w:t>
      </w:r>
      <w:r>
        <w:rPr>
          <w:rFonts w:ascii="Arial" w:hAnsi="Arial"/>
          <w:b/>
          <w:sz w:val="22"/>
          <w:szCs w:val="22"/>
          <w:u w:val="single"/>
          <w:lang w:val="fr-FR"/>
        </w:rPr>
        <w:t>30 septembre</w:t>
      </w:r>
      <w:r>
        <w:rPr>
          <w:rFonts w:ascii="Arial" w:hAnsi="Arial"/>
          <w:sz w:val="22"/>
          <w:szCs w:val="22"/>
          <w:lang w:val="fr-FR"/>
        </w:rPr>
        <w:t>.</w:t>
      </w:r>
    </w:p>
    <w:p>
      <w:pPr>
        <w:pStyle w:val="ddxbook"/>
        <w:rPr>
          <w:rFonts w:ascii="Arial" w:hAnsi="Arial"/>
          <w:sz w:val="8"/>
          <w:szCs w:val="8"/>
          <w:lang w:val="fr-FR"/>
        </w:rPr>
      </w:pPr>
    </w:p>
    <w:p>
      <w:pPr>
        <w:pStyle w:val="ddxbook"/>
        <w:rPr>
          <w:rFonts w:ascii="Arial" w:hAnsi="Arial"/>
          <w:sz w:val="22"/>
          <w:szCs w:val="22"/>
          <w:lang w:val="fr-FR"/>
        </w:rPr>
      </w:pPr>
      <w:r>
        <w:rPr>
          <w:rFonts w:ascii="Arial" w:hAnsi="Arial"/>
          <w:sz w:val="22"/>
          <w:szCs w:val="22"/>
          <w:lang w:val="fr-FR"/>
        </w:rPr>
        <w:t xml:space="preserve">Les élèves sourds et le nombre de classes bilingues organisées pris en compte à cette date génèrent un volume global de périodes qui constituent </w:t>
      </w:r>
      <w:r>
        <w:rPr>
          <w:rFonts w:ascii="Arial" w:hAnsi="Arial"/>
          <w:b/>
          <w:sz w:val="22"/>
          <w:szCs w:val="22"/>
          <w:u w:val="single"/>
          <w:lang w:val="fr-FR"/>
        </w:rPr>
        <w:t>l’encadrement spécifique</w:t>
      </w:r>
      <w:r>
        <w:rPr>
          <w:rFonts w:ascii="Arial" w:hAnsi="Arial"/>
          <w:sz w:val="22"/>
          <w:szCs w:val="22"/>
          <w:lang w:val="fr-FR"/>
        </w:rPr>
        <w:t xml:space="preserve"> réservé aux classes bilingues de français-langue des signes, </w:t>
      </w:r>
      <w:r>
        <w:rPr>
          <w:rFonts w:ascii="Arial" w:hAnsi="Arial"/>
          <w:b/>
          <w:sz w:val="22"/>
          <w:szCs w:val="22"/>
          <w:u w:val="single"/>
          <w:lang w:val="fr-FR"/>
        </w:rPr>
        <w:t>applicable du 1</w:t>
      </w:r>
      <w:r>
        <w:rPr>
          <w:rFonts w:ascii="Arial" w:hAnsi="Arial"/>
          <w:b/>
          <w:sz w:val="22"/>
          <w:szCs w:val="22"/>
          <w:u w:val="single"/>
          <w:vertAlign w:val="superscript"/>
          <w:lang w:val="fr-FR"/>
        </w:rPr>
        <w:t>er</w:t>
      </w:r>
      <w:r>
        <w:rPr>
          <w:rFonts w:ascii="Arial" w:hAnsi="Arial"/>
          <w:b/>
          <w:sz w:val="22"/>
          <w:szCs w:val="22"/>
          <w:u w:val="single"/>
          <w:lang w:val="fr-FR"/>
        </w:rPr>
        <w:t xml:space="preserve"> octobre au 30 septembre suivant</w:t>
      </w:r>
      <w:r>
        <w:rPr>
          <w:rFonts w:ascii="Arial" w:hAnsi="Arial"/>
          <w:sz w:val="22"/>
          <w:szCs w:val="22"/>
          <w:lang w:val="fr-FR"/>
        </w:rPr>
        <w:t xml:space="preserve"> </w:t>
      </w:r>
      <w:r>
        <w:rPr>
          <w:rFonts w:ascii="Arial" w:hAnsi="Arial"/>
          <w:i/>
          <w:sz w:val="20"/>
          <w:lang w:val="fr-FR"/>
        </w:rPr>
        <w:t>(du 1</w:t>
      </w:r>
      <w:r>
        <w:rPr>
          <w:rFonts w:ascii="Arial" w:hAnsi="Arial"/>
          <w:i/>
          <w:sz w:val="20"/>
          <w:vertAlign w:val="superscript"/>
          <w:lang w:val="fr-FR"/>
        </w:rPr>
        <w:t>er</w:t>
      </w:r>
      <w:r>
        <w:rPr>
          <w:rFonts w:ascii="Arial" w:hAnsi="Arial"/>
          <w:i/>
          <w:sz w:val="20"/>
          <w:lang w:val="fr-FR"/>
        </w:rPr>
        <w:t xml:space="preserve"> septembre au 30 septembre de l’année suivante, la 1</w:t>
      </w:r>
      <w:r>
        <w:rPr>
          <w:rFonts w:ascii="Arial" w:hAnsi="Arial"/>
          <w:i/>
          <w:sz w:val="20"/>
          <w:vertAlign w:val="superscript"/>
          <w:lang w:val="fr-FR"/>
        </w:rPr>
        <w:t>ère</w:t>
      </w:r>
      <w:r>
        <w:rPr>
          <w:rFonts w:ascii="Arial" w:hAnsi="Arial"/>
          <w:i/>
          <w:sz w:val="20"/>
          <w:lang w:val="fr-FR"/>
        </w:rPr>
        <w:t xml:space="preserve"> année du projet)</w:t>
      </w:r>
      <w:r>
        <w:rPr>
          <w:rFonts w:ascii="Arial" w:hAnsi="Arial"/>
          <w:sz w:val="20"/>
          <w:lang w:val="fr-FR"/>
        </w:rPr>
        <w:t xml:space="preserve"> </w:t>
      </w:r>
    </w:p>
    <w:p>
      <w:pPr>
        <w:pStyle w:val="ddxbook"/>
        <w:rPr>
          <w:rFonts w:ascii="Arial" w:hAnsi="Arial"/>
          <w:sz w:val="22"/>
          <w:szCs w:val="22"/>
          <w:lang w:val="fr-FR"/>
        </w:rPr>
      </w:pPr>
      <w:r>
        <w:rPr>
          <w:rFonts w:ascii="Arial" w:hAnsi="Arial"/>
          <w:sz w:val="22"/>
          <w:szCs w:val="22"/>
          <w:lang w:val="fr-FR"/>
        </w:rPr>
        <w:t xml:space="preserve">Le chef d’établissement (dans l’enseignement organisé par </w:t>
      </w:r>
      <w:smartTag w:uri="urn:schemas-microsoft-com:office:smarttags" w:element="PersonName">
        <w:smartTagPr>
          <w:attr w:name="ProductID" w:val="la F￩d￩ration Wallonie-Bruxelles"/>
        </w:smartTagPr>
        <w:r>
          <w:rPr>
            <w:rFonts w:ascii="Arial" w:hAnsi="Arial"/>
            <w:sz w:val="22"/>
            <w:szCs w:val="22"/>
            <w:lang w:val="fr-FR"/>
          </w:rPr>
          <w:t>la Fédération Wallonie-Bruxelles</w:t>
        </w:r>
      </w:smartTag>
      <w:r>
        <w:rPr>
          <w:rFonts w:ascii="Arial" w:hAnsi="Arial"/>
          <w:sz w:val="22"/>
          <w:szCs w:val="22"/>
          <w:lang w:val="fr-FR"/>
        </w:rPr>
        <w:t>), le Pouvoir organisateur (dans l’enseignement subventionné) décide de l’attribution de ces périodes entre des instituteurs chargés des cours en immersion en langue des signes maternels et primaires.</w:t>
      </w:r>
    </w:p>
    <w:p>
      <w:pPr>
        <w:pStyle w:val="ddxbook"/>
        <w:rPr>
          <w:rFonts w:ascii="Arial" w:hAnsi="Arial"/>
          <w:sz w:val="8"/>
          <w:szCs w:val="8"/>
          <w:lang w:val="fr-FR"/>
        </w:rPr>
      </w:pPr>
    </w:p>
    <w:p>
      <w:pPr>
        <w:pStyle w:val="ddxbook"/>
        <w:rPr>
          <w:rFonts w:ascii="Arial" w:hAnsi="Arial"/>
          <w:sz w:val="22"/>
          <w:szCs w:val="22"/>
          <w:lang w:val="fr-FR"/>
        </w:rPr>
      </w:pPr>
      <w:r>
        <w:rPr>
          <w:rFonts w:ascii="Arial" w:hAnsi="Arial"/>
          <w:sz w:val="22"/>
          <w:szCs w:val="22"/>
          <w:lang w:val="fr-FR"/>
        </w:rPr>
        <w:t xml:space="preserve">Au niveau de l’enseignement maternel, lors de chaque </w:t>
      </w:r>
      <w:r>
        <w:rPr>
          <w:rFonts w:ascii="Arial" w:hAnsi="Arial"/>
          <w:b/>
          <w:sz w:val="22"/>
          <w:szCs w:val="22"/>
          <w:u w:val="single"/>
          <w:lang w:val="fr-FR"/>
        </w:rPr>
        <w:t>augmentation de cadre</w:t>
      </w:r>
      <w:r>
        <w:rPr>
          <w:rFonts w:ascii="Arial" w:hAnsi="Arial"/>
          <w:sz w:val="22"/>
          <w:szCs w:val="22"/>
          <w:lang w:val="fr-FR"/>
        </w:rPr>
        <w:t xml:space="preserve"> (voir </w:t>
      </w:r>
      <w:hyperlink w:anchor="_3.4.4._Augmentations_de" w:history="1">
        <w:r>
          <w:rPr>
            <w:rStyle w:val="Lienhypertexte"/>
            <w:rFonts w:ascii="Arial" w:hAnsi="Arial"/>
            <w:color w:val="auto"/>
            <w:sz w:val="22"/>
            <w:szCs w:val="22"/>
            <w:lang w:val="fr-FR"/>
          </w:rPr>
          <w:t>section 3.4.4.</w:t>
        </w:r>
      </w:hyperlink>
      <w:r>
        <w:rPr>
          <w:rFonts w:ascii="Arial" w:hAnsi="Arial"/>
          <w:sz w:val="22"/>
          <w:szCs w:val="22"/>
          <w:lang w:val="fr-FR"/>
        </w:rPr>
        <w:t>), un nouvel élève atteint de surdité peut générer un encadrement supplémentaire de 6 périodes, sachant que ces périodes ne seraient allouées que jusqu’au 30 juin suivant.</w:t>
      </w:r>
    </w:p>
    <w:p>
      <w:pPr>
        <w:pStyle w:val="ddxbook"/>
        <w:rPr>
          <w:rFonts w:ascii="Arial" w:hAnsi="Arial"/>
          <w:sz w:val="22"/>
          <w:szCs w:val="22"/>
          <w:lang w:val="fr-FR"/>
        </w:rPr>
      </w:pPr>
      <w:r>
        <w:rPr>
          <w:rFonts w:ascii="Arial" w:hAnsi="Arial"/>
          <w:sz w:val="22"/>
          <w:szCs w:val="22"/>
          <w:lang w:val="fr-FR"/>
        </w:rPr>
        <w:t xml:space="preserve">La demande d’encadrement spécifique réservé aux classes bilingues français-langue des signes </w:t>
      </w:r>
      <w:r>
        <w:rPr>
          <w:rFonts w:ascii="Arial" w:hAnsi="Arial"/>
          <w:b/>
          <w:sz w:val="22"/>
          <w:szCs w:val="22"/>
          <w:u w:val="single"/>
          <w:lang w:val="fr-FR"/>
        </w:rPr>
        <w:t xml:space="preserve">« formule encadrement 2ter » jointe en </w:t>
      </w:r>
      <w:hyperlink w:anchor="Annexe_342" w:history="1">
        <w:r>
          <w:rPr>
            <w:rStyle w:val="Lienhypertexte"/>
            <w:rFonts w:ascii="Arial" w:hAnsi="Arial"/>
            <w:b/>
            <w:color w:val="auto"/>
            <w:sz w:val="22"/>
            <w:szCs w:val="22"/>
            <w:lang w:val="fr-FR"/>
          </w:rPr>
          <w:t>annexe 3.4.2</w:t>
        </w:r>
      </w:hyperlink>
      <w:r>
        <w:rPr>
          <w:rFonts w:ascii="Arial" w:hAnsi="Arial"/>
          <w:sz w:val="22"/>
          <w:szCs w:val="22"/>
          <w:lang w:val="fr-FR"/>
        </w:rPr>
        <w:t xml:space="preserve"> doit être introduite dans un délai maximum de 10 jours après la date de comptage à l’adresse suivante:</w:t>
      </w:r>
    </w:p>
    <w:p>
      <w:pPr>
        <w:pBdr>
          <w:top w:val="single" w:sz="4" w:space="1" w:color="auto"/>
          <w:left w:val="single" w:sz="4" w:space="4" w:color="auto"/>
          <w:bottom w:val="single" w:sz="4" w:space="1" w:color="auto"/>
          <w:right w:val="single" w:sz="4" w:space="4" w:color="auto"/>
        </w:pBdr>
        <w:spacing w:before="120"/>
        <w:ind w:left="179"/>
        <w:jc w:val="center"/>
      </w:pPr>
      <w:r>
        <w:t>Direction générale de l'Enseignement obligatoire</w:t>
      </w:r>
    </w:p>
    <w:p>
      <w:pPr>
        <w:pBdr>
          <w:top w:val="single" w:sz="4" w:space="1" w:color="auto"/>
          <w:left w:val="single" w:sz="4" w:space="4" w:color="auto"/>
          <w:bottom w:val="single" w:sz="4" w:space="1" w:color="auto"/>
          <w:right w:val="single" w:sz="4" w:space="4" w:color="auto"/>
        </w:pBdr>
        <w:ind w:left="179"/>
        <w:jc w:val="center"/>
      </w:pPr>
      <w:r>
        <w:t xml:space="preserve">Direction de l'Organisation des Etablissements d’Enseignement fondamental ordinaire </w:t>
      </w:r>
    </w:p>
    <w:p>
      <w:pPr>
        <w:pBdr>
          <w:top w:val="single" w:sz="4" w:space="1" w:color="auto"/>
          <w:left w:val="single" w:sz="4" w:space="4" w:color="auto"/>
          <w:bottom w:val="single" w:sz="4" w:space="1" w:color="auto"/>
          <w:right w:val="single" w:sz="4" w:space="4" w:color="auto"/>
        </w:pBdr>
        <w:ind w:left="179"/>
        <w:jc w:val="center"/>
      </w:pPr>
      <w:r>
        <w:t>Rue Adolphe Lavallée, 1 – 2F211</w:t>
      </w:r>
    </w:p>
    <w:p>
      <w:pPr>
        <w:pBdr>
          <w:top w:val="single" w:sz="4" w:space="1" w:color="auto"/>
          <w:left w:val="single" w:sz="4" w:space="4" w:color="auto"/>
          <w:bottom w:val="single" w:sz="4" w:space="1" w:color="auto"/>
          <w:right w:val="single" w:sz="4" w:space="4" w:color="auto"/>
        </w:pBdr>
        <w:ind w:left="179"/>
        <w:jc w:val="center"/>
      </w:pPr>
      <w:r>
        <w:t>1080  Bruxelles</w:t>
      </w:r>
    </w:p>
    <w:p>
      <w:pPr>
        <w:pStyle w:val="Titre2"/>
      </w:pPr>
      <w:bookmarkStart w:id="1421" w:name="_Chapitre_4.5._Cours"/>
      <w:bookmarkEnd w:id="1421"/>
      <w:r>
        <w:br w:type="page"/>
      </w:r>
      <w:bookmarkStart w:id="1422" w:name="_Toc295932077"/>
      <w:bookmarkStart w:id="1423" w:name="_Toc295913796"/>
      <w:bookmarkStart w:id="1424" w:name="_Toc423420111"/>
      <w:bookmarkStart w:id="1425" w:name="_Toc450645318"/>
      <w:bookmarkStart w:id="1426" w:name="_Toc453942557"/>
      <w:bookmarkStart w:id="1427" w:name="_Toc454888174"/>
      <w:bookmarkStart w:id="1428" w:name="_Toc486241834"/>
      <w:r>
        <w:t>Chapitre 4.5.</w:t>
      </w:r>
      <w:r>
        <w:tab/>
        <w:t>Cours d'éducation physique</w:t>
      </w:r>
      <w:bookmarkEnd w:id="1422"/>
      <w:bookmarkEnd w:id="1423"/>
      <w:bookmarkEnd w:id="1424"/>
      <w:bookmarkEnd w:id="1425"/>
      <w:bookmarkEnd w:id="1426"/>
      <w:bookmarkEnd w:id="1427"/>
      <w:bookmarkEnd w:id="1428"/>
    </w:p>
    <w:p>
      <w:pPr>
        <w:rPr>
          <w:i/>
          <w:sz w:val="28"/>
          <w:szCs w:val="28"/>
        </w:rPr>
      </w:pPr>
    </w:p>
    <w:p>
      <w:pPr>
        <w:tabs>
          <w:tab w:val="left" w:pos="1800"/>
        </w:tabs>
        <w:ind w:left="1799" w:hanging="1800"/>
        <w:rPr>
          <w:i/>
        </w:rPr>
      </w:pPr>
      <w:r>
        <w:rPr>
          <w:b/>
          <w:i/>
          <w:u w:val="single"/>
        </w:rPr>
        <w:t>Bases légales</w:t>
      </w:r>
      <w:r>
        <w:rPr>
          <w:i/>
        </w:rPr>
        <w:t xml:space="preserve">: </w:t>
      </w:r>
      <w:r>
        <w:rPr>
          <w:i/>
        </w:rPr>
        <w:tab/>
      </w:r>
      <w:hyperlink r:id="rId127" w:history="1">
        <w:r>
          <w:rPr>
            <w:rStyle w:val="Lienhypertexte"/>
            <w:i/>
            <w:color w:val="auto"/>
          </w:rPr>
          <w:t>Décret-cadre du 13/07/1998 article 9</w:t>
        </w:r>
      </w:hyperlink>
      <w:r>
        <w:rPr>
          <w:i/>
        </w:rPr>
        <w:br/>
      </w:r>
      <w:hyperlink r:id="rId128" w:history="1">
        <w:r>
          <w:rPr>
            <w:rStyle w:val="Lienhypertexte"/>
            <w:i/>
            <w:color w:val="auto"/>
          </w:rPr>
          <w:t>Décret-Missions du 24/07/1997article 8, 5°</w:t>
        </w:r>
      </w:hyperlink>
    </w:p>
    <w:p>
      <w:pPr>
        <w:rPr>
          <w:sz w:val="28"/>
          <w:szCs w:val="28"/>
        </w:rPr>
      </w:pPr>
    </w:p>
    <w:p>
      <w:pPr>
        <w:jc w:val="both"/>
        <w:rPr>
          <w:b/>
          <w:i/>
        </w:rPr>
      </w:pPr>
      <w:r>
        <w:rPr>
          <w:b/>
          <w:i/>
        </w:rPr>
        <w:t>Ce chapitre abroge et remplace la circulaire n°161 du 19/08/2003 et la circulaire "Dispenses" du 03/06/2002.</w:t>
      </w:r>
    </w:p>
    <w:p>
      <w:pPr>
        <w:rPr>
          <w:sz w:val="28"/>
          <w:szCs w:val="28"/>
        </w:rPr>
      </w:pPr>
    </w:p>
    <w:p>
      <w:pPr>
        <w:pStyle w:val="Titre3"/>
      </w:pPr>
      <w:bookmarkStart w:id="1429" w:name="_Toc295932078"/>
      <w:bookmarkStart w:id="1430" w:name="_Toc295913797"/>
      <w:bookmarkStart w:id="1431" w:name="_Toc423420112"/>
      <w:bookmarkStart w:id="1432" w:name="_Toc450645319"/>
      <w:bookmarkStart w:id="1433" w:name="_Toc453942558"/>
      <w:bookmarkStart w:id="1434" w:name="_Toc454888175"/>
      <w:bookmarkStart w:id="1435" w:name="_Toc486241835"/>
      <w:r>
        <w:t>4.5.1.</w:t>
      </w:r>
      <w:r>
        <w:tab/>
        <w:t>Dispositions générales</w:t>
      </w:r>
      <w:bookmarkEnd w:id="1429"/>
      <w:bookmarkEnd w:id="1430"/>
      <w:bookmarkEnd w:id="1431"/>
      <w:bookmarkEnd w:id="1432"/>
      <w:bookmarkEnd w:id="1433"/>
      <w:bookmarkEnd w:id="1434"/>
      <w:bookmarkEnd w:id="1435"/>
    </w:p>
    <w:p>
      <w:pPr>
        <w:jc w:val="both"/>
      </w:pPr>
    </w:p>
    <w:p>
      <w:pPr>
        <w:jc w:val="both"/>
      </w:pPr>
      <w:r>
        <w:t>Le cours d’éducation physique fait partie de la formation commune obligatoire dans l’enseignement primaire. Le contrôle du niveau des études porte aussi sur cette formation tel qu’il est stipulé dans l’article 8, 5</w:t>
      </w:r>
      <w:r>
        <w:rPr>
          <w:vertAlign w:val="superscript"/>
        </w:rPr>
        <w:t xml:space="preserve">° </w:t>
      </w:r>
      <w:r>
        <w:t>du Décret-Missions du 24/07/1997.</w:t>
      </w:r>
    </w:p>
    <w:p>
      <w:pPr>
        <w:jc w:val="both"/>
      </w:pPr>
    </w:p>
    <w:p>
      <w:pPr>
        <w:jc w:val="both"/>
      </w:pPr>
      <w:r>
        <w:t>Il est autorisé de regrouper les élèves d’un même degré pour l’éducation physique, pour autant que le groupe d’élèves ne dépasse pas 25.</w:t>
      </w:r>
    </w:p>
    <w:p/>
    <w:p>
      <w:pPr>
        <w:pStyle w:val="Titre3"/>
      </w:pPr>
      <w:bookmarkStart w:id="1436" w:name="_Toc295932079"/>
      <w:bookmarkStart w:id="1437" w:name="_Toc295913798"/>
      <w:bookmarkStart w:id="1438" w:name="_Toc423420113"/>
      <w:bookmarkStart w:id="1439" w:name="_Toc450645320"/>
      <w:bookmarkStart w:id="1440" w:name="_Toc453942559"/>
      <w:bookmarkStart w:id="1441" w:name="_Toc454888176"/>
      <w:bookmarkStart w:id="1442" w:name="_Toc486241836"/>
      <w:r>
        <w:t>4.5.2.</w:t>
      </w:r>
      <w:r>
        <w:tab/>
        <w:t>Dispenses</w:t>
      </w:r>
      <w:bookmarkEnd w:id="1436"/>
      <w:bookmarkEnd w:id="1437"/>
      <w:bookmarkEnd w:id="1438"/>
      <w:bookmarkEnd w:id="1439"/>
      <w:bookmarkEnd w:id="1440"/>
      <w:bookmarkEnd w:id="1441"/>
      <w:bookmarkEnd w:id="1442"/>
    </w:p>
    <w:p/>
    <w:p>
      <w:pPr>
        <w:jc w:val="both"/>
      </w:pPr>
      <w:r>
        <w:t>Seules les dispenses pour des raisons médicales peuvent être accordées. Si une dispense est demandée pour plus de deux périodes d’éducation physique, elle doit être couverte par un certificat médical ou par une attestation délivrée par un centre hospitalier.</w:t>
      </w:r>
    </w:p>
    <w:p>
      <w:pPr>
        <w:jc w:val="both"/>
      </w:pPr>
    </w:p>
    <w:p>
      <w:pPr>
        <w:jc w:val="both"/>
      </w:pPr>
      <w:r>
        <w:t xml:space="preserve">En cas de dispense, le Pouvoir organisateur dans l’enseignement subventionné, le Directeur dans l’enseignement organisé par </w:t>
      </w:r>
      <w:smartTag w:uri="urn:schemas-microsoft-com:office:smarttags" w:element="PersonName">
        <w:smartTagPr>
          <w:attr w:name="ProductID" w:val="la F￩d￩ration Wallonie-Bruxelles"/>
        </w:smartTagPr>
        <w:r>
          <w:t>la Fédération Wallonie-Bruxelles</w:t>
        </w:r>
      </w:smartTag>
      <w:r>
        <w:t>, est dans l’obligation de veiller à ce que cet élève soit pris en charge au sein de l’institution.</w:t>
      </w:r>
    </w:p>
    <w:p/>
    <w:p>
      <w:pPr>
        <w:pStyle w:val="Titre3"/>
      </w:pPr>
      <w:bookmarkStart w:id="1443" w:name="_Toc295932080"/>
      <w:bookmarkStart w:id="1444" w:name="_Toc295913799"/>
      <w:bookmarkStart w:id="1445" w:name="_Toc423420114"/>
      <w:bookmarkStart w:id="1446" w:name="_Toc450645321"/>
      <w:bookmarkStart w:id="1447" w:name="_Toc453942560"/>
      <w:bookmarkStart w:id="1448" w:name="_Toc454888177"/>
      <w:bookmarkStart w:id="1449" w:name="_Toc486241837"/>
      <w:r>
        <w:t>4.5.3.</w:t>
      </w:r>
      <w:r>
        <w:tab/>
      </w:r>
      <w:bookmarkEnd w:id="1443"/>
      <w:bookmarkEnd w:id="1444"/>
      <w:r>
        <w:t>Organisation des cours de natation</w:t>
      </w:r>
      <w:bookmarkEnd w:id="1445"/>
      <w:bookmarkEnd w:id="1446"/>
      <w:bookmarkEnd w:id="1447"/>
      <w:bookmarkEnd w:id="1448"/>
      <w:bookmarkEnd w:id="1449"/>
    </w:p>
    <w:p>
      <w:pPr>
        <w:pStyle w:val="Titre4"/>
      </w:pPr>
      <w:bookmarkStart w:id="1450" w:name="_Toc423420115"/>
      <w:bookmarkStart w:id="1451" w:name="_Toc450645322"/>
      <w:bookmarkStart w:id="1452" w:name="_Toc453942561"/>
      <w:bookmarkStart w:id="1453" w:name="_Toc454888178"/>
      <w:bookmarkStart w:id="1454" w:name="_Toc486241838"/>
      <w:r>
        <w:t>4.5.3.1. Encadrement du cours de natation</w:t>
      </w:r>
      <w:bookmarkEnd w:id="1450"/>
      <w:bookmarkEnd w:id="1451"/>
      <w:bookmarkEnd w:id="1452"/>
      <w:bookmarkEnd w:id="1453"/>
      <w:bookmarkEnd w:id="1454"/>
    </w:p>
    <w:p>
      <w:pPr>
        <w:rPr>
          <w:lang w:val="fr-BE"/>
        </w:rPr>
      </w:pPr>
    </w:p>
    <w:p>
      <w:pPr>
        <w:autoSpaceDE w:val="0"/>
        <w:autoSpaceDN w:val="0"/>
        <w:adjustRightInd w:val="0"/>
        <w:jc w:val="both"/>
        <w:rPr>
          <w:rFonts w:cs="Arial"/>
          <w:b/>
          <w:bCs/>
          <w:i/>
          <w:iCs/>
          <w:szCs w:val="22"/>
        </w:rPr>
      </w:pPr>
      <w:r>
        <w:rPr>
          <w:rFonts w:cs="Arial"/>
          <w:b/>
          <w:bCs/>
          <w:i/>
          <w:iCs/>
          <w:szCs w:val="22"/>
        </w:rPr>
        <w:t>Dans l’enseignement primaire</w:t>
      </w:r>
    </w:p>
    <w:p>
      <w:pPr>
        <w:autoSpaceDE w:val="0"/>
        <w:autoSpaceDN w:val="0"/>
        <w:adjustRightInd w:val="0"/>
        <w:jc w:val="both"/>
        <w:rPr>
          <w:rFonts w:cs="Arial"/>
          <w:b/>
          <w:bCs/>
          <w:i/>
          <w:iCs/>
          <w:szCs w:val="22"/>
        </w:rPr>
      </w:pPr>
    </w:p>
    <w:p>
      <w:pPr>
        <w:autoSpaceDE w:val="0"/>
        <w:autoSpaceDN w:val="0"/>
        <w:adjustRightInd w:val="0"/>
        <w:jc w:val="both"/>
        <w:rPr>
          <w:rFonts w:cs="Arial"/>
          <w:szCs w:val="22"/>
        </w:rPr>
      </w:pPr>
      <w:r>
        <w:rPr>
          <w:rFonts w:cs="Arial"/>
          <w:szCs w:val="22"/>
        </w:rPr>
        <w:t>Dans le cadre du cours d’éducation physique, des leçons de natation sont régulièrement données dans l’enseignement primaire. Cet apprentissage est assuré par un maître spécial d’éducation physique.</w:t>
      </w:r>
    </w:p>
    <w:p>
      <w:pPr>
        <w:autoSpaceDE w:val="0"/>
        <w:autoSpaceDN w:val="0"/>
        <w:adjustRightInd w:val="0"/>
        <w:jc w:val="both"/>
        <w:rPr>
          <w:rFonts w:cs="Arial"/>
          <w:szCs w:val="22"/>
        </w:rPr>
      </w:pPr>
      <w:r>
        <w:rPr>
          <w:rFonts w:cs="Arial"/>
          <w:szCs w:val="22"/>
        </w:rPr>
        <w:t>Les compétences de base à atteindre sont définies dans les Socles de compétences. L’élève devra adopter une attitude de sécurité en milieu aquatique, il devra pouvoir flotter, se propulser et nager en fin de 6</w:t>
      </w:r>
      <w:r>
        <w:rPr>
          <w:rFonts w:cs="Arial"/>
          <w:szCs w:val="22"/>
          <w:vertAlign w:val="superscript"/>
        </w:rPr>
        <w:t>e</w:t>
      </w:r>
      <w:r>
        <w:rPr>
          <w:rFonts w:cs="Arial"/>
          <w:sz w:val="14"/>
          <w:szCs w:val="14"/>
        </w:rPr>
        <w:t xml:space="preserve"> </w:t>
      </w:r>
      <w:r>
        <w:rPr>
          <w:rFonts w:cs="Arial"/>
          <w:szCs w:val="22"/>
        </w:rPr>
        <w:t>année primaire.</w:t>
      </w:r>
    </w:p>
    <w:p>
      <w:pPr>
        <w:autoSpaceDE w:val="0"/>
        <w:autoSpaceDN w:val="0"/>
        <w:adjustRightInd w:val="0"/>
        <w:jc w:val="both"/>
        <w:rPr>
          <w:rFonts w:cs="Arial"/>
          <w:szCs w:val="22"/>
        </w:rPr>
      </w:pPr>
    </w:p>
    <w:p>
      <w:pPr>
        <w:autoSpaceDE w:val="0"/>
        <w:autoSpaceDN w:val="0"/>
        <w:adjustRightInd w:val="0"/>
        <w:jc w:val="both"/>
        <w:rPr>
          <w:rFonts w:cs="Arial"/>
          <w:b/>
          <w:bCs/>
          <w:i/>
          <w:iCs/>
          <w:szCs w:val="22"/>
        </w:rPr>
      </w:pPr>
      <w:r>
        <w:rPr>
          <w:rFonts w:cs="Arial"/>
          <w:b/>
          <w:bCs/>
          <w:i/>
          <w:iCs/>
          <w:szCs w:val="22"/>
        </w:rPr>
        <w:t>Dans l’enseignement maternel</w:t>
      </w:r>
    </w:p>
    <w:p>
      <w:pPr>
        <w:autoSpaceDE w:val="0"/>
        <w:autoSpaceDN w:val="0"/>
        <w:adjustRightInd w:val="0"/>
        <w:jc w:val="both"/>
        <w:rPr>
          <w:rFonts w:cs="Arial"/>
          <w:b/>
          <w:bCs/>
          <w:i/>
          <w:iCs/>
          <w:sz w:val="20"/>
          <w:szCs w:val="20"/>
        </w:rPr>
      </w:pPr>
    </w:p>
    <w:p>
      <w:pPr>
        <w:autoSpaceDE w:val="0"/>
        <w:autoSpaceDN w:val="0"/>
        <w:adjustRightInd w:val="0"/>
        <w:jc w:val="both"/>
        <w:rPr>
          <w:rFonts w:cs="Arial"/>
          <w:szCs w:val="22"/>
        </w:rPr>
      </w:pPr>
      <w:r>
        <w:rPr>
          <w:rFonts w:cs="Arial"/>
          <w:szCs w:val="22"/>
        </w:rPr>
        <w:t xml:space="preserve">Il n’est pas prévu que des cours de natation soient dispensés aux élèves. Si un tel cours était néanmoins donné, dans le cadre d’une activité éducative spécifique, l’encadrement devrait être assuré, au minimum, par un instituteur maternel. Ce titulaire reste le garant des apprentissages menés avec ses élèves. Il appartient, le cas échéant, aux Directeurs, dans l’enseignement organisé par </w:t>
      </w:r>
      <w:smartTag w:uri="urn:schemas-microsoft-com:office:smarttags" w:element="PersonName">
        <w:smartTagPr>
          <w:attr w:name="ProductID" w:val="la F￩d￩ration Wallonie-Bruxelles"/>
        </w:smartTagPr>
        <w:r>
          <w:rPr>
            <w:rFonts w:cs="Arial"/>
            <w:szCs w:val="22"/>
          </w:rPr>
          <w:t>la Fédération Wallonie-Bruxelles</w:t>
        </w:r>
      </w:smartTag>
      <w:r>
        <w:rPr>
          <w:rFonts w:cs="Arial"/>
          <w:szCs w:val="22"/>
        </w:rPr>
        <w:t>, ou aux Pouvoirs organisateurs, dans l’enseignement subventionné, de prévoir un encadrement complémentaire lorsque celui-ci est nécessaire pour que soient assurées la qualité des apprentissages et la sécurité des élèves.</w:t>
      </w: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pStyle w:val="Titre4"/>
      </w:pPr>
      <w:bookmarkStart w:id="1455" w:name="_Toc423420116"/>
      <w:bookmarkStart w:id="1456" w:name="_Toc450645323"/>
      <w:bookmarkStart w:id="1457" w:name="_Toc453942562"/>
      <w:bookmarkStart w:id="1458" w:name="_Toc454888179"/>
      <w:bookmarkStart w:id="1459" w:name="_Toc486241839"/>
      <w:r>
        <w:t>4.5.3.2. La surveillance des élèves et les prestations des enseignants titulaires</w:t>
      </w:r>
      <w:bookmarkEnd w:id="1455"/>
      <w:bookmarkEnd w:id="1456"/>
      <w:bookmarkEnd w:id="1457"/>
      <w:bookmarkEnd w:id="1458"/>
      <w:bookmarkEnd w:id="1459"/>
    </w:p>
    <w:p>
      <w:pPr>
        <w:autoSpaceDE w:val="0"/>
        <w:autoSpaceDN w:val="0"/>
        <w:adjustRightInd w:val="0"/>
        <w:rPr>
          <w:rFonts w:cs="Arial"/>
          <w:b/>
          <w:bCs/>
          <w:i/>
          <w:iCs/>
          <w:szCs w:val="22"/>
        </w:rPr>
      </w:pPr>
    </w:p>
    <w:p>
      <w:pPr>
        <w:autoSpaceDE w:val="0"/>
        <w:autoSpaceDN w:val="0"/>
        <w:adjustRightInd w:val="0"/>
        <w:rPr>
          <w:rFonts w:cs="Arial"/>
          <w:b/>
          <w:bCs/>
          <w:i/>
          <w:iCs/>
          <w:szCs w:val="22"/>
        </w:rPr>
      </w:pPr>
      <w:r>
        <w:rPr>
          <w:rFonts w:cs="Arial"/>
          <w:b/>
          <w:bCs/>
          <w:i/>
          <w:iCs/>
          <w:szCs w:val="22"/>
        </w:rPr>
        <w:t>Dans l’enseignement primaire</w:t>
      </w:r>
    </w:p>
    <w:p>
      <w:pPr>
        <w:autoSpaceDE w:val="0"/>
        <w:autoSpaceDN w:val="0"/>
        <w:adjustRightInd w:val="0"/>
        <w:spacing w:before="120"/>
        <w:jc w:val="both"/>
        <w:rPr>
          <w:rFonts w:cs="Arial"/>
          <w:szCs w:val="22"/>
        </w:rPr>
      </w:pPr>
      <w:r>
        <w:rPr>
          <w:rFonts w:cs="Arial"/>
          <w:szCs w:val="22"/>
        </w:rPr>
        <w:t>Le Pouvoir organisateur ou le Directeur peut affecter des titulaires ou des maîtres spéciaux à l’accompagnement des élèves durant les déplacements de l’école vers la piscine et de la piscine vers l’école ou durant le temps passé dans les vestiaires. Dans ce cas, ces prestations font partie des 24 périodes de cours</w:t>
      </w:r>
      <w:r>
        <w:rPr>
          <w:rStyle w:val="Appelnotedebasdep"/>
          <w:rFonts w:cs="Arial"/>
          <w:szCs w:val="22"/>
        </w:rPr>
        <w:footnoteReference w:id="75"/>
      </w:r>
      <w:r>
        <w:rPr>
          <w:rFonts w:cs="Arial"/>
          <w:szCs w:val="22"/>
        </w:rPr>
        <w:t>, pour autant que ces déplacements et ces temps de vestiaire aient lieu durant l’horaire définissant l’utilisation des 28 périodes hebdomadaires consacrées aux cours et activités de l’élève. Dans le cas contraire (exemple: si une classe fait le déplacement vers la piscine pendant une récréation), ces prestations ne font pas partie des 24 périodes de cours, mais doivent être incluses dans les limites de la durée totale des prestations de cours et de surveillances de 1560 minutes par semaine.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Sauf circonstance particulière à apprécier par le Directeur, dans l’enseignement organisé par la Fédération Wallonie-Bruxelles, ou par le Pouvoir organisateur, dans l’enseignement subventionné, les titulaires de classe n’ont pas de tâches de surveillance spécifique à assurer pendant la prise en charge de la classe par le maître spécial d’éducation physique. Cette période de cours fait partie des 2 périodes hebdomadaires d’éducation physique.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Toutefois, pendant la leçon de natation, s’il l’estime nécessaire et dans la limite de la durée totale des prestations de surveillance et de cours de 1560 minutes par semaine, le Directeur, dans l’enseignement organisé par la Fédération Wallonie-Bruxelles, ou le Pouvoir organisateur, dans l’enseignement subventionné, peut affecter des titulaires à une tâche de surveillance des élèves.</w:t>
      </w:r>
    </w:p>
    <w:p>
      <w:pPr>
        <w:autoSpaceDE w:val="0"/>
        <w:autoSpaceDN w:val="0"/>
        <w:adjustRightInd w:val="0"/>
        <w:jc w:val="both"/>
        <w:rPr>
          <w:rFonts w:cs="Arial"/>
          <w:szCs w:val="22"/>
        </w:rPr>
      </w:pPr>
    </w:p>
    <w:p>
      <w:pPr>
        <w:autoSpaceDE w:val="0"/>
        <w:autoSpaceDN w:val="0"/>
        <w:adjustRightInd w:val="0"/>
        <w:jc w:val="both"/>
        <w:rPr>
          <w:rFonts w:cs="Arial"/>
          <w:b/>
          <w:bCs/>
          <w:i/>
          <w:iCs/>
          <w:szCs w:val="22"/>
        </w:rPr>
      </w:pPr>
      <w:r>
        <w:rPr>
          <w:rFonts w:cs="Arial"/>
          <w:b/>
          <w:bCs/>
          <w:i/>
          <w:iCs/>
          <w:szCs w:val="22"/>
        </w:rPr>
        <w:t>Dans l’enseignement maternel</w:t>
      </w:r>
    </w:p>
    <w:p>
      <w:pPr>
        <w:autoSpaceDE w:val="0"/>
        <w:autoSpaceDN w:val="0"/>
        <w:adjustRightInd w:val="0"/>
        <w:spacing w:before="120"/>
        <w:jc w:val="both"/>
        <w:rPr>
          <w:rFonts w:cs="Arial"/>
          <w:szCs w:val="22"/>
        </w:rPr>
      </w:pPr>
      <w:r>
        <w:rPr>
          <w:rFonts w:cs="Arial"/>
          <w:szCs w:val="22"/>
        </w:rPr>
        <w:t>Les temps de surveillance du titulaire durant le trajet et les vestiaires sont considérés comme un temps d’apprentissage lorsque ces activités se déroulent durant les 26 périodes de cours</w:t>
      </w:r>
      <w:r>
        <w:rPr>
          <w:rStyle w:val="Appelnotedebasdep"/>
          <w:rFonts w:cs="Arial"/>
          <w:szCs w:val="22"/>
        </w:rPr>
        <w:footnoteReference w:id="76"/>
      </w:r>
      <w:r>
        <w:rPr>
          <w:rFonts w:cs="Arial"/>
          <w:szCs w:val="22"/>
        </w:rPr>
        <w:t xml:space="preserve"> de l’enseignant-accompagnateur. Ils sont considérés comme un temps de surveillance lorsque ces activités se déroulent en dehors des périodes de cours de l’enseignant-accompagnateur (exemple: pendant la récréation,…).</w:t>
      </w:r>
    </w:p>
    <w:p>
      <w:pPr>
        <w:autoSpaceDE w:val="0"/>
        <w:autoSpaceDN w:val="0"/>
        <w:adjustRightInd w:val="0"/>
        <w:jc w:val="both"/>
        <w:rPr>
          <w:rFonts w:cs="Arial"/>
          <w:szCs w:val="22"/>
        </w:rPr>
      </w:pPr>
      <w:r>
        <w:rPr>
          <w:rFonts w:cs="Arial"/>
          <w:szCs w:val="22"/>
        </w:rPr>
        <w:t>Pendant le déroulement de la leçon de natation, l’enseignant titulaire est donc en charge de cours.</w:t>
      </w:r>
    </w:p>
    <w:p>
      <w:pPr>
        <w:autoSpaceDE w:val="0"/>
        <w:autoSpaceDN w:val="0"/>
        <w:adjustRightInd w:val="0"/>
        <w:rPr>
          <w:rFonts w:cs="Arial"/>
          <w:szCs w:val="22"/>
        </w:rPr>
      </w:pPr>
    </w:p>
    <w:p>
      <w:pPr>
        <w:pStyle w:val="Titre4"/>
      </w:pPr>
      <w:bookmarkStart w:id="1460" w:name="Section4_4_3_3"/>
      <w:bookmarkStart w:id="1461" w:name="_Toc423420117"/>
      <w:bookmarkStart w:id="1462" w:name="_Toc450645324"/>
      <w:bookmarkStart w:id="1463" w:name="_Toc453942563"/>
      <w:bookmarkStart w:id="1464" w:name="_Toc454888180"/>
      <w:bookmarkStart w:id="1465" w:name="_Toc486241840"/>
      <w:r>
        <w:t>4.5.3.3.</w:t>
      </w:r>
      <w:bookmarkEnd w:id="1460"/>
      <w:r>
        <w:t xml:space="preserve"> La sécurité des élèves et les gestionnaires des piscines</w:t>
      </w:r>
      <w:bookmarkEnd w:id="1461"/>
      <w:bookmarkEnd w:id="1462"/>
      <w:bookmarkEnd w:id="1463"/>
      <w:bookmarkEnd w:id="1464"/>
      <w:bookmarkEnd w:id="1465"/>
    </w:p>
    <w:p>
      <w:pPr>
        <w:autoSpaceDE w:val="0"/>
        <w:autoSpaceDN w:val="0"/>
        <w:adjustRightInd w:val="0"/>
        <w:rPr>
          <w:rFonts w:cs="Arial"/>
          <w:b/>
          <w:bCs/>
          <w:i/>
          <w:iCs/>
          <w:sz w:val="20"/>
          <w:szCs w:val="20"/>
        </w:rPr>
      </w:pPr>
    </w:p>
    <w:p>
      <w:pPr>
        <w:autoSpaceDE w:val="0"/>
        <w:autoSpaceDN w:val="0"/>
        <w:adjustRightInd w:val="0"/>
        <w:jc w:val="both"/>
        <w:rPr>
          <w:rFonts w:cs="Arial"/>
          <w:szCs w:val="22"/>
        </w:rPr>
      </w:pPr>
      <w:r>
        <w:rPr>
          <w:rFonts w:cs="Arial"/>
          <w:szCs w:val="22"/>
        </w:rPr>
        <w:t xml:space="preserve">Il convient de rappeler que le Directeur, dans l’enseignement organisé par </w:t>
      </w:r>
      <w:smartTag w:uri="urn:schemas-microsoft-com:office:smarttags" w:element="PersonName">
        <w:smartTagPr>
          <w:attr w:name="ProductID" w:val="la F￩d￩ration Wallonie-Bruxelles"/>
        </w:smartTagPr>
        <w:r>
          <w:rPr>
            <w:rFonts w:cs="Arial"/>
            <w:szCs w:val="22"/>
          </w:rPr>
          <w:t>la Fédération Wallonie-Bruxelles</w:t>
        </w:r>
      </w:smartTag>
      <w:r>
        <w:rPr>
          <w:rFonts w:cs="Arial"/>
          <w:szCs w:val="22"/>
        </w:rPr>
        <w:t>, ou le Pouvoir organisateur, dans l’enseignement subventionné, doit, à tout moment, organiser l’encadrement des élèves de manière à garantir leur sécurité. Ainsi, il ne peut pas, en particulier pour des activités en piscine, confier un nombre déraisonnable d’élèves à un seul maître spécial d’éducation physique. En cas d'accident, leur responsabilité pourrait être engagée s'ils ont manqué à cette obligation d'organisation, c'est-à-dire s'ils ont chargé d'une tâche irréalisable les seuls maîtres d'éducation physique.</w:t>
      </w:r>
    </w:p>
    <w:p>
      <w:pPr>
        <w:autoSpaceDE w:val="0"/>
        <w:autoSpaceDN w:val="0"/>
        <w:adjustRightInd w:val="0"/>
        <w:jc w:val="both"/>
        <w:rPr>
          <w:rFonts w:cs="Arial"/>
          <w:szCs w:val="22"/>
        </w:rPr>
      </w:pPr>
      <w:r>
        <w:rPr>
          <w:rFonts w:cs="Arial"/>
          <w:szCs w:val="22"/>
        </w:rPr>
        <w:t>Personne n’est à l’abri absolu de tout accident dans la pratique d’un sport.</w:t>
      </w:r>
    </w:p>
    <w:p>
      <w:pPr>
        <w:autoSpaceDE w:val="0"/>
        <w:autoSpaceDN w:val="0"/>
        <w:adjustRightInd w:val="0"/>
        <w:jc w:val="both"/>
        <w:rPr>
          <w:rFonts w:cs="Arial"/>
          <w:szCs w:val="22"/>
        </w:rPr>
      </w:pPr>
      <w:r>
        <w:rPr>
          <w:rFonts w:cs="Arial"/>
          <w:szCs w:val="22"/>
        </w:rPr>
        <w:t>Il va de soi aussi que toute personne et en particulier tout enseignant qui serait placé dans une situation où un élève court un danger, devrait, selon ses capacités propres, prendre toute initiative de manière à faire cesser le danger. C’est d’abord une règle morale. C’est aussi une règle générale de droit.</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Il convient également de préciser que dans la mesure où des consignes visant la sécurité des enfants sont explicitement édictées dans le règlement d’ordre intérieur rédigé par l’exploitant de la piscine, les enseignants et les élèves sont tenus de s’y conformer en tous points.</w:t>
      </w:r>
    </w:p>
    <w:p>
      <w:pPr>
        <w:autoSpaceDE w:val="0"/>
        <w:autoSpaceDN w:val="0"/>
        <w:adjustRightInd w:val="0"/>
        <w:jc w:val="both"/>
        <w:rPr>
          <w:rFonts w:cs="Arial"/>
          <w:szCs w:val="22"/>
        </w:rPr>
      </w:pPr>
      <w:r>
        <w:rPr>
          <w:rFonts w:cs="Arial"/>
          <w:szCs w:val="22"/>
        </w:rPr>
        <w:t>Les prescrits légaux</w:t>
      </w:r>
      <w:r>
        <w:rPr>
          <w:rStyle w:val="Appelnotedebasdep"/>
          <w:rFonts w:cs="Arial"/>
          <w:szCs w:val="22"/>
        </w:rPr>
        <w:footnoteReference w:id="77"/>
      </w:r>
      <w:r>
        <w:rPr>
          <w:rFonts w:cs="Arial"/>
          <w:szCs w:val="22"/>
        </w:rPr>
        <w:t xml:space="preserve"> précisent que les personnes responsables de la sécurité des baigneurs doivent être en possession du brevet supérieur de sauvetage aquatique (bassin d’une hauteur d’eau supérieure à </w:t>
      </w:r>
      <w:smartTag w:uri="urn:schemas-microsoft-com:office:smarttags" w:element="metricconverter">
        <w:smartTagPr>
          <w:attr w:name="ProductID" w:val="1,4 m"/>
        </w:smartTagPr>
        <w:r>
          <w:rPr>
            <w:rFonts w:cs="Arial"/>
            <w:szCs w:val="22"/>
          </w:rPr>
          <w:t>1,4 m</w:t>
        </w:r>
      </w:smartTag>
      <w:r>
        <w:rPr>
          <w:rFonts w:cs="Arial"/>
          <w:szCs w:val="22"/>
        </w:rPr>
        <w:t xml:space="preserve"> en Région wallonne et </w:t>
      </w:r>
      <w:smartTag w:uri="urn:schemas-microsoft-com:office:smarttags" w:element="metricconverter">
        <w:smartTagPr>
          <w:attr w:name="ProductID" w:val="1,5 m"/>
        </w:smartTagPr>
        <w:r>
          <w:rPr>
            <w:rFonts w:cs="Arial"/>
            <w:szCs w:val="22"/>
          </w:rPr>
          <w:t>1,5 m</w:t>
        </w:r>
      </w:smartTag>
      <w:r>
        <w:rPr>
          <w:rFonts w:cs="Arial"/>
          <w:szCs w:val="22"/>
        </w:rPr>
        <w:t xml:space="preserve"> en Région de Bruxelles-Capitale) ou du brevet de base de sauvetage (bassin d’une hauteur d’eau inférieure à </w:t>
      </w:r>
      <w:smartTag w:uri="urn:schemas-microsoft-com:office:smarttags" w:element="metricconverter">
        <w:smartTagPr>
          <w:attr w:name="ProductID" w:val="1,4 m"/>
        </w:smartTagPr>
        <w:r>
          <w:rPr>
            <w:rFonts w:cs="Arial"/>
            <w:szCs w:val="22"/>
          </w:rPr>
          <w:t>1,4 m</w:t>
        </w:r>
      </w:smartTag>
      <w:r>
        <w:rPr>
          <w:rFonts w:cs="Arial"/>
          <w:szCs w:val="22"/>
        </w:rPr>
        <w:t xml:space="preserve"> en Région wallonne et </w:t>
      </w:r>
      <w:smartTag w:uri="urn:schemas-microsoft-com:office:smarttags" w:element="metricconverter">
        <w:smartTagPr>
          <w:attr w:name="ProductID" w:val="1,5 m"/>
        </w:smartTagPr>
        <w:r>
          <w:rPr>
            <w:rFonts w:cs="Arial"/>
            <w:szCs w:val="22"/>
          </w:rPr>
          <w:t>1,5 m</w:t>
        </w:r>
      </w:smartTag>
      <w:r>
        <w:rPr>
          <w:rFonts w:cs="Arial"/>
          <w:szCs w:val="22"/>
        </w:rPr>
        <w:t xml:space="preserve"> en Région de Bruxelles-Capitale) délivré par l’autorité administrative compétente.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u w:val="single"/>
        </w:rPr>
        <w:t>Les baigneurs doivent être sous la surveillance directe et constante d’au moins une personne responsable de leur sécurité</w:t>
      </w:r>
      <w:r>
        <w:rPr>
          <w:rFonts w:cs="Arial"/>
          <w:szCs w:val="22"/>
        </w:rPr>
        <w:t xml:space="preserve">. Ceci implique que si le professeur d’éducation physique dispose des qualifications requises telles que décrites ci-dessus, il ne peut simultanément dispenser le cours et avoir la capacité de surveiller le groupe d’élèves. Dans tous les cas, la présence de l’enseignant dispensant le cours doit donc être complétée par une seconde personne disposant des qualifications exigées ci-dessus. </w:t>
      </w:r>
    </w:p>
    <w:p>
      <w:pPr>
        <w:autoSpaceDE w:val="0"/>
        <w:autoSpaceDN w:val="0"/>
        <w:adjustRightInd w:val="0"/>
        <w:jc w:val="both"/>
        <w:rPr>
          <w:rFonts w:cs="Arial"/>
          <w:szCs w:val="22"/>
        </w:rPr>
      </w:pPr>
      <w:r>
        <w:rPr>
          <w:rFonts w:cs="Arial"/>
          <w:szCs w:val="22"/>
        </w:rPr>
        <w:t xml:space="preserve">Ces règles sont d’application dans les piscines publiques, dans les piscines privées et dans les piscines scolaires. </w:t>
      </w:r>
    </w:p>
    <w:p>
      <w:pPr>
        <w:autoSpaceDE w:val="0"/>
        <w:autoSpaceDN w:val="0"/>
        <w:adjustRightInd w:val="0"/>
        <w:jc w:val="both"/>
        <w:rPr>
          <w:rFonts w:cs="Arial"/>
          <w:szCs w:val="22"/>
        </w:rPr>
      </w:pPr>
    </w:p>
    <w:p>
      <w:pPr>
        <w:pStyle w:val="Titre2"/>
      </w:pPr>
      <w:r>
        <w:br w:type="page"/>
      </w:r>
      <w:bookmarkStart w:id="1466" w:name="_Toc295932081"/>
      <w:bookmarkStart w:id="1467" w:name="_Toc295913800"/>
      <w:bookmarkStart w:id="1468" w:name="_Toc423420118"/>
      <w:bookmarkStart w:id="1469" w:name="_Toc450645325"/>
      <w:bookmarkStart w:id="1470" w:name="_Toc453942564"/>
      <w:bookmarkStart w:id="1471" w:name="_Toc454888181"/>
      <w:bookmarkStart w:id="1472" w:name="_Toc486241841"/>
      <w:r>
        <w:t>Chapitre 4.6.</w:t>
      </w:r>
      <w:r>
        <w:tab/>
        <w:t>Horaire des membres du personnel</w:t>
      </w:r>
      <w:bookmarkEnd w:id="1466"/>
      <w:bookmarkEnd w:id="1467"/>
      <w:bookmarkEnd w:id="1468"/>
      <w:bookmarkEnd w:id="1469"/>
      <w:bookmarkEnd w:id="1470"/>
      <w:bookmarkEnd w:id="1471"/>
      <w:bookmarkEnd w:id="1472"/>
    </w:p>
    <w:p>
      <w:pPr>
        <w:rPr>
          <w:b/>
          <w:i/>
          <w:u w:val="single"/>
        </w:rPr>
      </w:pPr>
    </w:p>
    <w:p>
      <w:pPr>
        <w:rPr>
          <w:i/>
        </w:rPr>
      </w:pPr>
      <w:r>
        <w:rPr>
          <w:b/>
          <w:i/>
          <w:u w:val="single"/>
        </w:rPr>
        <w:t>Base légale</w:t>
      </w:r>
      <w:r>
        <w:rPr>
          <w:i/>
        </w:rPr>
        <w:t xml:space="preserve">: </w:t>
      </w:r>
      <w:hyperlink r:id="rId129" w:history="1">
        <w:r>
          <w:rPr>
            <w:rStyle w:val="Lienhypertexte"/>
            <w:i/>
            <w:color w:val="auto"/>
          </w:rPr>
          <w:t>Décret-cadre 13/07/1998, articles 3 à 25</w:t>
        </w:r>
      </w:hyperlink>
    </w:p>
    <w:p>
      <w:pPr>
        <w:rPr>
          <w:sz w:val="28"/>
        </w:rPr>
      </w:pPr>
    </w:p>
    <w:p>
      <w:pPr>
        <w:pStyle w:val="Titre3"/>
      </w:pPr>
      <w:bookmarkStart w:id="1473" w:name="_Toc295932082"/>
      <w:bookmarkStart w:id="1474" w:name="_Toc295913801"/>
      <w:bookmarkStart w:id="1475" w:name="_Toc423420119"/>
      <w:bookmarkStart w:id="1476" w:name="_Toc450645326"/>
      <w:bookmarkStart w:id="1477" w:name="_Toc453942565"/>
      <w:bookmarkStart w:id="1478" w:name="_Toc454888182"/>
      <w:bookmarkStart w:id="1479" w:name="_Toc486241842"/>
      <w:r>
        <w:t>4.6.1.</w:t>
      </w:r>
      <w:r>
        <w:tab/>
        <w:t>Horaire des enseignants du maternel</w:t>
      </w:r>
      <w:bookmarkEnd w:id="1473"/>
      <w:bookmarkEnd w:id="1474"/>
      <w:bookmarkEnd w:id="1475"/>
      <w:bookmarkEnd w:id="1476"/>
      <w:bookmarkEnd w:id="1477"/>
      <w:bookmarkEnd w:id="1478"/>
      <w:bookmarkEnd w:id="1479"/>
    </w:p>
    <w:p>
      <w:pPr>
        <w:jc w:val="both"/>
        <w:rPr>
          <w:sz w:val="16"/>
          <w:szCs w:val="16"/>
        </w:rPr>
      </w:pPr>
    </w:p>
    <w:p>
      <w:pPr>
        <w:jc w:val="both"/>
      </w:pPr>
      <w:r>
        <w:t xml:space="preserve">Les instituteurs maternels et les maîtres de psychomotricité à prestation complète (article 18 du Décret-cadre) sont tenus d’assurer </w:t>
      </w:r>
      <w:r>
        <w:rPr>
          <w:b/>
        </w:rPr>
        <w:t>26 périodes</w:t>
      </w:r>
      <w:r>
        <w:t xml:space="preserve"> de cours et d’activités</w:t>
      </w:r>
      <w:r>
        <w:rPr>
          <w:rStyle w:val="Appelnotedebasdep"/>
        </w:rPr>
        <w:footnoteReference w:id="78"/>
      </w:r>
      <w:r>
        <w:t xml:space="preserve"> par semaine. </w:t>
      </w:r>
    </w:p>
    <w:p>
      <w:pPr>
        <w:rPr>
          <w:sz w:val="28"/>
          <w:szCs w:val="28"/>
        </w:rPr>
      </w:pPr>
    </w:p>
    <w:p>
      <w:pPr>
        <w:pStyle w:val="Titre3"/>
      </w:pPr>
      <w:bookmarkStart w:id="1480" w:name="_Toc295932083"/>
      <w:bookmarkStart w:id="1481" w:name="_Toc295913802"/>
      <w:bookmarkStart w:id="1482" w:name="_Toc423420120"/>
      <w:bookmarkStart w:id="1483" w:name="_Toc450645327"/>
      <w:bookmarkStart w:id="1484" w:name="_Toc453942566"/>
      <w:bookmarkStart w:id="1485" w:name="_Toc454888183"/>
      <w:bookmarkStart w:id="1486" w:name="_Toc486241843"/>
      <w:r>
        <w:t>4.6.2.</w:t>
      </w:r>
      <w:r>
        <w:tab/>
        <w:t>Horaire des enseignants du primaire</w:t>
      </w:r>
      <w:bookmarkEnd w:id="1480"/>
      <w:bookmarkEnd w:id="1481"/>
      <w:bookmarkEnd w:id="1482"/>
      <w:bookmarkEnd w:id="1483"/>
      <w:bookmarkEnd w:id="1484"/>
      <w:bookmarkEnd w:id="1485"/>
      <w:bookmarkEnd w:id="1486"/>
    </w:p>
    <w:p>
      <w:pPr>
        <w:tabs>
          <w:tab w:val="left" w:pos="3567"/>
        </w:tabs>
      </w:pPr>
      <w:r>
        <w:tab/>
      </w:r>
    </w:p>
    <w:p>
      <w:pPr>
        <w:pStyle w:val="Titre4"/>
      </w:pPr>
      <w:bookmarkStart w:id="1487" w:name="_Toc110930764"/>
      <w:bookmarkStart w:id="1488" w:name="_Toc139251109"/>
      <w:bookmarkStart w:id="1489" w:name="_Toc161569507"/>
      <w:bookmarkStart w:id="1490" w:name="_Toc165785752"/>
      <w:bookmarkStart w:id="1491" w:name="_Toc165786086"/>
      <w:bookmarkStart w:id="1492" w:name="_Toc167619043"/>
      <w:bookmarkStart w:id="1493" w:name="_Toc170010463"/>
      <w:bookmarkStart w:id="1494" w:name="_Toc170813502"/>
      <w:bookmarkStart w:id="1495" w:name="_Toc170903370"/>
      <w:bookmarkStart w:id="1496" w:name="_Toc172713897"/>
      <w:bookmarkStart w:id="1497" w:name="_Toc172714142"/>
      <w:bookmarkStart w:id="1498" w:name="_Toc173060483"/>
      <w:bookmarkStart w:id="1499" w:name="_Toc173319666"/>
      <w:bookmarkStart w:id="1500" w:name="_Toc189041965"/>
      <w:bookmarkStart w:id="1501" w:name="_Toc207192213"/>
      <w:bookmarkStart w:id="1502" w:name="_Toc295932084"/>
      <w:bookmarkStart w:id="1503" w:name="_Toc423420121"/>
      <w:bookmarkStart w:id="1504" w:name="_Toc450645328"/>
      <w:bookmarkStart w:id="1505" w:name="_Toc453942567"/>
      <w:bookmarkStart w:id="1506" w:name="_Toc454888184"/>
      <w:bookmarkStart w:id="1507" w:name="_Toc486241844"/>
      <w:r>
        <w:t xml:space="preserve">4.6.2.1. </w:t>
      </w:r>
      <w:r>
        <w:tab/>
        <w:t>Périodes de cours</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p>
    <w:p>
      <w:pPr>
        <w:jc w:val="both"/>
        <w:rPr>
          <w:b/>
          <w:sz w:val="16"/>
          <w:szCs w:val="16"/>
        </w:rPr>
      </w:pPr>
    </w:p>
    <w:p>
      <w:pPr>
        <w:pStyle w:val="Corpsdetexte"/>
        <w:rPr>
          <w:b/>
        </w:rPr>
      </w:pPr>
      <w:r>
        <w:t xml:space="preserve">Les instituteurs </w:t>
      </w:r>
      <w:r>
        <w:rPr>
          <w:b/>
        </w:rPr>
        <w:t>primaires</w:t>
      </w:r>
      <w:r>
        <w:t>, titulaires de classe et maîtres d’adaptation et de soutien pédagogique à prestation complète, sont tenus d’assurer 24 périodes de cours par semaine</w:t>
      </w:r>
      <w:r>
        <w:rPr>
          <w:rStyle w:val="Appelnotedebasdep"/>
        </w:rPr>
        <w:footnoteReference w:id="79"/>
      </w:r>
      <w:r>
        <w:t>. Les maîtres d’éducation physique, les maîtres de seconde langue</w:t>
      </w:r>
      <w:r>
        <w:rPr>
          <w:u w:val="single"/>
        </w:rPr>
        <w:t>,</w:t>
      </w:r>
      <w:r>
        <w:t xml:space="preserve"> les maîtres de religion et les maîtres de morale, sont tenus eux aussi d’assurer 24 périodes de cours par semaine. </w:t>
      </w:r>
    </w:p>
    <w:p>
      <w:pPr>
        <w:jc w:val="both"/>
        <w:rPr>
          <w:b/>
        </w:rPr>
      </w:pPr>
    </w:p>
    <w:p>
      <w:pPr>
        <w:pStyle w:val="Titre4"/>
      </w:pPr>
      <w:bookmarkStart w:id="1508" w:name="_Toc110930765"/>
      <w:bookmarkStart w:id="1509" w:name="_Toc139251110"/>
      <w:bookmarkStart w:id="1510" w:name="_Toc161569508"/>
      <w:bookmarkStart w:id="1511" w:name="_Toc165785753"/>
      <w:bookmarkStart w:id="1512" w:name="_Toc165786087"/>
      <w:bookmarkStart w:id="1513" w:name="_Toc167619044"/>
      <w:bookmarkStart w:id="1514" w:name="_Toc170010464"/>
      <w:bookmarkStart w:id="1515" w:name="_Toc170813503"/>
      <w:bookmarkStart w:id="1516" w:name="_Toc170903371"/>
      <w:bookmarkStart w:id="1517" w:name="_Toc172713898"/>
      <w:bookmarkStart w:id="1518" w:name="_Toc172714143"/>
      <w:bookmarkStart w:id="1519" w:name="_Toc173060484"/>
      <w:bookmarkStart w:id="1520" w:name="_Toc173319667"/>
      <w:bookmarkStart w:id="1521" w:name="_Toc189041966"/>
      <w:bookmarkStart w:id="1522" w:name="_Toc207192214"/>
      <w:bookmarkStart w:id="1523" w:name="_Toc295932085"/>
      <w:bookmarkStart w:id="1524" w:name="_Toc423420122"/>
      <w:bookmarkStart w:id="1525" w:name="_Toc450645329"/>
      <w:bookmarkStart w:id="1526" w:name="_Toc453942568"/>
      <w:bookmarkStart w:id="1527" w:name="_Toc454888185"/>
      <w:bookmarkStart w:id="1528" w:name="_Toc486241845"/>
      <w:r>
        <w:t xml:space="preserve">4.6.2.2. </w:t>
      </w:r>
      <w:r>
        <w:tab/>
        <w:t>Surveillances</w:t>
      </w:r>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pPr>
        <w:tabs>
          <w:tab w:val="left" w:pos="1993"/>
        </w:tabs>
        <w:jc w:val="both"/>
        <w:rPr>
          <w:sz w:val="16"/>
          <w:szCs w:val="16"/>
        </w:rPr>
      </w:pPr>
      <w:r>
        <w:rPr>
          <w:sz w:val="16"/>
          <w:szCs w:val="16"/>
        </w:rPr>
        <w:tab/>
      </w:r>
    </w:p>
    <w:p>
      <w:pPr>
        <w:pStyle w:val="Corpsdetexte2"/>
      </w:pPr>
      <w:r>
        <w:t xml:space="preserve">Les instituteurs maternels et primaires et les maîtres spéciaux peuvent être chargés par le chef d’établissement dans l’enseignement organisé par la Fédération Wallonie-Bruxelles ou par le Pouvoir organisateur dans l’enseignement subventionné d’assurer la surveillance des élèves 15 minutes avant le début des cours et 10 minutes après la fin des cours de chaque demi-journée. Ils peuvent également être chargés d’assurer les surveillances pour les récréations en cours de journée. Ces surveillances valent pour tous les lieux de l’école et pour les déplacements des élèves hors de l’école. </w:t>
      </w:r>
    </w:p>
    <w:p>
      <w:pPr>
        <w:jc w:val="both"/>
        <w:rPr>
          <w:sz w:val="16"/>
          <w:szCs w:val="16"/>
        </w:rPr>
      </w:pPr>
    </w:p>
    <w:p>
      <w:pPr>
        <w:jc w:val="both"/>
      </w:pPr>
      <w:r>
        <w:t>L’organisation de ces surveillances doit avoir lieu conformément aux règles de concertation propres à chaque réseau.</w:t>
      </w:r>
    </w:p>
    <w:p>
      <w:pPr>
        <w:jc w:val="both"/>
        <w:rPr>
          <w:sz w:val="16"/>
          <w:szCs w:val="16"/>
        </w:rPr>
      </w:pPr>
    </w:p>
    <w:p>
      <w:pPr>
        <w:jc w:val="both"/>
      </w:pPr>
      <w:r>
        <w:t>En outre, tous les enseignants sont tenus d’accomplir au moins 60 périodes annuelles de concertation avec leurs collègues des niveaux maternel et primaire.</w:t>
      </w:r>
    </w:p>
    <w:p>
      <w:pPr>
        <w:jc w:val="both"/>
        <w:rPr>
          <w:sz w:val="16"/>
          <w:szCs w:val="16"/>
        </w:rPr>
      </w:pPr>
    </w:p>
    <w:p>
      <w:pPr>
        <w:jc w:val="both"/>
      </w:pPr>
      <w:r>
        <w:t>Les prestations de cours et celles de surveillances réunies ne peuvent dépasser 1560 minutes par semaine. Cette limite ne s’applique pas aux instituteurs maternels et aux instituteurs primaires dans les écoles ou implantations isolées, primaires ou maternelles, à classe unique.</w:t>
      </w:r>
    </w:p>
    <w:p>
      <w:pPr>
        <w:jc w:val="both"/>
        <w:rPr>
          <w:sz w:val="16"/>
          <w:szCs w:val="16"/>
        </w:rPr>
      </w:pPr>
    </w:p>
    <w:p>
      <w:pPr>
        <w:jc w:val="both"/>
      </w:pPr>
      <w:r>
        <w:t>La durée totale des prestations de cours, de surveillances et de concertation ne peut dépasser 962 heures par année scolaire.</w:t>
      </w:r>
    </w:p>
    <w:p>
      <w:pPr>
        <w:jc w:val="both"/>
        <w:rPr>
          <w:sz w:val="16"/>
          <w:szCs w:val="16"/>
        </w:rPr>
      </w:pPr>
    </w:p>
    <w:p>
      <w:pPr>
        <w:pStyle w:val="Corpsdetexte"/>
        <w:rPr>
          <w:spacing w:val="0"/>
        </w:rPr>
      </w:pPr>
      <w:r>
        <w:rPr>
          <w:spacing w:val="0"/>
        </w:rPr>
        <w:t>Les temps de préparation des cours et des activités, de correction des travaux, de documentation, de mise à jour personnelle ne sont pas compris dans les maxima précités. Ils relèvent de l’organisation personnelle de chaque enseignant. Le chef d’établissement, le Pouvoir organisateur et les services d’inspection, chacun dans leur secteur et leur domaine d’investigation, peuvent se faire produire les documents attestant de la préparation des cours et activités éducatives des enseignants.</w:t>
      </w:r>
    </w:p>
    <w:p>
      <w:pPr>
        <w:pStyle w:val="Corpsdetexte"/>
        <w:rPr>
          <w:spacing w:val="0"/>
        </w:rPr>
      </w:pPr>
    </w:p>
    <w:p>
      <w:pPr>
        <w:pStyle w:val="Corpsdetexte"/>
        <w:rPr>
          <w:spacing w:val="0"/>
        </w:rPr>
      </w:pPr>
    </w:p>
    <w:p>
      <w:pPr>
        <w:pStyle w:val="Corpsdetexte"/>
        <w:rPr>
          <w:spacing w:val="0"/>
        </w:rPr>
      </w:pPr>
    </w:p>
    <w:p>
      <w:pPr>
        <w:jc w:val="both"/>
        <w:rPr>
          <w:b/>
          <w:u w:val="single"/>
        </w:rPr>
      </w:pPr>
      <w:r>
        <w:rPr>
          <w:b/>
          <w:u w:val="single"/>
        </w:rPr>
        <w:t>Le tableau suivant synthétise ce qui précède:</w:t>
      </w:r>
    </w:p>
    <w:p>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4"/>
      </w:tblGrid>
      <w:tr>
        <w:trPr>
          <w:jc w:val="center"/>
        </w:trPr>
        <w:tc>
          <w:tcPr>
            <w:tcW w:w="8644" w:type="dxa"/>
          </w:tcPr>
          <w:p>
            <w:pPr>
              <w:jc w:val="center"/>
              <w:rPr>
                <w:b/>
              </w:rPr>
            </w:pPr>
            <w:r>
              <w:rPr>
                <w:b/>
              </w:rPr>
              <w:t>Prestations d’un enseignant à temps plein</w:t>
            </w:r>
          </w:p>
        </w:tc>
      </w:tr>
    </w:tbl>
    <w:p>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1732"/>
        <w:gridCol w:w="68"/>
        <w:gridCol w:w="1587"/>
        <w:gridCol w:w="1765"/>
        <w:gridCol w:w="68"/>
        <w:gridCol w:w="1732"/>
        <w:gridCol w:w="68"/>
        <w:gridCol w:w="1985"/>
      </w:tblGrid>
      <w:tr>
        <w:trPr>
          <w:jc w:val="center"/>
        </w:trPr>
        <w:tc>
          <w:tcPr>
            <w:tcW w:w="1802" w:type="dxa"/>
            <w:gridSpan w:val="2"/>
          </w:tcPr>
          <w:p>
            <w:pPr>
              <w:jc w:val="center"/>
            </w:pPr>
            <w:r>
              <w:t>Prestations</w:t>
            </w:r>
          </w:p>
        </w:tc>
        <w:tc>
          <w:tcPr>
            <w:tcW w:w="1655" w:type="dxa"/>
            <w:gridSpan w:val="2"/>
          </w:tcPr>
          <w:p>
            <w:pPr>
              <w:jc w:val="center"/>
            </w:pPr>
            <w:r>
              <w:t>Cours, activités éducatives</w:t>
            </w:r>
          </w:p>
        </w:tc>
        <w:tc>
          <w:tcPr>
            <w:tcW w:w="1765" w:type="dxa"/>
          </w:tcPr>
          <w:p>
            <w:pPr>
              <w:jc w:val="center"/>
            </w:pPr>
            <w:r>
              <w:t>Surveillances</w:t>
            </w:r>
          </w:p>
        </w:tc>
        <w:tc>
          <w:tcPr>
            <w:tcW w:w="1800" w:type="dxa"/>
            <w:gridSpan w:val="2"/>
          </w:tcPr>
          <w:p>
            <w:pPr>
              <w:jc w:val="center"/>
            </w:pPr>
            <w:r>
              <w:t>Concertation</w:t>
            </w:r>
          </w:p>
        </w:tc>
        <w:tc>
          <w:tcPr>
            <w:tcW w:w="2053" w:type="dxa"/>
            <w:gridSpan w:val="2"/>
          </w:tcPr>
          <w:p>
            <w:pPr>
              <w:jc w:val="center"/>
            </w:pPr>
            <w:r>
              <w:t>Préparation, correction, documentation</w:t>
            </w:r>
          </w:p>
        </w:tc>
      </w:tr>
      <w:tr>
        <w:trPr>
          <w:trHeight w:val="2508"/>
          <w:jc w:val="center"/>
        </w:trPr>
        <w:tc>
          <w:tcPr>
            <w:tcW w:w="1802" w:type="dxa"/>
            <w:gridSpan w:val="2"/>
          </w:tcPr>
          <w:p>
            <w:pPr>
              <w:jc w:val="center"/>
            </w:pPr>
          </w:p>
          <w:p>
            <w:pPr>
              <w:jc w:val="center"/>
            </w:pPr>
          </w:p>
          <w:p>
            <w:pPr>
              <w:jc w:val="center"/>
            </w:pPr>
          </w:p>
          <w:p>
            <w:pPr>
              <w:jc w:val="center"/>
            </w:pPr>
            <w:r>
              <w:t>Durée</w:t>
            </w:r>
          </w:p>
          <w:p>
            <w:pPr>
              <w:jc w:val="center"/>
            </w:pPr>
          </w:p>
          <w:p>
            <w:pPr>
              <w:jc w:val="center"/>
            </w:pPr>
          </w:p>
          <w:p>
            <w:pPr>
              <w:jc w:val="center"/>
            </w:pPr>
          </w:p>
          <w:p>
            <w:pPr>
              <w:jc w:val="center"/>
            </w:pPr>
          </w:p>
        </w:tc>
        <w:tc>
          <w:tcPr>
            <w:tcW w:w="1655" w:type="dxa"/>
            <w:gridSpan w:val="2"/>
          </w:tcPr>
          <w:p>
            <w:pPr>
              <w:jc w:val="center"/>
            </w:pPr>
          </w:p>
          <w:p>
            <w:pPr>
              <w:jc w:val="center"/>
            </w:pPr>
            <w:r>
              <w:t>Maximum 26 périodes en maternelle et 24 en primaire</w:t>
            </w:r>
          </w:p>
          <w:p>
            <w:pPr>
              <w:jc w:val="center"/>
            </w:pPr>
          </w:p>
          <w:p>
            <w:pPr>
              <w:jc w:val="center"/>
            </w:pPr>
          </w:p>
          <w:p>
            <w:pPr>
              <w:jc w:val="center"/>
            </w:pPr>
          </w:p>
        </w:tc>
        <w:tc>
          <w:tcPr>
            <w:tcW w:w="1765" w:type="dxa"/>
          </w:tcPr>
          <w:p>
            <w:pPr>
              <w:jc w:val="center"/>
            </w:pPr>
          </w:p>
          <w:p>
            <w:pPr>
              <w:jc w:val="center"/>
            </w:pPr>
            <w:r>
              <w:t>15 minutes avant les cours</w:t>
            </w:r>
          </w:p>
          <w:p>
            <w:pPr>
              <w:jc w:val="center"/>
            </w:pPr>
            <w:r>
              <w:t xml:space="preserve"> et 10 minutes après les cours</w:t>
            </w:r>
          </w:p>
          <w:p>
            <w:pPr>
              <w:jc w:val="center"/>
            </w:pPr>
            <w:r>
              <w:t>(par matinée ET après-midi)</w:t>
            </w:r>
          </w:p>
          <w:p>
            <w:pPr>
              <w:jc w:val="center"/>
            </w:pPr>
          </w:p>
          <w:p>
            <w:pPr>
              <w:jc w:val="center"/>
            </w:pPr>
            <w:r>
              <w:t>Récréations</w:t>
            </w:r>
          </w:p>
          <w:p>
            <w:pPr>
              <w:jc w:val="center"/>
            </w:pPr>
          </w:p>
        </w:tc>
        <w:tc>
          <w:tcPr>
            <w:tcW w:w="1800" w:type="dxa"/>
            <w:gridSpan w:val="2"/>
          </w:tcPr>
          <w:p>
            <w:pPr>
              <w:jc w:val="center"/>
            </w:pPr>
          </w:p>
          <w:p>
            <w:pPr>
              <w:jc w:val="center"/>
            </w:pPr>
            <w:r>
              <w:t>60 périodes de 50 minutes par an</w:t>
            </w:r>
          </w:p>
        </w:tc>
        <w:tc>
          <w:tcPr>
            <w:tcW w:w="2053" w:type="dxa"/>
            <w:gridSpan w:val="2"/>
          </w:tcPr>
          <w:p>
            <w:pPr>
              <w:jc w:val="center"/>
            </w:pPr>
          </w:p>
          <w:p>
            <w:pPr>
              <w:jc w:val="center"/>
            </w:pPr>
            <w:r>
              <w:t>Organisation personnelle de chaque enseignant mais trace écrite obligatoire</w:t>
            </w:r>
          </w:p>
        </w:tc>
      </w:tr>
      <w:tr>
        <w:tblPrEx>
          <w:jc w:val="left"/>
        </w:tblPrEx>
        <w:trPr>
          <w:gridBefore w:val="1"/>
          <w:wBefore w:w="70" w:type="dxa"/>
        </w:trPr>
        <w:tc>
          <w:tcPr>
            <w:tcW w:w="1800" w:type="dxa"/>
            <w:gridSpan w:val="2"/>
            <w:tcBorders>
              <w:top w:val="nil"/>
              <w:left w:val="nil"/>
              <w:bottom w:val="nil"/>
              <w:right w:val="single" w:sz="4" w:space="0" w:color="auto"/>
            </w:tcBorders>
          </w:tcPr>
          <w:p>
            <w:pPr>
              <w:jc w:val="both"/>
            </w:pPr>
          </w:p>
        </w:tc>
        <w:tc>
          <w:tcPr>
            <w:tcW w:w="3420" w:type="dxa"/>
            <w:gridSpan w:val="3"/>
            <w:tcBorders>
              <w:left w:val="single" w:sz="4" w:space="0" w:color="auto"/>
              <w:right w:val="single" w:sz="4" w:space="0" w:color="auto"/>
            </w:tcBorders>
          </w:tcPr>
          <w:p>
            <w:pPr>
              <w:jc w:val="both"/>
            </w:pPr>
            <w:r>
              <w:t>Ne peuvent dépasser 1560 minutes par semaine</w:t>
            </w:r>
          </w:p>
        </w:tc>
        <w:tc>
          <w:tcPr>
            <w:tcW w:w="3785" w:type="dxa"/>
            <w:gridSpan w:val="3"/>
            <w:tcBorders>
              <w:top w:val="nil"/>
              <w:left w:val="single" w:sz="4" w:space="0" w:color="auto"/>
              <w:bottom w:val="nil"/>
              <w:right w:val="nil"/>
            </w:tcBorders>
          </w:tcPr>
          <w:p>
            <w:pPr>
              <w:jc w:val="both"/>
            </w:pPr>
          </w:p>
        </w:tc>
      </w:tr>
      <w:tr>
        <w:tblPrEx>
          <w:jc w:val="left"/>
        </w:tblPrEx>
        <w:trPr>
          <w:gridBefore w:val="1"/>
          <w:wBefore w:w="70" w:type="dxa"/>
        </w:trPr>
        <w:tc>
          <w:tcPr>
            <w:tcW w:w="1800" w:type="dxa"/>
            <w:gridSpan w:val="2"/>
            <w:tcBorders>
              <w:top w:val="nil"/>
              <w:left w:val="nil"/>
              <w:bottom w:val="nil"/>
              <w:right w:val="single" w:sz="4" w:space="0" w:color="auto"/>
            </w:tcBorders>
          </w:tcPr>
          <w:p>
            <w:pPr>
              <w:jc w:val="both"/>
            </w:pPr>
          </w:p>
        </w:tc>
        <w:tc>
          <w:tcPr>
            <w:tcW w:w="5220" w:type="dxa"/>
            <w:gridSpan w:val="5"/>
            <w:tcBorders>
              <w:left w:val="single" w:sz="4" w:space="0" w:color="auto"/>
              <w:right w:val="single" w:sz="4" w:space="0" w:color="auto"/>
            </w:tcBorders>
          </w:tcPr>
          <w:p>
            <w:pPr>
              <w:jc w:val="both"/>
            </w:pPr>
            <w:r>
              <w:t>Ne peuvent dépasser 962 heures / année</w:t>
            </w:r>
          </w:p>
        </w:tc>
        <w:tc>
          <w:tcPr>
            <w:tcW w:w="1985" w:type="dxa"/>
            <w:tcBorders>
              <w:top w:val="nil"/>
              <w:left w:val="single" w:sz="4" w:space="0" w:color="auto"/>
              <w:bottom w:val="nil"/>
              <w:right w:val="nil"/>
            </w:tcBorders>
          </w:tcPr>
          <w:p>
            <w:pPr>
              <w:jc w:val="both"/>
            </w:pPr>
          </w:p>
        </w:tc>
      </w:tr>
    </w:tbl>
    <w:p>
      <w:pPr>
        <w:jc w:val="both"/>
      </w:pPr>
    </w:p>
    <w:p>
      <w:pPr>
        <w:ind w:left="299"/>
        <w:jc w:val="both"/>
      </w:pPr>
      <w:r>
        <w:t xml:space="preserve">Il va de soi que, pour un enseignant à temps partiel, la durée totale de ses prestations ainsi que la répartition de celles-ci (cours, surveillances, concertation), est réduite proportionnellement à la fraction que représente ce temps partiel. Le même principe s’applique pour les agents qui fonctionnent dans plusieurs écoles ou implantations pour calculer la répartition de leurs prestations entre celles-ci. Cependant, pour ces derniers, les déplacements entre écoles et implantations </w:t>
      </w:r>
      <w:r>
        <w:rPr>
          <w:b/>
        </w:rPr>
        <w:t>en cours de journée</w:t>
      </w:r>
      <w:r>
        <w:t xml:space="preserve"> sont à comptabiliser dans les temps de surveillance.</w:t>
      </w:r>
    </w:p>
    <w:p/>
    <w:p>
      <w:pPr>
        <w:pStyle w:val="Titre3"/>
      </w:pPr>
      <w:bookmarkStart w:id="1529" w:name="_Toc295932086"/>
      <w:bookmarkStart w:id="1530" w:name="_Toc295913803"/>
      <w:bookmarkStart w:id="1531" w:name="_Toc423420123"/>
      <w:bookmarkStart w:id="1532" w:name="_Toc450645330"/>
      <w:bookmarkStart w:id="1533" w:name="_Toc453942569"/>
      <w:bookmarkStart w:id="1534" w:name="_Toc454888186"/>
      <w:bookmarkStart w:id="1535" w:name="_Toc486241846"/>
      <w:r>
        <w:t>4.6.3.</w:t>
      </w:r>
      <w:r>
        <w:tab/>
        <w:t>Horaire des directeurs d'école</w:t>
      </w:r>
      <w:bookmarkEnd w:id="1529"/>
      <w:bookmarkEnd w:id="1530"/>
      <w:bookmarkEnd w:id="1531"/>
      <w:bookmarkEnd w:id="1532"/>
      <w:bookmarkEnd w:id="1533"/>
      <w:bookmarkEnd w:id="1534"/>
      <w:bookmarkEnd w:id="1535"/>
    </w:p>
    <w:p>
      <w:pPr>
        <w:rPr>
          <w:sz w:val="16"/>
          <w:szCs w:val="16"/>
        </w:rPr>
      </w:pPr>
    </w:p>
    <w:p>
      <w:pPr>
        <w:jc w:val="both"/>
      </w:pPr>
      <w:r>
        <w:t>Les directeurs sont présents pendant toute la durée des cours. Ils assistent aux séances de concertation et les dirigent sauf si le Pouvoir organisateur en a décidé autrement.</w:t>
      </w:r>
    </w:p>
    <w:p>
      <w:pPr>
        <w:pStyle w:val="Corpsdetexte2"/>
      </w:pPr>
      <w:r>
        <w:t>En outre, les directeurs qui n’assurent pas de périodes de cours sont présents au moins 20 minutes avant le début des cours et 30 minutes après la fin des cours. Ceux qui assurent des périodes de cours ont les mêmes prestations hors cours que les autres enseignants.</w:t>
      </w:r>
    </w:p>
    <w:p>
      <w:pPr>
        <w:jc w:val="both"/>
        <w:rPr>
          <w:sz w:val="16"/>
          <w:szCs w:val="16"/>
        </w:rPr>
      </w:pPr>
    </w:p>
    <w:p>
      <w:pPr>
        <w:jc w:val="both"/>
      </w:pPr>
      <w:r>
        <w:t xml:space="preserve">Lorsque les nécessités du service, notamment les contacts avec leur Pouvoir organisateur, tiennent le directeur éloigné de l’école, celui-ci pour l’enseignement de </w:t>
      </w:r>
      <w:smartTag w:uri="urn:schemas-microsoft-com:office:smarttags" w:element="PersonName">
        <w:smartTagPr>
          <w:attr w:name="ProductID" w:val="la F￩d￩ration Wallonie-Bruxelles"/>
        </w:smartTagPr>
        <w:r>
          <w:t>la Fédération Wallonie-Bruxelles</w:t>
        </w:r>
      </w:smartTag>
      <w:r>
        <w:t xml:space="preserve"> ou le Pouvoir organisateur pour l’enseignement subventionné désignent un titulaire de classe ou un maître spécial pour les remplacer.  </w:t>
      </w:r>
    </w:p>
    <w:p>
      <w:pPr>
        <w:jc w:val="both"/>
        <w:rPr>
          <w:sz w:val="16"/>
          <w:szCs w:val="16"/>
        </w:rPr>
      </w:pPr>
    </w:p>
    <w:p>
      <w:pPr>
        <w:pStyle w:val="Corpsdetexte2"/>
      </w:pPr>
      <w:r>
        <w:t>Ce remplacement ne peut être que limité tant dans la durée que dans les tâches. Il ne dispense pas l’enseignant choisi de ses prestations normales et ne fait pas l’objet d’un supplément de rémunération. Il faut donc voir ce remplacement comme une simple délégation très provisoire.</w:t>
      </w:r>
    </w:p>
    <w:p/>
    <w:p>
      <w:pPr>
        <w:pStyle w:val="Titre3"/>
      </w:pPr>
      <w:bookmarkStart w:id="1536" w:name="_Toc295932087"/>
      <w:bookmarkStart w:id="1537" w:name="_Toc295913804"/>
      <w:bookmarkStart w:id="1538" w:name="_Toc423420124"/>
      <w:bookmarkStart w:id="1539" w:name="_Toc450645331"/>
      <w:bookmarkStart w:id="1540" w:name="_Toc453942570"/>
      <w:bookmarkStart w:id="1541" w:name="_Toc454888187"/>
      <w:bookmarkStart w:id="1542" w:name="_Toc486241847"/>
      <w:r>
        <w:t>4.6.4.</w:t>
      </w:r>
      <w:r>
        <w:tab/>
        <w:t>Horaire des chargés de l’aide à la gestion pédagogique ou administrative</w:t>
      </w:r>
      <w:bookmarkEnd w:id="1536"/>
      <w:bookmarkEnd w:id="1537"/>
      <w:bookmarkEnd w:id="1538"/>
      <w:bookmarkEnd w:id="1539"/>
      <w:bookmarkEnd w:id="1540"/>
      <w:bookmarkEnd w:id="1541"/>
      <w:bookmarkEnd w:id="1542"/>
    </w:p>
    <w:p>
      <w:pPr>
        <w:pStyle w:val="En-tte"/>
        <w:tabs>
          <w:tab w:val="clear" w:pos="4536"/>
          <w:tab w:val="clear" w:pos="9072"/>
        </w:tabs>
      </w:pPr>
    </w:p>
    <w:p>
      <w:pPr>
        <w:pStyle w:val="Corpsdetexte"/>
      </w:pPr>
      <w:r>
        <w:t xml:space="preserve">Le décret prévoit que les reliquats peuvent être utilisés pour une aide à la gestion administrative ou pédagogique à temps plein ou à mi-temps (voir </w:t>
      </w:r>
      <w:hyperlink w:anchor="_3.2.7._Reliquat__" w:history="1">
        <w:r>
          <w:rPr>
            <w:rStyle w:val="Lienhypertexte"/>
            <w:color w:val="auto"/>
          </w:rPr>
          <w:t>section 3.2.7.</w:t>
        </w:r>
      </w:hyperlink>
      <w:r>
        <w:t>). Celle-ci est exercée par un titulaire, un maître d’éducation physique ou de seconde langue ou un maître d’adaptation et de soutien pédagogique.</w:t>
      </w:r>
    </w:p>
    <w:p>
      <w:pPr>
        <w:jc w:val="both"/>
      </w:pPr>
    </w:p>
    <w:p>
      <w:pPr>
        <w:pStyle w:val="Corpsdetexte2"/>
      </w:pPr>
      <w:r>
        <w:t>Cet enseignant conserve l’échelle barémique liée à sa fonction précédente. Son emploi est imputé, selon le cas, à raison de 24 ou de 12 périodes sur le capital-périodes. Son horaire hebdomadaire est, selon le cas, de 36 ou de 18 heures.</w:t>
      </w:r>
    </w:p>
    <w:p>
      <w:pPr>
        <w:tabs>
          <w:tab w:val="left" w:pos="900"/>
        </w:tabs>
        <w:autoSpaceDE w:val="0"/>
        <w:autoSpaceDN w:val="0"/>
        <w:adjustRightInd w:val="0"/>
        <w:ind w:left="543"/>
        <w:jc w:val="both"/>
        <w:rPr>
          <w:szCs w:val="16"/>
        </w:rPr>
      </w:pPr>
    </w:p>
    <w:p>
      <w:pPr>
        <w:pStyle w:val="Titre3"/>
      </w:pPr>
      <w:bookmarkStart w:id="1543" w:name="_Toc295932088"/>
      <w:bookmarkStart w:id="1544" w:name="_Toc295913805"/>
      <w:bookmarkStart w:id="1545" w:name="_Toc423420125"/>
      <w:bookmarkStart w:id="1546" w:name="_Toc450645332"/>
      <w:bookmarkStart w:id="1547" w:name="_Toc453942571"/>
      <w:bookmarkStart w:id="1548" w:name="_Toc454888188"/>
      <w:bookmarkStart w:id="1549" w:name="_Toc486241848"/>
      <w:r>
        <w:t>4.6.5.</w:t>
      </w:r>
      <w:r>
        <w:tab/>
        <w:t>Organisation de la concertation</w:t>
      </w:r>
      <w:bookmarkEnd w:id="1543"/>
      <w:bookmarkEnd w:id="1544"/>
      <w:bookmarkEnd w:id="1545"/>
      <w:bookmarkEnd w:id="1546"/>
      <w:bookmarkEnd w:id="1547"/>
      <w:bookmarkEnd w:id="1548"/>
      <w:bookmarkEnd w:id="1549"/>
    </w:p>
    <w:p>
      <w:pPr>
        <w:rPr>
          <w:lang w:val="fr-BE"/>
        </w:rPr>
      </w:pPr>
    </w:p>
    <w:p>
      <w:pPr>
        <w:pStyle w:val="Titre4"/>
      </w:pPr>
      <w:bookmarkStart w:id="1550" w:name="_Toc110930769"/>
      <w:bookmarkStart w:id="1551" w:name="_Toc139251114"/>
      <w:bookmarkStart w:id="1552" w:name="_Toc161569512"/>
      <w:bookmarkStart w:id="1553" w:name="_Toc165785757"/>
      <w:bookmarkStart w:id="1554" w:name="_Toc165786091"/>
      <w:bookmarkStart w:id="1555" w:name="_Toc167619048"/>
      <w:bookmarkStart w:id="1556" w:name="_Toc170010468"/>
      <w:bookmarkStart w:id="1557" w:name="_Toc170813507"/>
      <w:bookmarkStart w:id="1558" w:name="_Toc170903375"/>
      <w:bookmarkStart w:id="1559" w:name="_Toc172713902"/>
      <w:bookmarkStart w:id="1560" w:name="_Toc172714147"/>
      <w:bookmarkStart w:id="1561" w:name="_Toc173060488"/>
      <w:bookmarkStart w:id="1562" w:name="_Toc173319671"/>
      <w:bookmarkStart w:id="1563" w:name="_Toc189041970"/>
      <w:bookmarkStart w:id="1564" w:name="_Toc207192218"/>
      <w:bookmarkStart w:id="1565" w:name="_Toc295932089"/>
      <w:bookmarkStart w:id="1566" w:name="_Toc423420126"/>
      <w:bookmarkStart w:id="1567" w:name="_Toc450645333"/>
      <w:bookmarkStart w:id="1568" w:name="_Toc453942572"/>
      <w:bookmarkStart w:id="1569" w:name="_Toc454888189"/>
      <w:bookmarkStart w:id="1570" w:name="_Toc486241849"/>
      <w:r>
        <w:t>4.6.5.1.</w:t>
      </w:r>
      <w:r>
        <w:tab/>
        <w:t>Règles générales</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pPr>
        <w:jc w:val="both"/>
        <w:rPr>
          <w:b/>
        </w:rPr>
      </w:pPr>
    </w:p>
    <w:p>
      <w:pPr>
        <w:jc w:val="both"/>
      </w:pPr>
      <w:r>
        <w:t>Les enseignants des deux niveaux de l’enseignement fondamental doivent se concerter à raison d’un minimum de 60 périodes par année scolaire.</w:t>
      </w:r>
    </w:p>
    <w:p>
      <w:pPr>
        <w:jc w:val="both"/>
      </w:pPr>
    </w:p>
    <w:p>
      <w:pPr>
        <w:widowControl w:val="0"/>
        <w:spacing w:after="120"/>
        <w:jc w:val="both"/>
      </w:pPr>
      <w:r>
        <w:t>La concertation est organisée:</w:t>
      </w:r>
    </w:p>
    <w:p>
      <w:pPr>
        <w:numPr>
          <w:ilvl w:val="0"/>
          <w:numId w:val="10"/>
        </w:numPr>
        <w:ind w:left="719" w:hanging="360"/>
        <w:jc w:val="both"/>
      </w:pPr>
      <w:r>
        <w:t xml:space="preserve">par école, par entité ou par zone dans l’enseignement de </w:t>
      </w:r>
      <w:smartTag w:uri="urn:schemas-microsoft-com:office:smarttags" w:element="PersonName">
        <w:smartTagPr>
          <w:attr w:name="ProductID" w:val="la F￩d￩ration Wallonie-Bruxelles"/>
        </w:smartTagPr>
        <w:r>
          <w:t>la Fédération Wallonie-Bruxelles</w:t>
        </w:r>
      </w:smartTag>
      <w:r>
        <w:t xml:space="preserve"> (décision du Gouvernement);</w:t>
      </w:r>
    </w:p>
    <w:p>
      <w:pPr>
        <w:numPr>
          <w:ilvl w:val="0"/>
          <w:numId w:val="10"/>
        </w:numPr>
        <w:ind w:left="719" w:hanging="360"/>
        <w:jc w:val="both"/>
      </w:pPr>
      <w:r>
        <w:t>par implantation, par école ou par commune pour l’enseignement officiel subventionné (décision du Pouvoir organisateur);</w:t>
      </w:r>
    </w:p>
    <w:p>
      <w:pPr>
        <w:numPr>
          <w:ilvl w:val="0"/>
          <w:numId w:val="10"/>
        </w:numPr>
        <w:ind w:left="719" w:hanging="360"/>
        <w:jc w:val="both"/>
      </w:pPr>
      <w:r>
        <w:t>par établissement ou implantation (décision du Pouvoir organisateur lorsque la concertation se réalise au sein d’une école) ou par entité (décision du conseil d’entité lorsque la concertation se réalise au sein de l’entité) pour l’enseignement libre subventionné.</w:t>
      </w:r>
    </w:p>
    <w:p>
      <w:pPr>
        <w:ind w:left="359"/>
        <w:jc w:val="both"/>
      </w:pPr>
    </w:p>
    <w:p>
      <w:pPr>
        <w:jc w:val="both"/>
      </w:pPr>
      <w:r>
        <w:t xml:space="preserve">Dans l'enseignement officiel subventionné et dans l'enseignement de </w:t>
      </w:r>
      <w:smartTag w:uri="urn:schemas-microsoft-com:office:smarttags" w:element="PersonName">
        <w:smartTagPr>
          <w:attr w:name="ProductID" w:val="la F￩d￩ration Wallonie-Bruxelles"/>
        </w:smartTagPr>
        <w:r>
          <w:t>la Fédération Wallonie-Bruxelles</w:t>
        </w:r>
      </w:smartTag>
      <w:r>
        <w:t xml:space="preserve"> l'organisation de la concertation est une prérogative du Pouvoir organisateur ou de son délégué. Selon le cas, le comité de concertation de base ou la commission paritaire locale remet un avis sur l'organisation de la concertation. Dans l'enseignement libre subventionné, les modalités de la consultation syndicale se font conformément aux dispositions relatives aux conseils d’entreprise, ou, à défaut, dans les instances de concertation locale ou d’entité, ou, à défaut, avec les délégations syndicales.</w:t>
      </w:r>
    </w:p>
    <w:p>
      <w:pPr>
        <w:jc w:val="both"/>
      </w:pPr>
    </w:p>
    <w:p>
      <w:pPr>
        <w:widowControl w:val="0"/>
        <w:jc w:val="both"/>
      </w:pPr>
      <w:r>
        <w:t xml:space="preserve">Le directeur dans l’enseignement de </w:t>
      </w:r>
      <w:smartTag w:uri="urn:schemas-microsoft-com:office:smarttags" w:element="PersonName">
        <w:smartTagPr>
          <w:attr w:name="ProductID" w:val="la F￩d￩ration Wallonie-Bruxelles"/>
        </w:smartTagPr>
        <w:r>
          <w:t>la Fédération Wallonie-Bruxelles</w:t>
        </w:r>
      </w:smartTag>
      <w:r>
        <w:t>, le Pouvoir organisateur dans l’enseignement officiel subventionné, le Pouvoir organisateur ou le conseil d’entité, selon le cas, dans l’enseignement libre subventionné, tiennent à la disposition de l’Inspection les documents relatifs à la procédure de concertation mise en place dans l'école.</w:t>
      </w:r>
    </w:p>
    <w:p>
      <w:pPr>
        <w:widowControl w:val="0"/>
        <w:jc w:val="both"/>
      </w:pPr>
    </w:p>
    <w:p>
      <w:pPr>
        <w:widowControl w:val="0"/>
        <w:spacing w:after="120"/>
        <w:jc w:val="both"/>
      </w:pPr>
      <w:r>
        <w:t>Ces documents doivent comprendre:</w:t>
      </w:r>
    </w:p>
    <w:p>
      <w:pPr>
        <w:pStyle w:val="Corpsdetexte"/>
        <w:numPr>
          <w:ilvl w:val="0"/>
          <w:numId w:val="78"/>
        </w:numPr>
        <w:tabs>
          <w:tab w:val="left" w:pos="720"/>
        </w:tabs>
        <w:spacing w:after="60"/>
        <w:ind w:left="713" w:hanging="357"/>
      </w:pPr>
      <w:r>
        <w:rPr>
          <w:u w:val="single"/>
        </w:rPr>
        <w:t>la périodicité</w:t>
      </w:r>
      <w:r>
        <w:t xml:space="preserve"> de la concertation en distinguant les périodes qui sont organisées durant le temps de présence des élèves de celles qui sont organisées en dehors des temps de présence;</w:t>
      </w:r>
    </w:p>
    <w:p>
      <w:pPr>
        <w:widowControl w:val="0"/>
        <w:numPr>
          <w:ilvl w:val="0"/>
          <w:numId w:val="11"/>
        </w:numPr>
        <w:spacing w:after="60"/>
        <w:ind w:left="713" w:hanging="357"/>
        <w:jc w:val="both"/>
      </w:pPr>
      <w:r>
        <w:rPr>
          <w:u w:val="single"/>
        </w:rPr>
        <w:t>les participants</w:t>
      </w:r>
      <w:r>
        <w:t xml:space="preserve"> aux différentes séances de concertation (Il ne s’agit évidemment pas de fournir une liste nominative mais bien d’indiquer l’éventuelle répartition du personnel entre les différentes formes de concertation);</w:t>
      </w:r>
    </w:p>
    <w:p>
      <w:pPr>
        <w:widowControl w:val="0"/>
        <w:numPr>
          <w:ilvl w:val="0"/>
          <w:numId w:val="11"/>
        </w:numPr>
        <w:spacing w:after="60"/>
        <w:ind w:left="713" w:hanging="357"/>
        <w:jc w:val="both"/>
      </w:pPr>
      <w:r>
        <w:rPr>
          <w:u w:val="single"/>
        </w:rPr>
        <w:t>les contenus globaux</w:t>
      </w:r>
      <w:r>
        <w:t xml:space="preserve"> sur lesquels la concertation porte (Des nécessités ponctuelles peuvent évidemment donner lieu à des concertations adaptées);</w:t>
      </w:r>
    </w:p>
    <w:p>
      <w:pPr>
        <w:widowControl w:val="0"/>
        <w:numPr>
          <w:ilvl w:val="0"/>
          <w:numId w:val="11"/>
        </w:numPr>
        <w:ind w:left="719"/>
        <w:jc w:val="both"/>
      </w:pPr>
      <w:r>
        <w:rPr>
          <w:u w:val="single"/>
        </w:rPr>
        <w:t>le règlement d'ordre intérieur éventuel</w:t>
      </w:r>
      <w:r>
        <w:t xml:space="preserve"> ou, à défaut, </w:t>
      </w:r>
      <w:r>
        <w:rPr>
          <w:u w:val="single"/>
        </w:rPr>
        <w:t>les modalités</w:t>
      </w:r>
      <w:r>
        <w:t xml:space="preserve"> arrêtées par le Pouvoir organisateur.</w:t>
      </w:r>
    </w:p>
    <w:p>
      <w:pPr>
        <w:widowControl w:val="0"/>
        <w:jc w:val="both"/>
      </w:pPr>
    </w:p>
    <w:p>
      <w:pPr>
        <w:widowControl w:val="0"/>
        <w:jc w:val="both"/>
      </w:pPr>
      <w:r>
        <w:t>Chacun des responsables visés ci-dessus est tenu de présenter à l'inspection compétente les documents qui attestent que la concertation s'est déroulée conformément au programme fixé, ou qui attestent des modifications opérées et des raisons qui ont amené ces modifications, et qui reprennent succinctement le contenu de cette concertation.</w:t>
      </w:r>
    </w:p>
    <w:p>
      <w:pPr>
        <w:widowControl w:val="0"/>
        <w:jc w:val="both"/>
      </w:pPr>
    </w:p>
    <w:p>
      <w:pPr>
        <w:widowControl w:val="0"/>
        <w:jc w:val="both"/>
      </w:pPr>
      <w:r>
        <w:t>Afin d’éviter toute contestation, il est conseillé aux responsables de faire tenir un cahier de synthèse reprenant les dates de réunions avec les heures de début et de fin ainsi que la liste des enseignants. Toutefois, le responsable qui souhaite adopter une procédure autre que celle de la tenue du cahier de synthèse peut le faire en toute autonomie, à charge pour lui de prouver que la concertation s'est bien déroulée.</w:t>
      </w:r>
    </w:p>
    <w:p>
      <w:pPr>
        <w:widowControl w:val="0"/>
        <w:jc w:val="both"/>
        <w:rPr>
          <w:sz w:val="16"/>
          <w:szCs w:val="16"/>
        </w:rPr>
      </w:pPr>
    </w:p>
    <w:p>
      <w:pPr>
        <w:widowControl w:val="0"/>
        <w:jc w:val="both"/>
        <w:rPr>
          <w:sz w:val="16"/>
          <w:szCs w:val="16"/>
        </w:rPr>
      </w:pPr>
    </w:p>
    <w:p>
      <w:pPr>
        <w:widowControl w:val="0"/>
        <w:jc w:val="both"/>
        <w:rPr>
          <w:sz w:val="16"/>
          <w:szCs w:val="16"/>
        </w:rPr>
      </w:pPr>
    </w:p>
    <w:p>
      <w:pPr>
        <w:pStyle w:val="Titre4"/>
      </w:pPr>
      <w:bookmarkStart w:id="1571" w:name="_Toc110930770"/>
      <w:bookmarkStart w:id="1572" w:name="_Toc139251115"/>
      <w:bookmarkStart w:id="1573" w:name="_Toc161569513"/>
      <w:bookmarkStart w:id="1574" w:name="_Toc165785758"/>
      <w:bookmarkStart w:id="1575" w:name="_Toc165786092"/>
      <w:bookmarkStart w:id="1576" w:name="_Toc167619049"/>
      <w:bookmarkStart w:id="1577" w:name="_Toc170010469"/>
      <w:bookmarkStart w:id="1578" w:name="_Toc170813508"/>
      <w:bookmarkStart w:id="1579" w:name="_Toc170903376"/>
      <w:bookmarkStart w:id="1580" w:name="_Toc172713903"/>
      <w:bookmarkStart w:id="1581" w:name="_Toc172714148"/>
      <w:bookmarkStart w:id="1582" w:name="_Toc173060489"/>
      <w:bookmarkStart w:id="1583" w:name="_Toc173319672"/>
      <w:bookmarkStart w:id="1584" w:name="_Toc189041971"/>
      <w:bookmarkStart w:id="1585" w:name="_Toc207192219"/>
      <w:bookmarkStart w:id="1586" w:name="_Toc295932090"/>
      <w:bookmarkStart w:id="1587" w:name="_Toc423420127"/>
      <w:bookmarkStart w:id="1588" w:name="_Toc450645334"/>
      <w:bookmarkStart w:id="1589" w:name="_Toc453942573"/>
      <w:bookmarkStart w:id="1590" w:name="_Toc454888190"/>
      <w:bookmarkStart w:id="1591" w:name="_Toc486241850"/>
      <w:r>
        <w:t>4.6.5.2.</w:t>
      </w:r>
      <w:r>
        <w:tab/>
        <w:t>Contrôle des dispositions relatives à la concertation</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p>
    <w:p>
      <w:pPr>
        <w:widowControl w:val="0"/>
        <w:jc w:val="both"/>
      </w:pPr>
    </w:p>
    <w:p>
      <w:pPr>
        <w:widowControl w:val="0"/>
        <w:jc w:val="both"/>
      </w:pPr>
      <w:r>
        <w:t>L’inspection contrôle le respect des dispositions relatives à la concertation dans le cadre de ses missions ordinaires. A ce titre, elle peut assister à des séances de concertation.</w:t>
      </w:r>
    </w:p>
    <w:p>
      <w:pPr>
        <w:widowControl w:val="0"/>
        <w:jc w:val="both"/>
      </w:pPr>
    </w:p>
    <w:p>
      <w:pPr>
        <w:pStyle w:val="Titre3"/>
      </w:pPr>
      <w:bookmarkStart w:id="1592" w:name="_Toc295932091"/>
      <w:bookmarkStart w:id="1593" w:name="_Toc295913806"/>
      <w:bookmarkStart w:id="1594" w:name="_Toc423420128"/>
      <w:bookmarkStart w:id="1595" w:name="_Toc450645335"/>
      <w:bookmarkStart w:id="1596" w:name="_Toc453942574"/>
      <w:bookmarkStart w:id="1597" w:name="_Toc454888191"/>
      <w:bookmarkStart w:id="1598" w:name="_Toc486241851"/>
      <w:r>
        <w:t>4.6.6.</w:t>
      </w:r>
      <w:r>
        <w:tab/>
        <w:t>Grille-horaire</w:t>
      </w:r>
      <w:bookmarkEnd w:id="1592"/>
      <w:bookmarkEnd w:id="1593"/>
      <w:bookmarkEnd w:id="1594"/>
      <w:bookmarkEnd w:id="1595"/>
      <w:bookmarkEnd w:id="1596"/>
      <w:bookmarkEnd w:id="1597"/>
      <w:bookmarkEnd w:id="1598"/>
    </w:p>
    <w:p/>
    <w:p>
      <w:pPr>
        <w:pStyle w:val="Titre4"/>
      </w:pPr>
      <w:bookmarkStart w:id="1599" w:name="_Toc110930772"/>
      <w:bookmarkStart w:id="1600" w:name="_Toc139251117"/>
      <w:bookmarkStart w:id="1601" w:name="_Toc161569515"/>
      <w:bookmarkStart w:id="1602" w:name="_Toc165785760"/>
      <w:bookmarkStart w:id="1603" w:name="_Toc165786094"/>
      <w:bookmarkStart w:id="1604" w:name="_Toc167619051"/>
      <w:bookmarkStart w:id="1605" w:name="_Toc170010471"/>
      <w:bookmarkStart w:id="1606" w:name="_Toc170813510"/>
      <w:bookmarkStart w:id="1607" w:name="_Toc170903378"/>
      <w:bookmarkStart w:id="1608" w:name="_Toc172713905"/>
      <w:bookmarkStart w:id="1609" w:name="_Toc172714150"/>
      <w:bookmarkStart w:id="1610" w:name="_Toc173060491"/>
      <w:bookmarkStart w:id="1611" w:name="_Toc173319674"/>
      <w:bookmarkStart w:id="1612" w:name="_Toc189041973"/>
      <w:bookmarkStart w:id="1613" w:name="_Toc207192221"/>
      <w:bookmarkStart w:id="1614" w:name="_Toc295932092"/>
      <w:bookmarkStart w:id="1615" w:name="_Toc423420129"/>
      <w:bookmarkStart w:id="1616" w:name="_Toc450645336"/>
      <w:bookmarkStart w:id="1617" w:name="_Toc453942575"/>
      <w:bookmarkStart w:id="1618" w:name="_Toc454888192"/>
      <w:bookmarkStart w:id="1619" w:name="_Toc486241852"/>
      <w:r>
        <w:t xml:space="preserve">4.6.6.1. </w:t>
      </w:r>
      <w:r>
        <w:tab/>
        <w:t>Règle générale</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pPr>
        <w:widowControl w:val="0"/>
        <w:jc w:val="both"/>
      </w:pPr>
    </w:p>
    <w:p>
      <w:pPr>
        <w:jc w:val="both"/>
      </w:pPr>
      <w:r>
        <w:t xml:space="preserve">Les documents détaillant les horaires hebdomadaires tant des élèves que des enseignants doivent être tenus à la disposition de l'Inspection </w:t>
      </w:r>
    </w:p>
    <w:p>
      <w:pPr>
        <w:jc w:val="both"/>
      </w:pPr>
    </w:p>
    <w:p>
      <w:pPr>
        <w:pStyle w:val="Corpsdetexte"/>
      </w:pPr>
      <w:r>
        <w:t>Ces documents sont rédigés par école et, au cas où l’école comprend plus d’une implantation et que les implantations ne possèdent pas toutes le même horaire global, par groupe d’implantations utilisant le même horaire global. Une distinction entre l’enseignement maternel et l’enseignement primaire doit être établie: ces deux niveaux ne respectant pas nécessairement le même horaire.</w:t>
      </w:r>
    </w:p>
    <w:p>
      <w:pPr>
        <w:pStyle w:val="Corpsdetexte"/>
      </w:pPr>
    </w:p>
    <w:p>
      <w:pPr>
        <w:pStyle w:val="Corpsdetexte"/>
      </w:pPr>
      <w:r>
        <w:t>Ces documents indiquent:</w:t>
      </w:r>
    </w:p>
    <w:p>
      <w:pPr>
        <w:numPr>
          <w:ilvl w:val="0"/>
          <w:numId w:val="26"/>
        </w:numPr>
        <w:tabs>
          <w:tab w:val="clear" w:pos="2291"/>
          <w:tab w:val="left" w:pos="900"/>
        </w:tabs>
        <w:spacing w:after="120"/>
        <w:ind w:left="895" w:hanging="357"/>
        <w:jc w:val="both"/>
      </w:pPr>
      <w:r>
        <w:t xml:space="preserve">l’horaire global des élèves, c’est-à-dire les heures de début et de fin des cours le matin et l’après-midi. </w:t>
      </w:r>
    </w:p>
    <w:p>
      <w:pPr>
        <w:pStyle w:val="Corpsdetexte"/>
        <w:numPr>
          <w:ilvl w:val="0"/>
          <w:numId w:val="26"/>
        </w:numPr>
        <w:tabs>
          <w:tab w:val="clear" w:pos="2291"/>
          <w:tab w:val="num" w:pos="900"/>
        </w:tabs>
        <w:ind w:left="895" w:hanging="357"/>
      </w:pPr>
      <w:r>
        <w:t xml:space="preserve">les membres du personnel qui dispensent les différents cours ainsi que les prestations de chaque enseignant. </w:t>
      </w:r>
    </w:p>
    <w:p>
      <w:pPr>
        <w:pStyle w:val="Corpsdetexte"/>
      </w:pPr>
    </w:p>
    <w:p>
      <w:pPr>
        <w:pStyle w:val="Corpsdetexte"/>
      </w:pPr>
      <w:r>
        <w:t xml:space="preserve">Ils doivent être datés et signés par chaque membre du personnel enseignant en regard de son nom, par la direction de l'école et par le Pouvoir organisateur. </w:t>
      </w:r>
    </w:p>
    <w:p>
      <w:pPr>
        <w:pStyle w:val="Corpsdetexte"/>
      </w:pPr>
    </w:p>
    <w:p>
      <w:pPr>
        <w:pStyle w:val="Corpsdetexte"/>
        <w:widowControl w:val="0"/>
        <w:rPr>
          <w:spacing w:val="0"/>
        </w:rPr>
      </w:pPr>
      <w:r>
        <w:rPr>
          <w:spacing w:val="0"/>
        </w:rPr>
        <w:t>Dans les établissements scolaires où le règlement de travail est d’application en vertu de la loi du 8 avril 1965 instituant les règlements de travail, une copie des documents "horaire" sera annexée au dit règlement du travail.</w:t>
      </w:r>
      <w:r>
        <w:rPr>
          <w:spacing w:val="0"/>
        </w:rPr>
        <w:tab/>
      </w:r>
      <w:r>
        <w:rPr>
          <w:spacing w:val="0"/>
        </w:rPr>
        <w:br/>
      </w:r>
    </w:p>
    <w:p>
      <w:pPr>
        <w:pStyle w:val="Titre4"/>
      </w:pPr>
      <w:bookmarkStart w:id="1620" w:name="_Toc110930773"/>
      <w:bookmarkStart w:id="1621" w:name="_Toc139251118"/>
      <w:bookmarkStart w:id="1622" w:name="_Toc161569516"/>
      <w:bookmarkStart w:id="1623" w:name="_Toc165785761"/>
      <w:bookmarkStart w:id="1624" w:name="_Toc165786095"/>
      <w:bookmarkStart w:id="1625" w:name="_Toc167619052"/>
      <w:bookmarkStart w:id="1626" w:name="_Toc170010472"/>
      <w:bookmarkStart w:id="1627" w:name="_Toc170813511"/>
      <w:bookmarkStart w:id="1628" w:name="_Toc170903379"/>
      <w:bookmarkStart w:id="1629" w:name="_Toc172713906"/>
      <w:bookmarkStart w:id="1630" w:name="_Toc172714151"/>
      <w:bookmarkStart w:id="1631" w:name="_Toc173060492"/>
      <w:bookmarkStart w:id="1632" w:name="_Toc173319675"/>
      <w:bookmarkStart w:id="1633" w:name="_Toc189041974"/>
      <w:bookmarkStart w:id="1634" w:name="_Toc207192222"/>
      <w:bookmarkStart w:id="1635" w:name="_Toc295932093"/>
      <w:bookmarkStart w:id="1636" w:name="_Toc423420130"/>
      <w:bookmarkStart w:id="1637" w:name="_Toc450645337"/>
      <w:bookmarkStart w:id="1638" w:name="_Toc453942576"/>
      <w:bookmarkStart w:id="1639" w:name="_Toc454888193"/>
      <w:bookmarkStart w:id="1640" w:name="_Toc486241853"/>
      <w:r>
        <w:t xml:space="preserve">4.6.6.2. </w:t>
      </w:r>
      <w:r>
        <w:tab/>
        <w:t>Contrôle des horaires des élèves et des enseignants</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pPr>
        <w:widowControl w:val="0"/>
        <w:jc w:val="both"/>
      </w:pPr>
    </w:p>
    <w:p>
      <w:pPr>
        <w:widowControl w:val="0"/>
        <w:jc w:val="both"/>
      </w:pPr>
      <w:r>
        <w:t>L’Inspection contrôle le respect des horaires dans le cadre de ses missions ordinaires.</w:t>
      </w:r>
    </w:p>
    <w:p/>
    <w:p>
      <w:pPr>
        <w:pStyle w:val="MonTitre1"/>
      </w:pPr>
      <w:r>
        <w:br w:type="page"/>
      </w:r>
      <w:bookmarkStart w:id="1641" w:name="_Toc295932094"/>
      <w:bookmarkStart w:id="1642" w:name="_Toc295913807"/>
      <w:bookmarkStart w:id="1643" w:name="_Toc295992143"/>
      <w:bookmarkStart w:id="1644" w:name="_Toc423420131"/>
      <w:bookmarkStart w:id="1645" w:name="_Toc450645338"/>
      <w:bookmarkStart w:id="1646" w:name="_Toc453942577"/>
      <w:bookmarkStart w:id="1647" w:name="_Toc454888194"/>
      <w:bookmarkStart w:id="1648" w:name="_Toc486241854"/>
      <w:bookmarkEnd w:id="1218"/>
      <w:r>
        <w:t xml:space="preserve">Titre 5. </w:t>
      </w:r>
      <w:r>
        <w:tab/>
        <w:t>Sanction des études – Certificat d'études de base</w:t>
      </w:r>
      <w:bookmarkEnd w:id="1641"/>
      <w:bookmarkEnd w:id="1642"/>
      <w:bookmarkEnd w:id="1643"/>
      <w:bookmarkEnd w:id="1644"/>
      <w:bookmarkEnd w:id="1645"/>
      <w:bookmarkEnd w:id="1646"/>
      <w:bookmarkEnd w:id="1647"/>
      <w:bookmarkEnd w:id="1648"/>
    </w:p>
    <w:p>
      <w:pPr>
        <w:ind w:left="1759" w:hanging="1760"/>
        <w:rPr>
          <w:b/>
          <w:i/>
          <w:u w:val="single"/>
        </w:rPr>
      </w:pPr>
    </w:p>
    <w:p>
      <w:pPr>
        <w:ind w:left="1759" w:hanging="1760"/>
        <w:rPr>
          <w:i/>
          <w:spacing w:val="-12"/>
        </w:rPr>
      </w:pPr>
      <w:r>
        <w:rPr>
          <w:b/>
          <w:i/>
          <w:u w:val="single"/>
        </w:rPr>
        <w:t>Bases légales</w:t>
      </w:r>
      <w:r>
        <w:t>:</w:t>
      </w:r>
      <w:r>
        <w:tab/>
      </w:r>
      <w:hyperlink r:id="rId130" w:history="1">
        <w:r>
          <w:rPr>
            <w:rStyle w:val="Lienhypertexte"/>
            <w:i/>
            <w:color w:val="auto"/>
            <w:spacing w:val="-12"/>
          </w:rPr>
          <w:t xml:space="preserve">Loi du 29/06/1983 concernant l'obligation scolaire, article 6 </w:t>
        </w:r>
      </w:hyperlink>
      <w:r>
        <w:rPr>
          <w:i/>
          <w:spacing w:val="-12"/>
        </w:rPr>
        <w:t xml:space="preserve">;  </w:t>
      </w:r>
      <w:r>
        <w:rPr>
          <w:i/>
          <w:spacing w:val="-12"/>
        </w:rPr>
        <w:br/>
      </w:r>
      <w:hyperlink r:id="rId131" w:history="1">
        <w:r>
          <w:rPr>
            <w:rStyle w:val="Lienhypertexte"/>
            <w:i/>
            <w:color w:val="auto"/>
            <w:spacing w:val="-12"/>
          </w:rPr>
          <w:t xml:space="preserve">Décret-Missions du 24/07/1997 </w:t>
        </w:r>
      </w:hyperlink>
      <w:r>
        <w:rPr>
          <w:i/>
          <w:spacing w:val="-12"/>
        </w:rPr>
        <w:t>;</w:t>
      </w:r>
    </w:p>
    <w:p>
      <w:pPr>
        <w:ind w:left="1759"/>
        <w:rPr>
          <w:i/>
          <w:spacing w:val="-12"/>
        </w:rPr>
      </w:pPr>
      <w:hyperlink r:id="rId132" w:history="1">
        <w:r>
          <w:rPr>
            <w:rStyle w:val="Lienhypertexte"/>
            <w:i/>
            <w:color w:val="auto"/>
            <w:spacing w:val="-12"/>
          </w:rPr>
          <w:t xml:space="preserve">Décret du 26/04/1999 portant confirmation des Socles de compétences;   </w:t>
        </w:r>
      </w:hyperlink>
    </w:p>
    <w:p>
      <w:pPr>
        <w:ind w:left="1759"/>
        <w:rPr>
          <w:i/>
          <w:spacing w:val="-12"/>
        </w:rPr>
      </w:pPr>
      <w:hyperlink r:id="rId133" w:history="1">
        <w:r>
          <w:rPr>
            <w:rStyle w:val="Lienhypertexte"/>
            <w:i/>
            <w:color w:val="auto"/>
            <w:spacing w:val="-12"/>
          </w:rPr>
          <w:t>Décret du 02/06/2006 relatif à l’évaluation externe des acquis des élèves de l’enseignement obligatoire et au Certificat d’Etudes de Base au terme de l’enseignement primaire.</w:t>
        </w:r>
      </w:hyperlink>
    </w:p>
    <w:p>
      <w:pPr>
        <w:ind w:left="1759"/>
        <w:rPr>
          <w:bCs/>
          <w:i/>
          <w:spacing w:val="-12"/>
        </w:rPr>
      </w:pPr>
      <w:hyperlink r:id="rId134" w:history="1">
        <w:r>
          <w:rPr>
            <w:rStyle w:val="Lienhypertexte"/>
            <w:bCs/>
            <w:i/>
            <w:color w:val="auto"/>
            <w:spacing w:val="-12"/>
          </w:rPr>
          <w:t>Arrêté du 15/09/2006 déterminant les modalités d’inscription, de passation et de correction de l’épreuve externe commune octroyant le CEB et la forme de celui-ci</w:t>
        </w:r>
      </w:hyperlink>
      <w:r>
        <w:rPr>
          <w:bCs/>
          <w:i/>
          <w:spacing w:val="-12"/>
        </w:rPr>
        <w:t>.</w:t>
      </w:r>
    </w:p>
    <w:p>
      <w:pPr>
        <w:jc w:val="both"/>
        <w:rPr>
          <w:rStyle w:val="Titre1Car"/>
          <w:i/>
          <w:iCs/>
        </w:rPr>
      </w:pPr>
    </w:p>
    <w:p>
      <w:pPr>
        <w:jc w:val="both"/>
        <w:rPr>
          <w:rStyle w:val="Titre1Car"/>
          <w:i/>
          <w:iCs/>
        </w:rPr>
      </w:pPr>
    </w:p>
    <w:p>
      <w:pPr>
        <w:jc w:val="both"/>
        <w:rPr>
          <w:rStyle w:val="Titre1Car"/>
          <w:b w:val="0"/>
          <w:iCs/>
          <w:u w:val="none"/>
        </w:rPr>
      </w:pPr>
      <w:r>
        <w:rPr>
          <w:rStyle w:val="Titre1Car"/>
          <w:b w:val="0"/>
          <w:iCs/>
          <w:u w:val="none"/>
        </w:rPr>
        <w:t xml:space="preserve">Une circulaire spécifique précisant les dispositions applicables en matière d'octroi du C.E.B. au terme de l'année scolaire 2017-2018 sera communiquée à l'ensemble des établissements et pouvoirs organisateurs dans le courant de l'année scolaire. </w:t>
      </w:r>
    </w:p>
    <w:p>
      <w:pPr>
        <w:pStyle w:val="En-tte"/>
        <w:tabs>
          <w:tab w:val="clear" w:pos="4536"/>
          <w:tab w:val="clear" w:pos="9072"/>
        </w:tabs>
        <w:rPr>
          <w:sz w:val="32"/>
        </w:rPr>
      </w:pPr>
    </w:p>
    <w:p>
      <w:pPr>
        <w:jc w:val="both"/>
        <w:rPr>
          <w:sz w:val="24"/>
          <w:lang w:val="fr-BE"/>
        </w:rPr>
      </w:pPr>
    </w:p>
    <w:p/>
    <w:p>
      <w:pPr>
        <w:pStyle w:val="MonTitre1"/>
      </w:pPr>
      <w:bookmarkStart w:id="1649" w:name="_Titre_6_:"/>
      <w:bookmarkEnd w:id="1649"/>
      <w:r>
        <w:br w:type="page"/>
      </w:r>
      <w:bookmarkStart w:id="1650" w:name="_Toc295932095"/>
      <w:bookmarkStart w:id="1651" w:name="_Toc295913808"/>
      <w:bookmarkStart w:id="1652" w:name="_Toc295992144"/>
      <w:bookmarkStart w:id="1653" w:name="_Toc423420132"/>
      <w:bookmarkStart w:id="1654" w:name="_Toc450645339"/>
      <w:bookmarkStart w:id="1655" w:name="_Toc453942578"/>
      <w:bookmarkStart w:id="1656" w:name="_Toc454888195"/>
      <w:bookmarkStart w:id="1657" w:name="_Toc486241855"/>
      <w:r>
        <w:t xml:space="preserve">Titre 6. </w:t>
      </w:r>
      <w:r>
        <w:tab/>
        <w:t>Dispositions en matière de vérification</w:t>
      </w:r>
      <w:bookmarkEnd w:id="1650"/>
      <w:bookmarkEnd w:id="1651"/>
      <w:bookmarkEnd w:id="1652"/>
      <w:bookmarkEnd w:id="1653"/>
      <w:bookmarkEnd w:id="1654"/>
      <w:bookmarkEnd w:id="1655"/>
      <w:bookmarkEnd w:id="1656"/>
      <w:bookmarkEnd w:id="1657"/>
    </w:p>
    <w:p>
      <w:pPr>
        <w:rPr>
          <w:sz w:val="28"/>
          <w:szCs w:val="28"/>
          <w:lang w:val="fr-BE"/>
        </w:rPr>
      </w:pPr>
    </w:p>
    <w:p>
      <w:pPr>
        <w:ind w:left="1799" w:hanging="1800"/>
        <w:rPr>
          <w:i/>
        </w:rPr>
      </w:pPr>
      <w:r>
        <w:rPr>
          <w:b/>
          <w:i/>
          <w:u w:val="single"/>
        </w:rPr>
        <w:t>Bases légales</w:t>
      </w:r>
      <w:r>
        <w:rPr>
          <w:i/>
        </w:rPr>
        <w:t xml:space="preserve">: </w:t>
      </w:r>
      <w:r>
        <w:rPr>
          <w:i/>
        </w:rPr>
        <w:tab/>
      </w:r>
      <w:hyperlink r:id="rId135" w:history="1">
        <w:r>
          <w:rPr>
            <w:rStyle w:val="Lienhypertexte"/>
            <w:i/>
            <w:color w:val="auto"/>
          </w:rPr>
          <w:t>Loi du Pacte scolaire du 29/05/1959</w:t>
        </w:r>
      </w:hyperlink>
      <w:r>
        <w:rPr>
          <w:i/>
        </w:rPr>
        <w:t>;</w:t>
      </w:r>
    </w:p>
    <w:p>
      <w:pPr>
        <w:ind w:left="1799" w:hanging="1800"/>
        <w:jc w:val="both"/>
        <w:rPr>
          <w:i/>
        </w:rPr>
      </w:pPr>
      <w:r>
        <w:rPr>
          <w:b/>
          <w:i/>
        </w:rPr>
        <w:tab/>
      </w:r>
      <w:hyperlink r:id="rId136" w:history="1">
        <w:r>
          <w:rPr>
            <w:rStyle w:val="Lienhypertexte"/>
            <w:i/>
            <w:color w:val="auto"/>
          </w:rPr>
          <w:t>Arrêté royal du 20/08/1957 portant coordination des lois sur l’enseignement primaire, article 10 </w:t>
        </w:r>
      </w:hyperlink>
      <w:r>
        <w:rPr>
          <w:i/>
        </w:rPr>
        <w:t>;</w:t>
      </w:r>
    </w:p>
    <w:p>
      <w:pPr>
        <w:ind w:left="1799"/>
        <w:rPr>
          <w:i/>
        </w:rPr>
      </w:pPr>
      <w:hyperlink r:id="rId137" w:history="1">
        <w:r>
          <w:rPr>
            <w:rStyle w:val="Lienhypertexte"/>
            <w:i/>
            <w:color w:val="auto"/>
          </w:rPr>
          <w:t xml:space="preserve">Loi sur l'obligation scolaire du 29/06/1983 </w:t>
        </w:r>
      </w:hyperlink>
      <w:r>
        <w:rPr>
          <w:i/>
        </w:rPr>
        <w:t>;</w:t>
      </w:r>
    </w:p>
    <w:p>
      <w:pPr>
        <w:ind w:left="1799"/>
        <w:rPr>
          <w:i/>
        </w:rPr>
      </w:pPr>
      <w:hyperlink r:id="rId138" w:history="1">
        <w:r>
          <w:rPr>
            <w:rStyle w:val="Lienhypertexte"/>
            <w:i/>
            <w:color w:val="auto"/>
          </w:rPr>
          <w:t>Décret-Missions du 24/07/1997</w:t>
        </w:r>
      </w:hyperlink>
      <w:r>
        <w:rPr>
          <w:i/>
        </w:rPr>
        <w:t xml:space="preserve">; </w:t>
      </w:r>
      <w:r>
        <w:rPr>
          <w:i/>
        </w:rPr>
        <w:br/>
      </w:r>
      <w:hyperlink r:id="rId139" w:history="1">
        <w:r>
          <w:rPr>
            <w:rStyle w:val="Lienhypertexte"/>
            <w:i/>
            <w:color w:val="auto"/>
          </w:rPr>
          <w:t>Décret-cadre du 13/07/1998</w:t>
        </w:r>
      </w:hyperlink>
      <w:r>
        <w:rPr>
          <w:i/>
        </w:rPr>
        <w:t xml:space="preserve">; </w:t>
      </w:r>
      <w:r>
        <w:rPr>
          <w:i/>
        </w:rPr>
        <w:br/>
      </w:r>
      <w:hyperlink r:id="rId140" w:history="1">
        <w:r>
          <w:rPr>
            <w:rStyle w:val="Lienhypertexte"/>
            <w:i/>
            <w:color w:val="auto"/>
          </w:rPr>
          <w:t>Modèle de registre de fréquentation figurant dans la circulaire du 27/07/1977</w:t>
        </w:r>
      </w:hyperlink>
      <w:r>
        <w:rPr>
          <w:i/>
        </w:rPr>
        <w:t xml:space="preserve">; </w:t>
      </w:r>
      <w:r>
        <w:rPr>
          <w:i/>
        </w:rPr>
        <w:br/>
      </w:r>
      <w:hyperlink r:id="rId141" w:history="1">
        <w:r>
          <w:rPr>
            <w:rStyle w:val="Lienhypertexte"/>
            <w:rFonts w:cs="Arial"/>
            <w:i/>
            <w:color w:val="auto"/>
          </w:rPr>
          <w:t>Décret du 18/05/2012 visant la mise en place d’un dispositif d’accueil et de scolarisation des élèves primo-arrivants dans l’enseignement organisé ou subventionné par la Communauté française</w:t>
        </w:r>
      </w:hyperlink>
      <w:r>
        <w:rPr>
          <w:i/>
        </w:rPr>
        <w:tab/>
      </w:r>
      <w:r>
        <w:rPr>
          <w:i/>
        </w:rPr>
        <w:br/>
      </w:r>
    </w:p>
    <w:p>
      <w:pPr>
        <w:jc w:val="both"/>
      </w:pPr>
      <w:r>
        <w:rPr>
          <w:b/>
          <w:u w:val="single"/>
        </w:rPr>
        <w:t>Remarque préalable</w:t>
      </w:r>
      <w:r>
        <w:t xml:space="preserve"> : le présent titre abroge et remplace la circulaire du 27 juillet 1977, à l’exception du modèle de registre de fréquentation. </w:t>
      </w:r>
    </w:p>
    <w:p>
      <w:pPr>
        <w:ind w:left="1799"/>
        <w:rPr>
          <w:i/>
          <w:szCs w:val="22"/>
        </w:rPr>
      </w:pPr>
    </w:p>
    <w:p>
      <w:pPr>
        <w:pStyle w:val="Titre2"/>
      </w:pPr>
      <w:bookmarkStart w:id="1658" w:name="_Chapitre_6.1._Le"/>
      <w:bookmarkStart w:id="1659" w:name="_Toc295932096"/>
      <w:bookmarkStart w:id="1660" w:name="_Toc295913809"/>
      <w:bookmarkStart w:id="1661" w:name="_Toc423420133"/>
      <w:bookmarkStart w:id="1662" w:name="_Toc450645340"/>
      <w:bookmarkStart w:id="1663" w:name="_Toc453942579"/>
      <w:bookmarkStart w:id="1664" w:name="_Toc454888196"/>
      <w:bookmarkStart w:id="1665" w:name="_Toc486241856"/>
      <w:bookmarkEnd w:id="1658"/>
      <w:r>
        <w:t>Chapitre 6.1.</w:t>
      </w:r>
      <w:r>
        <w:tab/>
      </w:r>
      <w:bookmarkEnd w:id="1659"/>
      <w:bookmarkEnd w:id="1660"/>
      <w:r>
        <w:t>Dispositions générales</w:t>
      </w:r>
      <w:bookmarkEnd w:id="1661"/>
      <w:bookmarkEnd w:id="1662"/>
      <w:bookmarkEnd w:id="1663"/>
      <w:bookmarkEnd w:id="1664"/>
      <w:bookmarkEnd w:id="1665"/>
    </w:p>
    <w:p>
      <w:pPr>
        <w:rPr>
          <w:sz w:val="16"/>
          <w:szCs w:val="16"/>
        </w:rPr>
      </w:pPr>
    </w:p>
    <w:p>
      <w:pPr>
        <w:pStyle w:val="Titre3"/>
      </w:pPr>
      <w:bookmarkStart w:id="1666" w:name="_Toc423420134"/>
      <w:bookmarkStart w:id="1667" w:name="_Toc450645341"/>
      <w:bookmarkStart w:id="1668" w:name="_Toc453942580"/>
      <w:bookmarkStart w:id="1669" w:name="_Toc454888197"/>
      <w:bookmarkStart w:id="1670" w:name="_Toc486241857"/>
      <w:r>
        <w:t xml:space="preserve">6. 1. 1. </w:t>
      </w:r>
      <w:r>
        <w:tab/>
        <w:t>Le rôle du vérificateur et les finalités du contrôle de la population scolaire</w:t>
      </w:r>
      <w:bookmarkEnd w:id="1666"/>
      <w:bookmarkEnd w:id="1667"/>
      <w:bookmarkEnd w:id="1668"/>
      <w:bookmarkEnd w:id="1669"/>
      <w:bookmarkEnd w:id="1670"/>
    </w:p>
    <w:p>
      <w:pPr>
        <w:rPr>
          <w:sz w:val="16"/>
          <w:szCs w:val="16"/>
        </w:rPr>
      </w:pPr>
    </w:p>
    <w:p>
      <w:pPr>
        <w:jc w:val="both"/>
      </w:pPr>
      <w:bookmarkStart w:id="1671" w:name="_Toc295932097"/>
      <w:bookmarkStart w:id="1672" w:name="_Toc295913810"/>
      <w:r>
        <w:rPr>
          <w:b/>
          <w:i/>
          <w:u w:val="single"/>
        </w:rPr>
        <w:t>Le vérificateur</w:t>
      </w:r>
      <w:r>
        <w:t xml:space="preserve"> est l'agent de l’administration chargé du contrôle des populations scolaires ainsi que de l’usage des dotations et des subventions de fonctionnement dans les écoles. Les aspects comptables de son travail ne seront toutefois pas abordés dans le cadre de cette circulaire.</w:t>
      </w:r>
    </w:p>
    <w:p>
      <w:pPr>
        <w:jc w:val="both"/>
        <w:rPr>
          <w:sz w:val="16"/>
          <w:szCs w:val="16"/>
        </w:rPr>
      </w:pPr>
    </w:p>
    <w:p>
      <w:pPr>
        <w:jc w:val="both"/>
        <w:rPr>
          <w:u w:val="single"/>
        </w:rPr>
      </w:pPr>
      <w:r>
        <w:rPr>
          <w:b/>
          <w:i/>
          <w:u w:val="single"/>
        </w:rPr>
        <w:t>Le contrôle de la population scolaire</w:t>
      </w:r>
      <w:r>
        <w:t xml:space="preserve"> vise à recenser le nombre d’élèves « admissibles », c’est-à-dire régulièrement inscrits conformément aux prescrits réglementaires, dans les écoles et implantations dans le but de :</w:t>
      </w:r>
    </w:p>
    <w:p>
      <w:pPr>
        <w:numPr>
          <w:ilvl w:val="0"/>
          <w:numId w:val="158"/>
        </w:numPr>
      </w:pPr>
      <w:r>
        <w:t xml:space="preserve">vérifier que les minima de populations scolaires eu égard aux normes de rationalisation/programmation sont atteints (voir </w:t>
      </w:r>
      <w:hyperlink w:anchor="_Chapitre_3.1._Programmation_" w:history="1">
        <w:r>
          <w:rPr>
            <w:rStyle w:val="Lienhypertexte"/>
            <w:color w:val="auto"/>
          </w:rPr>
          <w:t>chapitre 3.1.</w:t>
        </w:r>
      </w:hyperlink>
      <w:r>
        <w:t>) ;</w:t>
      </w:r>
    </w:p>
    <w:p>
      <w:pPr>
        <w:numPr>
          <w:ilvl w:val="0"/>
          <w:numId w:val="158"/>
        </w:numPr>
        <w:jc w:val="both"/>
      </w:pPr>
      <w:r>
        <w:t xml:space="preserve">déterminer le capital-périodes dans l'enseignement primaire, c’est-à-dire le nombre de périodes de cours dont dépendra le nombre de professeurs, et l'encadrement dans l'enseignement maternel (voir </w:t>
      </w:r>
      <w:hyperlink w:anchor="Chapitre3_2" w:history="1">
        <w:r>
          <w:rPr>
            <w:rStyle w:val="Lienhypertexte"/>
            <w:color w:val="auto"/>
          </w:rPr>
          <w:t>chapitres 3.2.</w:t>
        </w:r>
      </w:hyperlink>
      <w:r>
        <w:t xml:space="preserve"> et </w:t>
      </w:r>
      <w:hyperlink w:anchor="Chapitre3_4" w:history="1">
        <w:r>
          <w:rPr>
            <w:rStyle w:val="Lienhypertexte"/>
            <w:color w:val="auto"/>
          </w:rPr>
          <w:t>3.4.</w:t>
        </w:r>
      </w:hyperlink>
      <w:r>
        <w:t xml:space="preserve">) ; </w:t>
      </w:r>
    </w:p>
    <w:p>
      <w:pPr>
        <w:numPr>
          <w:ilvl w:val="0"/>
          <w:numId w:val="158"/>
        </w:numPr>
        <w:jc w:val="both"/>
      </w:pPr>
      <w:r>
        <w:t xml:space="preserve">calculer les dotations ou les subventions de fonctionnement. C’est aussi sur ce nombre d’élèves, particulièrement sur leur identité et leur présence au sein du registre national, que s’effectue le contrôle annuel de </w:t>
      </w:r>
      <w:smartTag w:uri="urn:schemas-microsoft-com:office:smarttags" w:element="PersonName">
        <w:smartTagPr>
          <w:attr w:name="ProductID" w:val="la Cour"/>
        </w:smartTagPr>
        <w:r>
          <w:t>la Cour</w:t>
        </w:r>
      </w:smartTag>
      <w:r>
        <w:t xml:space="preserve"> des comptes imposé par la loi du 23 mai 2000 relatif au financement des Communautés et des Régions. </w:t>
      </w:r>
    </w:p>
    <w:p>
      <w:pPr>
        <w:jc w:val="both"/>
      </w:pPr>
    </w:p>
    <w:p>
      <w:pPr>
        <w:pStyle w:val="Retraitcorpsdetexte3"/>
        <w:ind w:left="0"/>
        <w:jc w:val="both"/>
        <w:rPr>
          <w:sz w:val="16"/>
          <w:szCs w:val="16"/>
        </w:rPr>
      </w:pPr>
    </w:p>
    <w:p>
      <w:pPr>
        <w:pStyle w:val="Titre3"/>
      </w:pPr>
      <w:bookmarkStart w:id="1673" w:name="_Toc423420135"/>
      <w:bookmarkStart w:id="1674" w:name="_Toc450645342"/>
      <w:bookmarkStart w:id="1675" w:name="_Toc453942581"/>
      <w:bookmarkStart w:id="1676" w:name="_Toc454888198"/>
      <w:bookmarkStart w:id="1677" w:name="_Toc486241858"/>
      <w:r>
        <w:t xml:space="preserve">6. 1. 2. </w:t>
      </w:r>
      <w:r>
        <w:tab/>
        <w:t>Les modalités de contrôle</w:t>
      </w:r>
      <w:bookmarkEnd w:id="1673"/>
      <w:bookmarkEnd w:id="1674"/>
      <w:bookmarkEnd w:id="1675"/>
      <w:bookmarkEnd w:id="1676"/>
      <w:bookmarkEnd w:id="1677"/>
    </w:p>
    <w:p>
      <w:pPr>
        <w:pStyle w:val="Retraitcorpsdetexte3"/>
        <w:ind w:left="0"/>
        <w:jc w:val="both"/>
      </w:pPr>
    </w:p>
    <w:p>
      <w:pPr>
        <w:pStyle w:val="Retraitcorpsdetexte3"/>
        <w:ind w:left="0"/>
        <w:jc w:val="both"/>
      </w:pPr>
      <w:r>
        <w:t xml:space="preserve">La vérification et la consultation des documents se déroulent au sein de l’établissement scolaire. </w:t>
      </w:r>
      <w:r>
        <w:rPr>
          <w:rFonts w:cs="Times New Roman"/>
          <w:szCs w:val="24"/>
          <w:lang w:eastAsia="fr-FR"/>
        </w:rPr>
        <w:t>Le vérificateur doit, dans l’exercice de sa mission, rester courtois en toute circonstance.</w:t>
      </w:r>
    </w:p>
    <w:p>
      <w:pPr>
        <w:pStyle w:val="Retraitcorpsdetexte3"/>
        <w:ind w:left="0"/>
        <w:jc w:val="both"/>
      </w:pPr>
    </w:p>
    <w:p>
      <w:pPr>
        <w:pStyle w:val="Retraitcorpsdetexte3"/>
        <w:ind w:left="0"/>
        <w:jc w:val="both"/>
      </w:pPr>
      <w:r>
        <w:t xml:space="preserve">En principe, pour permettre au directeur d’école de se préparer à la visite du vérificateur, ce dernier prendra contact avec le directeur afin de fixer une date à laquelle il pourra effectuer son contrôle en fonction de leurs disponibilités. </w:t>
      </w:r>
    </w:p>
    <w:p>
      <w:pPr>
        <w:jc w:val="both"/>
      </w:pPr>
      <w:r>
        <w:t>Cependant, le vérificateur reste habilité à effectuer son contrôle à l’improviste, c’est-à-dire sans prise de rendez-vous préalable, au sein de l’établissement scolaire ainsi qu’au sein de chacune de ses implantations, et ce à tout moment de l’année. Il peut exercer cette visite seul ou accompagné d’autre(s) membre(s) des services du gouvernement.</w:t>
      </w:r>
    </w:p>
    <w:p>
      <w:pPr>
        <w:jc w:val="both"/>
      </w:pPr>
    </w:p>
    <w:p>
      <w:pPr>
        <w:pStyle w:val="Retraitcorpsdetexte3"/>
        <w:ind w:left="0"/>
        <w:jc w:val="both"/>
        <w:rPr>
          <w:rFonts w:cs="Times New Roman"/>
          <w:szCs w:val="24"/>
          <w:lang w:eastAsia="fr-FR"/>
        </w:rPr>
      </w:pPr>
      <w:r>
        <w:rPr>
          <w:rFonts w:cs="Times New Roman"/>
          <w:szCs w:val="24"/>
          <w:lang w:eastAsia="fr-FR"/>
        </w:rPr>
        <w:t xml:space="preserve">Le vérificateur est aussi habilité à faire l’appel dans une classe dans le but d’effectuer un contrôle de registre. </w:t>
      </w:r>
    </w:p>
    <w:p>
      <w:pPr>
        <w:jc w:val="both"/>
      </w:pPr>
    </w:p>
    <w:p>
      <w:pPr>
        <w:jc w:val="both"/>
      </w:pPr>
      <w:r>
        <w:t>Il peut aussi consulter des documents d’élèves dans la mesure où ceux-ci peuvent apporter un éclaircissement sur l’inscription et la fréquentation scolaire (bulletins, journaux de classe, travaux d’élèves), mais il ne peut émettre d’opinion quant au contenu pédagogique. Il peut également demander à consulter d’autres listes et/ou documents afin d’établir de façon probante la fréquentation effective d’un élève.</w:t>
      </w:r>
    </w:p>
    <w:p>
      <w:pPr>
        <w:pStyle w:val="Retraitcorpsdetexte3"/>
        <w:ind w:left="0"/>
        <w:jc w:val="both"/>
        <w:rPr>
          <w:sz w:val="12"/>
          <w:szCs w:val="12"/>
        </w:rPr>
      </w:pPr>
    </w:p>
    <w:p>
      <w:pPr>
        <w:pStyle w:val="Retraitcorpsdetexte3"/>
        <w:ind w:left="0"/>
        <w:jc w:val="both"/>
        <w:rPr>
          <w:b/>
          <w:i/>
        </w:rPr>
      </w:pPr>
      <w:r>
        <w:t>A la fin de son contrôle, il établit un rapport que le directeur (ou son délégué) signe pour prise de connaissance. Le directeur (ou son délégué) peut ajouter ses éventuelles remarques et en reçoit une copie. Une autre copie sera également adressée aux pouvoirs organisateurs pour les réseaux officiel et libre. Les directions d’école doivent donner aux vérificateurs la possibilité d’imprimer leurs rapports dans l’école</w:t>
      </w:r>
      <w:r>
        <w:rPr>
          <w:b/>
          <w:i/>
        </w:rPr>
        <w:t>.</w:t>
      </w:r>
    </w:p>
    <w:p>
      <w:pPr>
        <w:pStyle w:val="Retraitcorpsdetexte3"/>
        <w:ind w:left="0"/>
        <w:jc w:val="both"/>
        <w:rPr>
          <w:sz w:val="12"/>
          <w:szCs w:val="12"/>
        </w:rPr>
      </w:pPr>
    </w:p>
    <w:p>
      <w:pPr>
        <w:pStyle w:val="Retraitcorpsdetexte3"/>
        <w:ind w:left="0"/>
        <w:jc w:val="both"/>
        <w:rPr>
          <w:i/>
        </w:rPr>
      </w:pPr>
      <w:r>
        <w:t>Le vérificateur possède un pouvoir de constatation et non de décision.</w:t>
      </w:r>
    </w:p>
    <w:p>
      <w:pPr>
        <w:pStyle w:val="Retraitcorpsdetexte3"/>
        <w:ind w:left="0"/>
        <w:jc w:val="both"/>
        <w:rPr>
          <w:sz w:val="12"/>
          <w:szCs w:val="12"/>
        </w:rPr>
      </w:pPr>
    </w:p>
    <w:p>
      <w:pPr>
        <w:pStyle w:val="Retraitcorpsdetexte3"/>
        <w:ind w:left="0"/>
        <w:jc w:val="both"/>
      </w:pPr>
      <w:r>
        <w:t>En cas de contestation, sur la vérification ou le contenu du rapport, le directeur d'école pour le réseau organisé par la FWB, le Pouvoir organisateur ou son délégué pour les réseaux subventionnés, sont invités à signaler leurs points de désaccord par écrit à :</w:t>
      </w:r>
    </w:p>
    <w:p>
      <w:pPr>
        <w:pStyle w:val="Retraitcorpsdetexte3"/>
        <w:spacing w:before="120"/>
        <w:ind w:left="2879"/>
        <w:jc w:val="both"/>
      </w:pPr>
      <w:r>
        <w:t>Madame Lise-Anne HANSE</w:t>
      </w:r>
    </w:p>
    <w:p>
      <w:pPr>
        <w:pStyle w:val="Retraitcorpsdetexte3"/>
        <w:ind w:left="2879"/>
        <w:jc w:val="both"/>
      </w:pPr>
      <w:r>
        <w:t>Directrice générale de l’Enseignement obligatoire</w:t>
      </w:r>
    </w:p>
    <w:p>
      <w:pPr>
        <w:pStyle w:val="Retraitcorpsdetexte3"/>
        <w:ind w:left="2879"/>
        <w:jc w:val="both"/>
      </w:pPr>
      <w:r>
        <w:t>Rue Adolphe Lavallée, 1</w:t>
      </w:r>
    </w:p>
    <w:p>
      <w:pPr>
        <w:pStyle w:val="Retraitcorpsdetexte3"/>
        <w:ind w:left="2879"/>
        <w:jc w:val="both"/>
      </w:pPr>
      <w:r>
        <w:t>1080    BRUXELLES</w:t>
      </w:r>
    </w:p>
    <w:p>
      <w:pPr>
        <w:jc w:val="both"/>
      </w:pPr>
    </w:p>
    <w:p>
      <w:pPr>
        <w:jc w:val="both"/>
      </w:pPr>
    </w:p>
    <w:p>
      <w:pPr>
        <w:pStyle w:val="Titre3"/>
      </w:pPr>
      <w:bookmarkStart w:id="1678" w:name="Section6_1_3"/>
      <w:bookmarkStart w:id="1679" w:name="_Toc423420136"/>
      <w:bookmarkStart w:id="1680" w:name="_Toc450645343"/>
      <w:bookmarkStart w:id="1681" w:name="_Toc453942582"/>
      <w:bookmarkStart w:id="1682" w:name="_Toc454888199"/>
      <w:bookmarkStart w:id="1683" w:name="_Toc486241859"/>
      <w:r>
        <w:t>6. 1. 3</w:t>
      </w:r>
      <w:bookmarkEnd w:id="1678"/>
      <w:r>
        <w:t xml:space="preserve">. </w:t>
      </w:r>
      <w:r>
        <w:tab/>
        <w:t>Les fraudes à l’inscription</w:t>
      </w:r>
      <w:bookmarkEnd w:id="1679"/>
      <w:bookmarkEnd w:id="1680"/>
      <w:bookmarkEnd w:id="1681"/>
      <w:bookmarkEnd w:id="1682"/>
      <w:bookmarkEnd w:id="1683"/>
    </w:p>
    <w:p>
      <w:pPr>
        <w:shd w:val="clear" w:color="auto" w:fill="FFFFFF"/>
        <w:jc w:val="both"/>
        <w:rPr>
          <w:rFonts w:ascii="Georgia" w:hAnsi="Georgia" w:cs="Arial"/>
          <w:sz w:val="16"/>
          <w:szCs w:val="16"/>
          <w:u w:val="single"/>
          <w:lang w:val="fr-BE"/>
        </w:rPr>
      </w:pPr>
    </w:p>
    <w:p>
      <w:pPr>
        <w:shd w:val="clear" w:color="auto" w:fill="FFFFFF"/>
        <w:jc w:val="both"/>
        <w:rPr>
          <w:rFonts w:cs="Arial"/>
          <w:szCs w:val="22"/>
          <w:lang w:val="fr-BE"/>
        </w:rPr>
      </w:pPr>
      <w:r>
        <w:rPr>
          <w:rFonts w:cs="Arial"/>
          <w:szCs w:val="22"/>
          <w:lang w:val="fr-BE"/>
        </w:rPr>
        <w:t>Conformément à l’article 29 du Code d’instruction criminelle, tout fonctionnaire ou officier public, qui, dans l'exercice de ses fonctions, acquerra la connaissance d'un crime ou d'un délit, sera tenu d'en donner avis sur-le-champ au Procureur du Roi près le tribunal dans le ressort duquel ce crime ou délit aura été commis, et de transmettre à ce magistrat tous les renseignements, procès-verbaux et actes qui y sont relatifs.</w:t>
      </w:r>
    </w:p>
    <w:p>
      <w:pPr>
        <w:shd w:val="clear" w:color="auto" w:fill="FFFFFF"/>
        <w:jc w:val="both"/>
        <w:rPr>
          <w:rFonts w:ascii="Georgia" w:hAnsi="Georgia" w:cs="Arial"/>
          <w:sz w:val="16"/>
          <w:szCs w:val="16"/>
          <w:u w:val="single"/>
          <w:lang w:val="fr-BE"/>
        </w:rPr>
      </w:pPr>
    </w:p>
    <w:p>
      <w:pPr>
        <w:jc w:val="both"/>
        <w:rPr>
          <w:rFonts w:cs="Arial"/>
          <w:szCs w:val="22"/>
          <w:lang w:val="fr-BE"/>
        </w:rPr>
      </w:pPr>
      <w:r>
        <w:rPr>
          <w:rFonts w:cs="Arial"/>
          <w:szCs w:val="22"/>
        </w:rPr>
        <w:t xml:space="preserve">Conformément à </w:t>
      </w:r>
      <w:r>
        <w:rPr>
          <w:rFonts w:cs="Arial"/>
          <w:szCs w:val="22"/>
          <w:lang w:val="fr-BE"/>
        </w:rPr>
        <w:t>l’article 35 de la loi du 29 mai 1959 modifiant certaines dispositions de la législation de l’enseignement, et sans préjudice des poursuites pénales auxquelles elle peut donner lieu :</w:t>
      </w:r>
    </w:p>
    <w:p>
      <w:pPr>
        <w:numPr>
          <w:ilvl w:val="0"/>
          <w:numId w:val="158"/>
        </w:numPr>
        <w:jc w:val="both"/>
        <w:rPr>
          <w:rFonts w:cs="Arial"/>
        </w:rPr>
      </w:pPr>
      <w:r>
        <w:rPr>
          <w:rFonts w:cs="Arial"/>
          <w:szCs w:val="22"/>
          <w:lang w:val="fr-BE"/>
        </w:rPr>
        <w:t>t</w:t>
      </w:r>
      <w:r>
        <w:rPr>
          <w:rFonts w:cs="Arial"/>
          <w:szCs w:val="22"/>
        </w:rPr>
        <w:t>oute déclaration fausse ou inexacte faite dans le but d’influencer le calcul</w:t>
      </w:r>
      <w:r>
        <w:t xml:space="preserve"> du montant des subventions est considérée comme fraude à l’inscription et peut entraîner la privation des subventions pour l’école </w:t>
      </w:r>
      <w:r>
        <w:rPr>
          <w:rFonts w:cs="Arial"/>
        </w:rPr>
        <w:t>concernée pendant une période maximale de 6 mois ;</w:t>
      </w:r>
    </w:p>
    <w:p>
      <w:pPr>
        <w:numPr>
          <w:ilvl w:val="0"/>
          <w:numId w:val="158"/>
        </w:numPr>
        <w:jc w:val="both"/>
      </w:pPr>
      <w:r>
        <w:rPr>
          <w:rFonts w:cs="Arial"/>
        </w:rPr>
        <w:t>l</w:t>
      </w:r>
      <w:r>
        <w:rPr>
          <w:rFonts w:cs="Arial"/>
          <w:szCs w:val="22"/>
          <w:lang w:val="fr-BE"/>
        </w:rPr>
        <w:t xml:space="preserve">a restitution des sommes qui auraient été indûment versées à titre de subvention sera exigée. </w:t>
      </w:r>
    </w:p>
    <w:p>
      <w:pPr>
        <w:jc w:val="both"/>
        <w:rPr>
          <w:sz w:val="12"/>
          <w:szCs w:val="12"/>
        </w:rPr>
      </w:pPr>
    </w:p>
    <w:p>
      <w:pPr>
        <w:jc w:val="both"/>
        <w:rPr>
          <w:sz w:val="12"/>
          <w:szCs w:val="12"/>
        </w:rPr>
      </w:pPr>
    </w:p>
    <w:p>
      <w:pPr>
        <w:jc w:val="both"/>
        <w:rPr>
          <w:rFonts w:cs="Arial"/>
          <w:i/>
          <w:szCs w:val="22"/>
          <w:u w:val="single"/>
          <w:lang w:val="fr-BE"/>
        </w:rPr>
      </w:pPr>
      <w:r>
        <w:rPr>
          <w:rFonts w:cs="Arial"/>
          <w:i/>
          <w:szCs w:val="22"/>
          <w:u w:val="single"/>
          <w:lang w:val="fr-BE"/>
        </w:rPr>
        <w:t>Qu’entend-t-on par « fraudes à l’inscription » ?</w:t>
      </w:r>
    </w:p>
    <w:p>
      <w:pPr>
        <w:jc w:val="both"/>
        <w:rPr>
          <w:sz w:val="12"/>
          <w:szCs w:val="12"/>
        </w:rPr>
      </w:pPr>
    </w:p>
    <w:p>
      <w:pPr>
        <w:jc w:val="both"/>
        <w:rPr>
          <w:szCs w:val="22"/>
        </w:rPr>
      </w:pPr>
      <w:r>
        <w:rPr>
          <w:szCs w:val="22"/>
        </w:rPr>
        <w:t>La liste suivante est non exhaustive.</w:t>
      </w:r>
    </w:p>
    <w:p>
      <w:pPr>
        <w:pStyle w:val="Paragraphedeliste1"/>
        <w:numPr>
          <w:ilvl w:val="0"/>
          <w:numId w:val="162"/>
        </w:numPr>
        <w:spacing w:before="120" w:after="0"/>
        <w:ind w:left="714" w:hanging="357"/>
        <w:jc w:val="both"/>
        <w:rPr>
          <w:rFonts w:ascii="Arial" w:hAnsi="Arial" w:cs="Arial"/>
        </w:rPr>
      </w:pPr>
      <w:r>
        <w:rPr>
          <w:rFonts w:ascii="Arial" w:hAnsi="Arial" w:cs="Arial"/>
        </w:rPr>
        <w:t>En maternel ou en primaire : inscription d’un élève dans les registres d’une école/implantation alors que l’élève en fréquente une autre.</w:t>
      </w:r>
    </w:p>
    <w:p>
      <w:pPr>
        <w:pStyle w:val="Paragraphedeliste1"/>
        <w:numPr>
          <w:ilvl w:val="0"/>
          <w:numId w:val="162"/>
        </w:numPr>
        <w:spacing w:after="0"/>
        <w:jc w:val="both"/>
        <w:rPr>
          <w:rFonts w:ascii="Arial" w:hAnsi="Arial" w:cs="Arial"/>
        </w:rPr>
      </w:pPr>
      <w:r>
        <w:rPr>
          <w:rFonts w:ascii="Arial" w:hAnsi="Arial" w:cs="Arial"/>
        </w:rPr>
        <w:t>En maternel ou en primaire : pointer présent un élève dans le registre de fréquentation alors que ce même élève a quitté l’établissement.</w:t>
      </w:r>
    </w:p>
    <w:p>
      <w:pPr>
        <w:pStyle w:val="Paragraphedeliste1"/>
        <w:numPr>
          <w:ilvl w:val="0"/>
          <w:numId w:val="162"/>
        </w:numPr>
        <w:spacing w:after="0"/>
        <w:jc w:val="both"/>
        <w:rPr>
          <w:rFonts w:ascii="Arial" w:hAnsi="Arial" w:cs="Arial"/>
        </w:rPr>
      </w:pPr>
      <w:r>
        <w:rPr>
          <w:rFonts w:ascii="Arial" w:hAnsi="Arial" w:cs="Arial"/>
        </w:rPr>
        <w:t>En maternel et primaire : élèves pointés le même jour dans les registres de deux écoles différentes.</w:t>
      </w:r>
    </w:p>
    <w:p>
      <w:pPr>
        <w:pStyle w:val="Paragraphedeliste1"/>
        <w:numPr>
          <w:ilvl w:val="0"/>
          <w:numId w:val="162"/>
        </w:numPr>
        <w:spacing w:after="0"/>
        <w:jc w:val="both"/>
        <w:rPr>
          <w:rFonts w:ascii="Arial" w:hAnsi="Arial" w:cs="Arial"/>
        </w:rPr>
      </w:pPr>
      <w:r>
        <w:rPr>
          <w:rFonts w:ascii="Arial" w:hAnsi="Arial" w:cs="Arial"/>
        </w:rPr>
        <w:t>En maternel : élève pointé présent dans le registre d’une école alors qu’il était absent afin d’atteindre les huit demi-jours de présence requis pour être régulièrement inscrit aux dates de comptage et dans le but d’influencer le calcul de l’encadrement. Ce type de situation est d’ailleurs souvent détecté en cas de double pointage d’un élève le même jour dans plusieurs établissements.</w:t>
      </w:r>
    </w:p>
    <w:p>
      <w:pPr>
        <w:pStyle w:val="Paragraphedeliste1"/>
        <w:numPr>
          <w:ilvl w:val="0"/>
          <w:numId w:val="162"/>
        </w:numPr>
        <w:spacing w:after="0"/>
        <w:jc w:val="both"/>
        <w:rPr>
          <w:rFonts w:ascii="Arial" w:hAnsi="Arial" w:cs="Arial"/>
        </w:rPr>
      </w:pPr>
      <w:r>
        <w:rPr>
          <w:rFonts w:ascii="Arial" w:hAnsi="Arial" w:cs="Arial"/>
        </w:rPr>
        <w:t>Manipulations dans les choix des cours philosophiques des élèves dans le but d’influencer le calcul des groupes.</w:t>
      </w:r>
    </w:p>
    <w:p>
      <w:pPr>
        <w:jc w:val="both"/>
        <w:rPr>
          <w:sz w:val="16"/>
          <w:szCs w:val="16"/>
        </w:rPr>
      </w:pPr>
    </w:p>
    <w:p>
      <w:pPr>
        <w:jc w:val="both"/>
      </w:pPr>
      <w:r>
        <w:t>Par ailleurs, en vertu de l’article 3 de l’arrêté royal n° 5 du 18 avril 1967, tout Pouvoir organisateur qui ne respecte pas les conditions d’octroi de la subvention est tenu de rembourser sans délai le montant de celle-ci.</w:t>
      </w:r>
    </w:p>
    <w:p>
      <w:pPr>
        <w:pStyle w:val="Titre2"/>
      </w:pPr>
      <w:r>
        <w:br w:type="page"/>
      </w:r>
      <w:bookmarkStart w:id="1684" w:name="_Toc423420137"/>
      <w:bookmarkStart w:id="1685" w:name="_Toc450645344"/>
      <w:bookmarkStart w:id="1686" w:name="_Toc453942583"/>
      <w:bookmarkStart w:id="1687" w:name="_Toc454888200"/>
      <w:bookmarkStart w:id="1688" w:name="_Toc486241860"/>
      <w:r>
        <w:t>Chapitre 6.2.</w:t>
      </w:r>
      <w:r>
        <w:tab/>
        <w:t>Documents nécessaires à la vérification</w:t>
      </w:r>
      <w:bookmarkEnd w:id="1671"/>
      <w:bookmarkEnd w:id="1672"/>
      <w:bookmarkEnd w:id="1684"/>
      <w:bookmarkEnd w:id="1685"/>
      <w:bookmarkEnd w:id="1686"/>
      <w:bookmarkEnd w:id="1687"/>
      <w:bookmarkEnd w:id="1688"/>
    </w:p>
    <w:p>
      <w:pPr>
        <w:pStyle w:val="Corpsdetexte2"/>
      </w:pPr>
    </w:p>
    <w:p>
      <w:pPr>
        <w:pStyle w:val="Titre3"/>
      </w:pPr>
      <w:bookmarkStart w:id="1689" w:name="Section6_2_1"/>
      <w:bookmarkStart w:id="1690" w:name="_Toc423420138"/>
      <w:bookmarkStart w:id="1691" w:name="_Toc450645345"/>
      <w:bookmarkStart w:id="1692" w:name="_Toc453942584"/>
      <w:bookmarkStart w:id="1693" w:name="_Toc454888201"/>
      <w:bookmarkStart w:id="1694" w:name="_Toc486241861"/>
      <w:r>
        <w:t>6.2.1</w:t>
      </w:r>
      <w:bookmarkEnd w:id="1689"/>
      <w:r>
        <w:t>.</w:t>
      </w:r>
      <w:r>
        <w:tab/>
        <w:t xml:space="preserve">Liste des documents à présenter lors du contrôle du Service de Vérification de </w:t>
      </w:r>
      <w:smartTag w:uri="urn:schemas-microsoft-com:office:smarttags" w:element="PersonName">
        <w:smartTagPr>
          <w:attr w:name="ProductID" w:val="la Population"/>
        </w:smartTagPr>
        <w:r>
          <w:t>la Population</w:t>
        </w:r>
      </w:smartTag>
      <w:r>
        <w:t xml:space="preserve"> scolaire</w:t>
      </w:r>
      <w:bookmarkEnd w:id="1690"/>
      <w:bookmarkEnd w:id="1691"/>
      <w:bookmarkEnd w:id="1692"/>
      <w:bookmarkEnd w:id="1693"/>
      <w:bookmarkEnd w:id="1694"/>
    </w:p>
    <w:p>
      <w:pPr>
        <w:pStyle w:val="Notedebasdepage"/>
        <w:jc w:val="both"/>
        <w:rPr>
          <w:sz w:val="12"/>
          <w:szCs w:val="12"/>
        </w:rPr>
      </w:pPr>
    </w:p>
    <w:p>
      <w:pPr>
        <w:jc w:val="both"/>
        <w:rPr>
          <w:i/>
        </w:rPr>
      </w:pPr>
      <w:r>
        <w:t xml:space="preserve">Outre le registre de fréquentation, les pièces justificatives suivantes doivent être mises à la disposition du Service de Vérification à sa demande : </w:t>
      </w:r>
    </w:p>
    <w:p>
      <w:pPr>
        <w:numPr>
          <w:ilvl w:val="2"/>
          <w:numId w:val="157"/>
        </w:numPr>
        <w:jc w:val="both"/>
      </w:pPr>
      <w:r>
        <w:t>documents d’inscription ;</w:t>
      </w:r>
    </w:p>
    <w:p>
      <w:pPr>
        <w:numPr>
          <w:ilvl w:val="2"/>
          <w:numId w:val="157"/>
        </w:numPr>
        <w:jc w:val="both"/>
      </w:pPr>
      <w:r>
        <w:t>justificatifs des absences des élèves ;</w:t>
      </w:r>
    </w:p>
    <w:p>
      <w:pPr>
        <w:numPr>
          <w:ilvl w:val="2"/>
          <w:numId w:val="157"/>
        </w:numPr>
        <w:jc w:val="both"/>
      </w:pPr>
      <w:r>
        <w:t>signalements d’absences d’élèves en âge d’obligation scolaire (convocation des parents, signalements au Service du Contrôle de l’Obligation scolaire,…) ;</w:t>
      </w:r>
    </w:p>
    <w:p>
      <w:pPr>
        <w:numPr>
          <w:ilvl w:val="2"/>
          <w:numId w:val="157"/>
        </w:numPr>
        <w:jc w:val="both"/>
      </w:pPr>
      <w:r>
        <w:t>dérogations pour inscription tardive ;</w:t>
      </w:r>
    </w:p>
    <w:p>
      <w:pPr>
        <w:numPr>
          <w:ilvl w:val="2"/>
          <w:numId w:val="157"/>
        </w:numPr>
        <w:jc w:val="both"/>
      </w:pPr>
      <w:r>
        <w:t>dérogations d’âge (maintien en 3</w:t>
      </w:r>
      <w:r>
        <w:rPr>
          <w:vertAlign w:val="superscript"/>
        </w:rPr>
        <w:t>e</w:t>
      </w:r>
      <w:r>
        <w:t xml:space="preserve"> maternelle ; avancement en 1</w:t>
      </w:r>
      <w:r>
        <w:rPr>
          <w:vertAlign w:val="superscript"/>
        </w:rPr>
        <w:t>ère</w:t>
      </w:r>
      <w:r>
        <w:t xml:space="preserve"> primaire ; maintien en 8</w:t>
      </w:r>
      <w:r>
        <w:rPr>
          <w:vertAlign w:val="superscript"/>
        </w:rPr>
        <w:t>e</w:t>
      </w:r>
      <w:r>
        <w:t xml:space="preserve"> primaire) ;</w:t>
      </w:r>
    </w:p>
    <w:p>
      <w:pPr>
        <w:numPr>
          <w:ilvl w:val="2"/>
          <w:numId w:val="157"/>
        </w:numPr>
        <w:jc w:val="both"/>
      </w:pPr>
      <w:r>
        <w:t>attestations de placement ;</w:t>
      </w:r>
    </w:p>
    <w:p>
      <w:pPr>
        <w:numPr>
          <w:ilvl w:val="2"/>
          <w:numId w:val="157"/>
        </w:numPr>
        <w:jc w:val="both"/>
      </w:pPr>
      <w:r>
        <w:t xml:space="preserve">attestations délivrées par le conseiller ou le directeur de l’Aide à </w:t>
      </w:r>
      <w:smartTag w:uri="urn:schemas-microsoft-com:office:smarttags" w:element="PersonName">
        <w:smartTagPr>
          <w:attr w:name="ProductID" w:val="la Jeunesse"/>
        </w:smartTagPr>
        <w:r>
          <w:t>la Jeunesse</w:t>
        </w:r>
      </w:smartTag>
      <w:r>
        <w:t> ;</w:t>
      </w:r>
    </w:p>
    <w:p>
      <w:pPr>
        <w:numPr>
          <w:ilvl w:val="2"/>
          <w:numId w:val="157"/>
        </w:numPr>
        <w:jc w:val="both"/>
      </w:pPr>
      <w:r>
        <w:t>refus d’inscription ou de réinscription (attestation de demande d’inscription) ;</w:t>
      </w:r>
    </w:p>
    <w:p>
      <w:pPr>
        <w:numPr>
          <w:ilvl w:val="2"/>
          <w:numId w:val="157"/>
        </w:numPr>
        <w:jc w:val="both"/>
      </w:pPr>
      <w:r>
        <w:t>exclusions (dossiers disciplinaires et signalement des exclusions) ;</w:t>
      </w:r>
    </w:p>
    <w:p>
      <w:pPr>
        <w:numPr>
          <w:ilvl w:val="2"/>
          <w:numId w:val="157"/>
        </w:numPr>
        <w:jc w:val="both"/>
      </w:pPr>
      <w:r>
        <w:t>déclarations relatives au choix du cours philosophique ;</w:t>
      </w:r>
    </w:p>
    <w:p>
      <w:pPr>
        <w:numPr>
          <w:ilvl w:val="2"/>
          <w:numId w:val="157"/>
        </w:numPr>
        <w:jc w:val="both"/>
      </w:pPr>
      <w:r>
        <w:t>documents de changement d’école (entrées et sorties) ;</w:t>
      </w:r>
    </w:p>
    <w:p>
      <w:pPr>
        <w:numPr>
          <w:ilvl w:val="2"/>
          <w:numId w:val="157"/>
        </w:numPr>
        <w:jc w:val="both"/>
      </w:pPr>
      <w:r>
        <w:t>documents de changement d’implantation à comptage séparé au sein d’une même école ;</w:t>
      </w:r>
    </w:p>
    <w:p>
      <w:pPr>
        <w:numPr>
          <w:ilvl w:val="2"/>
          <w:numId w:val="157"/>
        </w:numPr>
        <w:jc w:val="both"/>
      </w:pPr>
      <w:r>
        <w:t>copie des protocoles d’intégration d’élèves issus de l’enseignement spécialisé ;</w:t>
      </w:r>
    </w:p>
    <w:p>
      <w:pPr>
        <w:numPr>
          <w:ilvl w:val="2"/>
          <w:numId w:val="157"/>
        </w:numPr>
        <w:jc w:val="both"/>
      </w:pPr>
      <w:r>
        <w:t>copie des bilans d’intégration d’élèves issus de l’enseignement spécialisé ;</w:t>
      </w:r>
    </w:p>
    <w:p>
      <w:pPr>
        <w:numPr>
          <w:ilvl w:val="2"/>
          <w:numId w:val="157"/>
        </w:numPr>
        <w:jc w:val="both"/>
      </w:pPr>
      <w:r>
        <w:t xml:space="preserve">documents relatifs à l’Adaptation à </w:t>
      </w:r>
      <w:smartTag w:uri="urn:schemas-microsoft-com:office:smarttags" w:element="PersonName">
        <w:smartTagPr>
          <w:attr w:name="ProductID" w:val="la Langue"/>
        </w:smartTagPr>
        <w:r>
          <w:t>la Langue</w:t>
        </w:r>
      </w:smartTag>
      <w:r>
        <w:t xml:space="preserve"> de l’Enseignement (ALE) ;</w:t>
      </w:r>
    </w:p>
    <w:p>
      <w:pPr>
        <w:numPr>
          <w:ilvl w:val="2"/>
          <w:numId w:val="157"/>
        </w:numPr>
        <w:jc w:val="both"/>
      </w:pPr>
      <w:r>
        <w:t>attestations de fréquentation d’un Service d’Accrochage scolaire.</w:t>
      </w:r>
    </w:p>
    <w:p>
      <w:pPr>
        <w:pStyle w:val="Corpsdetexte2"/>
        <w:rPr>
          <w:i/>
        </w:rPr>
      </w:pPr>
    </w:p>
    <w:p>
      <w:pPr>
        <w:pStyle w:val="Corpsdetexte2"/>
        <w:rPr>
          <w:i/>
        </w:rPr>
      </w:pPr>
      <w:r>
        <w:t xml:space="preserve">Cette liste (non exhaustive) est à apprécier </w:t>
      </w:r>
      <w:r>
        <w:rPr>
          <w:b/>
          <w:u w:val="single"/>
        </w:rPr>
        <w:t>au cas par cas</w:t>
      </w:r>
      <w:r>
        <w:rPr>
          <w:b/>
        </w:rPr>
        <w:t xml:space="preserve"> </w:t>
      </w:r>
      <w:r>
        <w:t>selon les spécificités de l’élève. Tous ces documents ne doivent en effet pas être rassemblés pour un seul et même élève.</w:t>
      </w:r>
    </w:p>
    <w:p>
      <w:pPr>
        <w:pStyle w:val="Corpsdetexte2"/>
        <w:rPr>
          <w:i/>
        </w:rPr>
      </w:pPr>
    </w:p>
    <w:p>
      <w:pPr>
        <w:pStyle w:val="Corpsdetexte2"/>
      </w:pPr>
      <w:r>
        <w:rPr>
          <w:u w:val="single"/>
        </w:rPr>
        <w:t>Remarque :</w:t>
      </w:r>
      <w:r>
        <w:t xml:space="preserve"> si les documents de nature à établir qu’un élève remplit les conditions requises (date d’entrée sur le territoire belge, …) pour être considéré comme primo-arrivant, ne peuvent être fournis, une déclaration sur l’honneur des parents peut les remplacer A TITRE EXCEPTIONNEL. </w:t>
      </w:r>
    </w:p>
    <w:p>
      <w:pPr>
        <w:pStyle w:val="Corpsdetexte2"/>
      </w:pPr>
    </w:p>
    <w:p>
      <w:pPr>
        <w:pStyle w:val="Corpsdetexte2"/>
      </w:pPr>
    </w:p>
    <w:p>
      <w:pPr>
        <w:pStyle w:val="Titre3"/>
      </w:pPr>
      <w:bookmarkStart w:id="1695" w:name="_6.2.1._Le_registre"/>
      <w:bookmarkStart w:id="1696" w:name="_Toc295932098"/>
      <w:bookmarkStart w:id="1697" w:name="_Toc295913811"/>
      <w:bookmarkStart w:id="1698" w:name="_Toc423420139"/>
      <w:bookmarkStart w:id="1699" w:name="_Toc450645346"/>
      <w:bookmarkStart w:id="1700" w:name="_Toc453942585"/>
      <w:bookmarkStart w:id="1701" w:name="_Toc454888202"/>
      <w:bookmarkStart w:id="1702" w:name="_Toc486241862"/>
      <w:bookmarkEnd w:id="1695"/>
      <w:r>
        <w:t>6.2.2.</w:t>
      </w:r>
      <w:r>
        <w:tab/>
        <w:t>La base de données SIEL et le registre de fréquentation</w:t>
      </w:r>
      <w:bookmarkEnd w:id="1696"/>
      <w:bookmarkEnd w:id="1697"/>
      <w:bookmarkEnd w:id="1698"/>
      <w:bookmarkEnd w:id="1699"/>
      <w:bookmarkEnd w:id="1700"/>
      <w:bookmarkEnd w:id="1701"/>
      <w:bookmarkEnd w:id="1702"/>
    </w:p>
    <w:p>
      <w:pPr>
        <w:rPr>
          <w:szCs w:val="22"/>
        </w:rPr>
      </w:pPr>
    </w:p>
    <w:p>
      <w:pPr>
        <w:jc w:val="both"/>
        <w:rPr>
          <w:lang w:val="fr-BE"/>
        </w:rPr>
      </w:pPr>
      <w:r>
        <w:rPr>
          <w:lang w:val="fr-BE"/>
        </w:rPr>
        <w:t>Tous les renseignements contenus dans le registre matricule figurent dans SIEL, soit dans la situation de l’année courante, soit dans l’historique de l’élève. La généralisation de SIEL à tous les établissements entraine dès lors la suppression de ce registre. Cette suppression oblige une mise à jour régulière de SIEL dès qu’une modification concerne les données administratives de l’élève. Les renseignements du parcours de l’élève seront donc conservés sous forme électronique.</w:t>
      </w:r>
    </w:p>
    <w:p>
      <w:pPr>
        <w:rPr>
          <w:szCs w:val="22"/>
        </w:rPr>
      </w:pPr>
    </w:p>
    <w:p>
      <w:pPr>
        <w:jc w:val="both"/>
        <w:rPr>
          <w:szCs w:val="22"/>
        </w:rPr>
      </w:pPr>
      <w:r>
        <w:rPr>
          <w:szCs w:val="22"/>
        </w:rPr>
        <w:t xml:space="preserve">La base de données SIEL et le registre de fréquentation sont les outils de contrôle de base du vérificateur. </w:t>
      </w:r>
    </w:p>
    <w:p>
      <w:pPr>
        <w:jc w:val="both"/>
        <w:rPr>
          <w:szCs w:val="22"/>
        </w:rPr>
      </w:pPr>
    </w:p>
    <w:p>
      <w:pPr>
        <w:jc w:val="both"/>
        <w:rPr>
          <w:szCs w:val="22"/>
        </w:rPr>
      </w:pPr>
      <w:r>
        <w:rPr>
          <w:szCs w:val="22"/>
        </w:rPr>
        <w:t>L’application et le contrôle d’exécution des lois sur l’enseignement primaire coordonnées par l’arrêté royal du 20/08/1957 et de la loi du 29/05/1959 modifiant certaines dispositions de la législation de l’enseignement exigent que chaque école tienne à jour et avec le plus grand soin la base de données SIEL et le registre de fréquentation des élèves.</w:t>
      </w:r>
    </w:p>
    <w:p>
      <w:pPr>
        <w:pStyle w:val="Notedebasdepage"/>
        <w:jc w:val="both"/>
        <w:rPr>
          <w:sz w:val="22"/>
          <w:szCs w:val="22"/>
        </w:rPr>
      </w:pPr>
    </w:p>
    <w:p>
      <w:pPr>
        <w:jc w:val="both"/>
        <w:rPr>
          <w:b/>
          <w:szCs w:val="22"/>
        </w:rPr>
      </w:pPr>
      <w:r>
        <w:rPr>
          <w:b/>
          <w:szCs w:val="22"/>
        </w:rPr>
        <w:t>Il est de la responsabilité de chaque directeur d’informer correctement son personnel enseignant des consignes relatives à la bonne tenue des registres de fréquentation et de veiller à ce que ceux-ci soient dûment et régulièrement complétés.</w:t>
      </w:r>
    </w:p>
    <w:p>
      <w:pPr>
        <w:pStyle w:val="Notedebasdepage"/>
        <w:jc w:val="both"/>
        <w:rPr>
          <w:sz w:val="22"/>
          <w:szCs w:val="22"/>
        </w:rPr>
      </w:pPr>
    </w:p>
    <w:p>
      <w:pPr>
        <w:pStyle w:val="Notedebasdepage"/>
        <w:jc w:val="both"/>
        <w:rPr>
          <w:sz w:val="22"/>
          <w:szCs w:val="22"/>
        </w:rPr>
      </w:pPr>
    </w:p>
    <w:p>
      <w:pPr>
        <w:jc w:val="both"/>
        <w:rPr>
          <w:b/>
          <w:i/>
          <w:u w:val="single"/>
        </w:rPr>
      </w:pPr>
      <w:r>
        <w:t xml:space="preserve">Ces registres doivent être </w:t>
      </w:r>
      <w:r>
        <w:rPr>
          <w:b/>
          <w:u w:val="single"/>
        </w:rPr>
        <w:t>paginés et remplis de manière complète et sincère</w:t>
      </w:r>
      <w:r>
        <w:t xml:space="preserve">. Ils doivent être </w:t>
      </w:r>
      <w:r>
        <w:rPr>
          <w:b/>
          <w:i/>
          <w:u w:val="single"/>
        </w:rPr>
        <w:t>complétés dans le respect, à minima, des consignes suivantes:</w:t>
      </w:r>
    </w:p>
    <w:p>
      <w:pPr>
        <w:numPr>
          <w:ilvl w:val="0"/>
          <w:numId w:val="157"/>
        </w:numPr>
        <w:jc w:val="both"/>
      </w:pPr>
      <w:r>
        <w:rPr>
          <w:b/>
          <w:i/>
          <w:u w:val="single"/>
        </w:rPr>
        <w:t>Utilisation d’un bic</w:t>
      </w:r>
      <w:r>
        <w:t xml:space="preserve"> de couleur bleue ou noire: l’usage d’un stylo ou d’un bic à encre effaçable, ainsi que d’un crayon est strictement interdit. </w:t>
      </w:r>
    </w:p>
    <w:p>
      <w:pPr>
        <w:numPr>
          <w:ilvl w:val="0"/>
          <w:numId w:val="157"/>
        </w:numPr>
        <w:jc w:val="both"/>
      </w:pPr>
      <w:r>
        <w:rPr>
          <w:b/>
          <w:i/>
          <w:u w:val="single"/>
        </w:rPr>
        <w:t>Aucune rature ni surcharge</w:t>
      </w:r>
      <w:r>
        <w:t xml:space="preserve"> n’est autorisée: l’utilisation d’un correcteur (genre tippex) est donc formellement interdite. </w:t>
      </w:r>
    </w:p>
    <w:p>
      <w:pPr>
        <w:numPr>
          <w:ilvl w:val="0"/>
          <w:numId w:val="157"/>
        </w:numPr>
        <w:jc w:val="both"/>
      </w:pPr>
      <w:r>
        <w:rPr>
          <w:b/>
          <w:i/>
          <w:u w:val="single"/>
        </w:rPr>
        <w:t>Aucun demi-jour</w:t>
      </w:r>
      <w:r>
        <w:rPr>
          <w:i/>
        </w:rPr>
        <w:t xml:space="preserve"> </w:t>
      </w:r>
      <w:r>
        <w:t>(aucune plage de pointage) ne peut être laissé vide après la prise des présences.</w:t>
      </w:r>
    </w:p>
    <w:p>
      <w:pPr>
        <w:numPr>
          <w:ilvl w:val="0"/>
          <w:numId w:val="157"/>
        </w:numPr>
        <w:jc w:val="both"/>
      </w:pPr>
      <w:r>
        <w:rPr>
          <w:b/>
          <w:i/>
          <w:u w:val="single"/>
        </w:rPr>
        <w:t>Les corrections éventuelles doivent être portées dans la colonne « observations»</w:t>
      </w:r>
      <w:r>
        <w:t xml:space="preserve"> </w:t>
      </w:r>
      <w:r>
        <w:rPr>
          <w:b/>
          <w:i/>
          <w:u w:val="single"/>
        </w:rPr>
        <w:t>et paraphées par l’auteur de la correction</w:t>
      </w:r>
      <w:r>
        <w:t>.</w:t>
      </w:r>
    </w:p>
    <w:p>
      <w:pPr>
        <w:jc w:val="both"/>
        <w:rPr>
          <w:b/>
          <w:i/>
          <w:u w:val="single"/>
        </w:rPr>
      </w:pPr>
    </w:p>
    <w:p>
      <w:pPr>
        <w:jc w:val="both"/>
      </w:pPr>
      <w:r>
        <w:rPr>
          <w:b/>
          <w:i/>
          <w:u w:val="single"/>
        </w:rPr>
        <w:t>Attention:</w:t>
      </w:r>
      <w:r>
        <w:t xml:space="preserve"> </w:t>
      </w:r>
      <w:r>
        <w:rPr>
          <w:b/>
          <w:i/>
        </w:rPr>
        <w:t>le non respect de ces consignes peut entrainer le décompte pur et simple de l’élève !</w:t>
      </w:r>
    </w:p>
    <w:p>
      <w:pPr>
        <w:pStyle w:val="Titre6"/>
      </w:pPr>
      <w:bookmarkStart w:id="1703" w:name="_6.2.1.1.__Le"/>
      <w:bookmarkStart w:id="1704" w:name="_Toc110930791"/>
      <w:bookmarkStart w:id="1705" w:name="_Toc139251124"/>
      <w:bookmarkStart w:id="1706" w:name="_Toc165786114"/>
      <w:bookmarkStart w:id="1707" w:name="_Toc167619071"/>
      <w:bookmarkStart w:id="1708" w:name="_Toc170813530"/>
      <w:bookmarkStart w:id="1709" w:name="_Toc170903384"/>
      <w:bookmarkStart w:id="1710" w:name="_Toc172713911"/>
      <w:bookmarkStart w:id="1711" w:name="_Toc172714156"/>
      <w:bookmarkStart w:id="1712" w:name="_Toc173060497"/>
      <w:bookmarkStart w:id="1713" w:name="_Toc173319680"/>
      <w:bookmarkStart w:id="1714" w:name="_Toc189041980"/>
      <w:bookmarkStart w:id="1715" w:name="_Toc207192228"/>
      <w:bookmarkStart w:id="1716" w:name="_Toc295932099"/>
      <w:bookmarkEnd w:id="1703"/>
    </w:p>
    <w:p>
      <w:pPr>
        <w:pStyle w:val="Titre4"/>
      </w:pPr>
      <w:bookmarkStart w:id="1717" w:name="Section6_2_2_1"/>
      <w:bookmarkStart w:id="1718" w:name="_Toc423420140"/>
      <w:bookmarkStart w:id="1719" w:name="_Toc450645347"/>
      <w:bookmarkStart w:id="1720" w:name="_Toc453942586"/>
      <w:bookmarkStart w:id="1721" w:name="_Toc454888203"/>
      <w:bookmarkStart w:id="1722" w:name="_Toc486241863"/>
      <w:r>
        <w:t>6.2.2.1</w:t>
      </w:r>
      <w:bookmarkEnd w:id="1717"/>
      <w:r>
        <w:t xml:space="preserve">. </w:t>
      </w:r>
      <w:r>
        <w:tab/>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8"/>
      <w:bookmarkEnd w:id="1719"/>
      <w:r>
        <w:t>La base de données SIEL</w:t>
      </w:r>
      <w:bookmarkEnd w:id="1720"/>
      <w:bookmarkEnd w:id="1721"/>
      <w:bookmarkEnd w:id="1722"/>
    </w:p>
    <w:p>
      <w:pPr>
        <w:rPr>
          <w:i/>
          <w:sz w:val="16"/>
          <w:szCs w:val="16"/>
        </w:rPr>
      </w:pPr>
    </w:p>
    <w:p>
      <w:pPr>
        <w:pBdr>
          <w:top w:val="single" w:sz="4" w:space="1" w:color="auto"/>
          <w:left w:val="single" w:sz="4" w:space="4" w:color="auto"/>
          <w:bottom w:val="single" w:sz="4" w:space="1" w:color="auto"/>
          <w:right w:val="single" w:sz="4" w:space="4" w:color="auto"/>
        </w:pBdr>
        <w:jc w:val="both"/>
      </w:pPr>
      <w:r>
        <w:t>La base de données SIEL donne aux vérificateurs les éléments nécessaires pour pouvoir identifier l’élève mais aussi le passé scolaire de celui-ci au sein de l’école.</w:t>
      </w:r>
    </w:p>
    <w:p>
      <w:pPr>
        <w:jc w:val="both"/>
        <w:rPr>
          <w:sz w:val="16"/>
          <w:szCs w:val="16"/>
        </w:rPr>
      </w:pPr>
    </w:p>
    <w:p>
      <w:pPr>
        <w:tabs>
          <w:tab w:val="left" w:pos="720"/>
        </w:tabs>
        <w:spacing w:after="120"/>
        <w:jc w:val="both"/>
      </w:pPr>
      <w:r>
        <w:t xml:space="preserve">Les envois réguliers des nouvelles inscriptions et des modifications de la situation administrative des élèves sont gérés par le directeur de l’établissement ou la personne déléguée. </w:t>
      </w:r>
    </w:p>
    <w:p>
      <w:pPr>
        <w:ind w:left="708"/>
        <w:rPr>
          <w:b/>
          <w:u w:val="single"/>
        </w:rPr>
      </w:pPr>
      <w:r>
        <w:rPr>
          <w:b/>
          <w:u w:val="single"/>
        </w:rPr>
        <w:t>Inscription de l’élève encodée avec le n° de registre national</w:t>
      </w:r>
    </w:p>
    <w:p/>
    <w:p>
      <w:pPr>
        <w:rPr>
          <w:lang w:val="fr-BE"/>
        </w:rPr>
      </w:pPr>
      <w:r>
        <w:t>A</w:t>
      </w:r>
      <w:r>
        <w:rPr>
          <w:lang w:val="fr-BE"/>
        </w:rPr>
        <w:t xml:space="preserve"> l’inscription d’un élève, le système vérifie l’encodage et propose les dernières données connues au Registre national. </w:t>
      </w:r>
    </w:p>
    <w:p>
      <w:pPr>
        <w:rPr>
          <w:lang w:val="fr-BE"/>
        </w:rPr>
      </w:pPr>
    </w:p>
    <w:p>
      <w:pPr>
        <w:rPr>
          <w:lang w:val="fr-BE"/>
        </w:rPr>
      </w:pPr>
      <w:r>
        <w:rPr>
          <w:lang w:val="fr-BE"/>
        </w:rPr>
        <w:t>Le fait de travailler en lien avec le Registre national diminue les erreurs d’encodage (graphie d’un nom ou d’un prénom, date de naissance, …). Les Vérificateurs de la population scolaire ne demanderont plus les compositions de ménage pour un élève dont les données proviennent du registre national.</w:t>
      </w:r>
    </w:p>
    <w:p>
      <w:pPr>
        <w:rPr>
          <w:lang w:val="fr-BE"/>
        </w:rPr>
      </w:pPr>
    </w:p>
    <w:p>
      <w:pPr>
        <w:ind w:left="708"/>
        <w:rPr>
          <w:b/>
          <w:u w:val="single"/>
          <w:lang w:val="fr-BE"/>
        </w:rPr>
      </w:pPr>
      <w:r>
        <w:rPr>
          <w:b/>
          <w:u w:val="single"/>
          <w:lang w:val="fr-BE"/>
        </w:rPr>
        <w:t>Inscription de l’élève encodée sans le n° de registre national</w:t>
      </w:r>
    </w:p>
    <w:p>
      <w:pPr>
        <w:rPr>
          <w:lang w:val="fr-BE"/>
        </w:rPr>
      </w:pPr>
    </w:p>
    <w:p>
      <w:pPr>
        <w:spacing w:after="60"/>
        <w:jc w:val="both"/>
      </w:pPr>
      <w:r>
        <w:t xml:space="preserve">Les champs de SIEL doivent être complétés sur base de </w:t>
      </w:r>
      <w:r>
        <w:rPr>
          <w:u w:val="single"/>
        </w:rPr>
        <w:t>documents officiels</w:t>
      </w:r>
      <w:r>
        <w:t xml:space="preserve"> qui peuvent être contrôlés par le vérificateur. Cette exigence est justifiée par la nécessité d’identifier avec exactitude l’enfant. </w:t>
      </w:r>
    </w:p>
    <w:p>
      <w:pPr>
        <w:pStyle w:val="Notedebasdepage"/>
        <w:jc w:val="both"/>
        <w:rPr>
          <w:sz w:val="22"/>
        </w:rPr>
      </w:pPr>
    </w:p>
    <w:p>
      <w:pPr>
        <w:pStyle w:val="Corpsdetexte"/>
        <w:rPr>
          <w:spacing w:val="-2"/>
        </w:rPr>
      </w:pPr>
      <w:r>
        <w:rPr>
          <w:spacing w:val="-2"/>
        </w:rPr>
        <w:t>Par document officiel, il faut entendre tout écrit produit par une autorité officielle belge ou étrangère qui atteste de l’identité exacte et complète de l’élève ainsi que de sa date de naissance.</w:t>
      </w:r>
    </w:p>
    <w:p>
      <w:pPr>
        <w:pStyle w:val="Corpsdetexte"/>
        <w:rPr>
          <w:i/>
          <w:iCs/>
          <w:spacing w:val="-2"/>
        </w:rPr>
      </w:pPr>
    </w:p>
    <w:p>
      <w:pPr>
        <w:pStyle w:val="Corpsdetexte"/>
        <w:rPr>
          <w:i/>
          <w:iCs/>
          <w:spacing w:val="-2"/>
        </w:rPr>
      </w:pPr>
      <w:r>
        <w:rPr>
          <w:i/>
          <w:iCs/>
          <w:spacing w:val="-2"/>
        </w:rPr>
        <w:t>A titre d’exemples:</w:t>
      </w:r>
    </w:p>
    <w:p>
      <w:pPr>
        <w:pStyle w:val="Corpsdetexte"/>
        <w:rPr>
          <w:i/>
          <w:iCs/>
          <w:spacing w:val="-2"/>
          <w:sz w:val="12"/>
          <w:szCs w:val="12"/>
        </w:rPr>
      </w:pPr>
    </w:p>
    <w:p>
      <w:pPr>
        <w:numPr>
          <w:ilvl w:val="0"/>
          <w:numId w:val="58"/>
        </w:numPr>
        <w:tabs>
          <w:tab w:val="clear" w:pos="360"/>
        </w:tabs>
        <w:ind w:left="2519"/>
        <w:jc w:val="both"/>
      </w:pPr>
      <w:r>
        <w:t>Soit une carte d'identité belge ou étrangère</w:t>
      </w:r>
    </w:p>
    <w:p>
      <w:pPr>
        <w:ind w:left="2159"/>
        <w:jc w:val="both"/>
        <w:rPr>
          <w:sz w:val="8"/>
          <w:szCs w:val="8"/>
        </w:rPr>
      </w:pPr>
    </w:p>
    <w:p>
      <w:pPr>
        <w:numPr>
          <w:ilvl w:val="0"/>
          <w:numId w:val="58"/>
        </w:numPr>
        <w:tabs>
          <w:tab w:val="clear" w:pos="360"/>
        </w:tabs>
        <w:ind w:left="2519"/>
        <w:jc w:val="both"/>
      </w:pPr>
      <w:r>
        <w:t>Soit un passeport des parents avec le nom des enfants</w:t>
      </w:r>
    </w:p>
    <w:p>
      <w:pPr>
        <w:ind w:left="2159"/>
        <w:jc w:val="both"/>
        <w:rPr>
          <w:sz w:val="8"/>
          <w:szCs w:val="8"/>
        </w:rPr>
      </w:pPr>
    </w:p>
    <w:p>
      <w:pPr>
        <w:numPr>
          <w:ilvl w:val="0"/>
          <w:numId w:val="58"/>
        </w:numPr>
        <w:tabs>
          <w:tab w:val="clear" w:pos="360"/>
        </w:tabs>
        <w:ind w:left="2519"/>
        <w:jc w:val="both"/>
      </w:pPr>
      <w:r>
        <w:t>Soit un extrait d’acte de naissance</w:t>
      </w:r>
    </w:p>
    <w:p>
      <w:pPr>
        <w:ind w:left="2159"/>
        <w:jc w:val="both"/>
        <w:rPr>
          <w:sz w:val="8"/>
          <w:szCs w:val="8"/>
        </w:rPr>
      </w:pPr>
    </w:p>
    <w:p>
      <w:pPr>
        <w:numPr>
          <w:ilvl w:val="0"/>
          <w:numId w:val="58"/>
        </w:numPr>
        <w:tabs>
          <w:tab w:val="clear" w:pos="360"/>
        </w:tabs>
        <w:ind w:left="2519"/>
        <w:jc w:val="both"/>
      </w:pPr>
      <w:r>
        <w:t>Soit une composition de ménage</w:t>
      </w:r>
    </w:p>
    <w:p>
      <w:pPr>
        <w:ind w:left="2159"/>
        <w:jc w:val="both"/>
        <w:rPr>
          <w:sz w:val="8"/>
          <w:szCs w:val="8"/>
        </w:rPr>
      </w:pPr>
    </w:p>
    <w:p>
      <w:pPr>
        <w:numPr>
          <w:ilvl w:val="0"/>
          <w:numId w:val="58"/>
        </w:numPr>
        <w:tabs>
          <w:tab w:val="clear" w:pos="360"/>
        </w:tabs>
        <w:ind w:left="2519"/>
        <w:jc w:val="both"/>
      </w:pPr>
      <w:r>
        <w:t>Soit un document officiel d'identité faisant apparaître que les parents font partie du personnel d'ambassade, de l'OTAN ou du SHAPE.</w:t>
      </w:r>
    </w:p>
    <w:p>
      <w:pPr>
        <w:pStyle w:val="Paragraphedeliste"/>
        <w:ind w:left="2124"/>
        <w:rPr>
          <w:sz w:val="8"/>
          <w:szCs w:val="8"/>
        </w:rPr>
      </w:pPr>
    </w:p>
    <w:p>
      <w:pPr>
        <w:numPr>
          <w:ilvl w:val="0"/>
          <w:numId w:val="58"/>
        </w:numPr>
        <w:tabs>
          <w:tab w:val="clear" w:pos="360"/>
        </w:tabs>
        <w:ind w:left="2519"/>
        <w:jc w:val="both"/>
      </w:pPr>
      <w:r>
        <w:t>Soit une attestation officielle ou annexe émanant du Ministère de l’intérieur ou du Commissariat général aux réfugiés et aux apatrides</w:t>
      </w:r>
    </w:p>
    <w:p/>
    <w:p/>
    <w:p/>
    <w:p>
      <w:pPr>
        <w:pStyle w:val="Titre4"/>
      </w:pPr>
      <w:bookmarkStart w:id="1723" w:name="_6.2.1.2._Le_registre"/>
      <w:bookmarkStart w:id="1724" w:name="_6.2.1.2._Le_registre_"/>
      <w:bookmarkStart w:id="1725" w:name="Section6_2_2_2"/>
      <w:bookmarkStart w:id="1726" w:name="_Toc101949198"/>
      <w:bookmarkStart w:id="1727" w:name="_Toc110930792"/>
      <w:bookmarkStart w:id="1728" w:name="_Toc139251125"/>
      <w:bookmarkStart w:id="1729" w:name="_Toc165786115"/>
      <w:bookmarkStart w:id="1730" w:name="_Toc167619072"/>
      <w:bookmarkStart w:id="1731" w:name="_Toc170813531"/>
      <w:bookmarkStart w:id="1732" w:name="_Toc170903385"/>
      <w:bookmarkStart w:id="1733" w:name="_Toc172713912"/>
      <w:bookmarkStart w:id="1734" w:name="_Toc172714157"/>
      <w:bookmarkStart w:id="1735" w:name="_Toc173060498"/>
      <w:bookmarkStart w:id="1736" w:name="_Toc173319681"/>
      <w:bookmarkStart w:id="1737" w:name="_Toc189041981"/>
      <w:bookmarkStart w:id="1738" w:name="_Toc207192229"/>
      <w:bookmarkStart w:id="1739" w:name="_Toc295932100"/>
      <w:bookmarkStart w:id="1740" w:name="_Toc423420143"/>
      <w:bookmarkStart w:id="1741" w:name="_Toc450645350"/>
      <w:bookmarkStart w:id="1742" w:name="_Toc453942587"/>
      <w:bookmarkStart w:id="1743" w:name="_Toc454888204"/>
      <w:bookmarkStart w:id="1744" w:name="_Toc486241864"/>
      <w:bookmarkEnd w:id="1723"/>
      <w:bookmarkEnd w:id="1724"/>
      <w:r>
        <w:t>6.2.2.2.</w:t>
      </w:r>
      <w:bookmarkEnd w:id="1725"/>
      <w:r>
        <w:tab/>
        <w:t>Le registre de fréquentation et le relevé des élèves inscrits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p>
      <w:pPr>
        <w:pStyle w:val="Titre5"/>
      </w:pPr>
      <w:bookmarkStart w:id="1745" w:name="_6.2.1.2.1._Dans_l’enseignement"/>
      <w:bookmarkStart w:id="1746" w:name="Section6_2_2_2_1"/>
      <w:bookmarkStart w:id="1747" w:name="_Toc423420144"/>
      <w:bookmarkStart w:id="1748" w:name="_Toc450645351"/>
      <w:bookmarkStart w:id="1749" w:name="_Toc453942588"/>
      <w:bookmarkStart w:id="1750" w:name="_Toc454888205"/>
      <w:bookmarkStart w:id="1751" w:name="_Toc486241865"/>
      <w:bookmarkEnd w:id="1745"/>
      <w:r>
        <w:t>6.2.2.2.1.</w:t>
      </w:r>
      <w:bookmarkEnd w:id="1746"/>
      <w:r>
        <w:tab/>
        <w:t>Dans l’enseignement maternel</w:t>
      </w:r>
      <w:bookmarkEnd w:id="1747"/>
      <w:bookmarkEnd w:id="1748"/>
      <w:bookmarkEnd w:id="1749"/>
      <w:bookmarkEnd w:id="1750"/>
      <w:bookmarkEnd w:id="1751"/>
    </w:p>
    <w:p>
      <w:pPr>
        <w:jc w:val="both"/>
        <w:rPr>
          <w:b/>
          <w:szCs w:val="22"/>
          <w:u w:val="single"/>
        </w:rPr>
      </w:pPr>
    </w:p>
    <w:p>
      <w:pPr>
        <w:pBdr>
          <w:top w:val="single" w:sz="4" w:space="1" w:color="auto"/>
          <w:left w:val="single" w:sz="4" w:space="4" w:color="auto"/>
          <w:bottom w:val="single" w:sz="4" w:space="3" w:color="auto"/>
          <w:right w:val="single" w:sz="4" w:space="4" w:color="auto"/>
        </w:pBdr>
        <w:jc w:val="both"/>
      </w:pPr>
      <w:r>
        <w:t xml:space="preserve">Le registre de fréquentation est l’outil de base pour déterminer l’encadrement dans l’enseignement maternel. Pour rappel, </w:t>
      </w:r>
      <w:r>
        <w:rPr>
          <w:u w:val="single"/>
        </w:rPr>
        <w:t>seules les présences effectives de l’élève sont prises</w:t>
      </w:r>
      <w:r>
        <w:t xml:space="preserve"> </w:t>
      </w:r>
      <w:r>
        <w:rPr>
          <w:u w:val="single"/>
        </w:rPr>
        <w:t>en considération</w:t>
      </w:r>
      <w:r>
        <w:t xml:space="preserve"> pour déterminer si l’élève peut ou ne peut être comptabilisé aux différentes dates de comptage.</w:t>
      </w:r>
    </w:p>
    <w:p>
      <w:pPr>
        <w:jc w:val="both"/>
        <w:rPr>
          <w:szCs w:val="22"/>
        </w:rPr>
      </w:pPr>
    </w:p>
    <w:p>
      <w:pPr>
        <w:jc w:val="both"/>
      </w:pPr>
      <w:r>
        <w:t>Le titulaire de classe doit remplir le</w:t>
      </w:r>
      <w:r>
        <w:rPr>
          <w:b/>
        </w:rPr>
        <w:t xml:space="preserve"> </w:t>
      </w:r>
      <w:r>
        <w:rPr>
          <w:b/>
          <w:i/>
        </w:rPr>
        <w:t>relevé des élèves inscrits</w:t>
      </w:r>
      <w:r>
        <w:t xml:space="preserve">. </w:t>
      </w:r>
    </w:p>
    <w:p>
      <w:pPr>
        <w:jc w:val="both"/>
        <w:rPr>
          <w:szCs w:val="22"/>
        </w:rPr>
      </w:pPr>
    </w:p>
    <w:p>
      <w:pPr>
        <w:numPr>
          <w:ilvl w:val="0"/>
          <w:numId w:val="49"/>
        </w:numPr>
        <w:tabs>
          <w:tab w:val="left" w:pos="360"/>
        </w:tabs>
        <w:ind w:left="359"/>
        <w:jc w:val="both"/>
      </w:pPr>
      <w:r>
        <w:t xml:space="preserve">La liste se fait par ordre alphabétique, les élèves qui arriveraient en cours d’année devront être inscrits en fin de liste sans tenir compte de l’ordre alphabétique. </w:t>
      </w:r>
    </w:p>
    <w:p>
      <w:pPr>
        <w:numPr>
          <w:ilvl w:val="0"/>
          <w:numId w:val="49"/>
        </w:numPr>
        <w:tabs>
          <w:tab w:val="left" w:pos="360"/>
        </w:tabs>
        <w:ind w:left="359"/>
        <w:jc w:val="both"/>
      </w:pPr>
      <w:r>
        <w:t>Les informations suivantes doivent être complétées en concordance avec la base de données SIEL :</w:t>
      </w:r>
    </w:p>
    <w:p>
      <w:pPr>
        <w:numPr>
          <w:ilvl w:val="0"/>
          <w:numId w:val="59"/>
        </w:numPr>
        <w:tabs>
          <w:tab w:val="clear" w:pos="720"/>
          <w:tab w:val="left" w:pos="1080"/>
        </w:tabs>
        <w:ind w:left="1079"/>
        <w:jc w:val="both"/>
      </w:pPr>
      <w:r>
        <w:t>Pour l’élève: nom, prénom, sexe, lieu et date de naissance (la colonne correspondant au numéro matricule ne doit plus être complétée)</w:t>
      </w:r>
    </w:p>
    <w:p>
      <w:pPr>
        <w:numPr>
          <w:ilvl w:val="0"/>
          <w:numId w:val="59"/>
        </w:numPr>
        <w:tabs>
          <w:tab w:val="clear" w:pos="720"/>
          <w:tab w:val="left" w:pos="1080"/>
        </w:tabs>
        <w:ind w:left="1079"/>
        <w:jc w:val="both"/>
      </w:pPr>
      <w:r>
        <w:t>Pour les parents ou la personne investie de l’autorité parentale: le nom, le prénom, la rue, le numéro et la localité</w:t>
      </w:r>
    </w:p>
    <w:p>
      <w:pPr>
        <w:jc w:val="both"/>
        <w:rPr>
          <w:szCs w:val="22"/>
        </w:rPr>
      </w:pPr>
    </w:p>
    <w:p>
      <w:pPr>
        <w:jc w:val="both"/>
        <w:rPr>
          <w:b/>
          <w:u w:val="single"/>
        </w:rPr>
      </w:pPr>
      <w:r>
        <w:t xml:space="preserve">Le </w:t>
      </w:r>
      <w:r>
        <w:rPr>
          <w:b/>
          <w:u w:val="single"/>
        </w:rPr>
        <w:t>titulaire de classe</w:t>
      </w:r>
      <w:r>
        <w:t xml:space="preserve"> doit tenir le</w:t>
      </w:r>
      <w:r>
        <w:rPr>
          <w:b/>
        </w:rPr>
        <w:t xml:space="preserve"> </w:t>
      </w:r>
      <w:r>
        <w:rPr>
          <w:b/>
          <w:i/>
        </w:rPr>
        <w:t>registre de fréquentation</w:t>
      </w:r>
      <w:r>
        <w:rPr>
          <w:b/>
        </w:rPr>
        <w:t xml:space="preserve"> </w:t>
      </w:r>
      <w:r>
        <w:t>à jour</w:t>
      </w:r>
      <w:r>
        <w:rPr>
          <w:b/>
        </w:rPr>
        <w:t xml:space="preserve">.  </w:t>
      </w:r>
    </w:p>
    <w:p>
      <w:pPr>
        <w:jc w:val="both"/>
        <w:rPr>
          <w:szCs w:val="22"/>
        </w:rPr>
      </w:pPr>
    </w:p>
    <w:p>
      <w:pPr>
        <w:numPr>
          <w:ilvl w:val="0"/>
          <w:numId w:val="49"/>
        </w:numPr>
        <w:tabs>
          <w:tab w:val="left" w:pos="360"/>
        </w:tabs>
        <w:ind w:left="359"/>
        <w:jc w:val="both"/>
        <w:rPr>
          <w:spacing w:val="-2"/>
        </w:rPr>
      </w:pPr>
      <w:r>
        <w:rPr>
          <w:spacing w:val="-2"/>
        </w:rPr>
        <w:t>Dès le premier mois, la liste des élèves qui fréquenteront la classe durant ce mois est transcrite à la page de ce mois. Les élèves qui arriveraient en cours de mois devront être inscrits en fin de liste sans tenir compte de l’ordre alphabétique et remis dans l’ordre le mois suivant.</w:t>
      </w:r>
    </w:p>
    <w:p>
      <w:pPr>
        <w:ind w:left="-1"/>
        <w:jc w:val="both"/>
        <w:rPr>
          <w:spacing w:val="-2"/>
        </w:rPr>
      </w:pPr>
    </w:p>
    <w:p>
      <w:pPr>
        <w:numPr>
          <w:ilvl w:val="0"/>
          <w:numId w:val="50"/>
        </w:numPr>
        <w:tabs>
          <w:tab w:val="left" w:pos="360"/>
        </w:tabs>
        <w:ind w:left="359"/>
        <w:jc w:val="both"/>
      </w:pPr>
      <w:r>
        <w:t>Le titulaire enregistre les présences et absences lors de la dernière demi-heure de chaque demi-journée scolaire.</w:t>
      </w:r>
      <w:r>
        <w:rPr>
          <w:color w:val="00B050"/>
        </w:rPr>
        <w:t xml:space="preserve"> </w:t>
      </w:r>
      <w:r>
        <w:t>Dans la colonne de la demi-journée portant la date du jour, il indique :</w:t>
      </w:r>
    </w:p>
    <w:p>
      <w:pPr>
        <w:numPr>
          <w:ilvl w:val="0"/>
          <w:numId w:val="62"/>
        </w:numPr>
        <w:tabs>
          <w:tab w:val="clear" w:pos="720"/>
          <w:tab w:val="left" w:pos="1620"/>
        </w:tabs>
        <w:ind w:left="1619"/>
        <w:jc w:val="both"/>
      </w:pPr>
      <w:r>
        <w:t>La présence par un trait vertical</w:t>
      </w:r>
      <w:r>
        <w:tab/>
        <w:t>(I)</w:t>
      </w:r>
    </w:p>
    <w:p>
      <w:pPr>
        <w:pStyle w:val="Retraitcorpsdetexte2"/>
        <w:numPr>
          <w:ilvl w:val="0"/>
          <w:numId w:val="62"/>
        </w:numPr>
        <w:tabs>
          <w:tab w:val="clear" w:pos="720"/>
          <w:tab w:val="clear" w:pos="4860"/>
          <w:tab w:val="left" w:pos="1620"/>
        </w:tabs>
        <w:ind w:left="1619"/>
        <w:jc w:val="both"/>
      </w:pPr>
      <w:r>
        <w:t>L’absence par</w:t>
      </w:r>
      <w:r>
        <w:tab/>
      </w:r>
      <w:r>
        <w:tab/>
      </w:r>
      <w:r>
        <w:tab/>
        <w:t>(o)</w:t>
      </w:r>
    </w:p>
    <w:p>
      <w:pPr>
        <w:pStyle w:val="Retraitcorpsdetexte2"/>
        <w:tabs>
          <w:tab w:val="clear" w:pos="4860"/>
          <w:tab w:val="num" w:pos="1440"/>
          <w:tab w:val="left" w:pos="5040"/>
        </w:tabs>
        <w:ind w:left="2699"/>
        <w:jc w:val="both"/>
        <w:rPr>
          <w:szCs w:val="22"/>
        </w:rPr>
      </w:pPr>
    </w:p>
    <w:p>
      <w:pPr>
        <w:numPr>
          <w:ilvl w:val="0"/>
          <w:numId w:val="51"/>
        </w:numPr>
        <w:tabs>
          <w:tab w:val="left" w:pos="360"/>
        </w:tabs>
        <w:ind w:left="359"/>
        <w:jc w:val="both"/>
        <w:rPr>
          <w:spacing w:val="-2"/>
        </w:rPr>
      </w:pPr>
      <w:r>
        <w:rPr>
          <w:spacing w:val="-2"/>
        </w:rPr>
        <w:t>Lorsqu’un élève quitte l’école en cours de mois, la date de son départ, indiquée dans la colonne des observations, doit correspondre à celle mentionnée dans la base de données SIEL. Pendant le reste du mois, ce départ est signalé par un trait horizontal continu.</w:t>
      </w:r>
    </w:p>
    <w:p>
      <w:pPr>
        <w:tabs>
          <w:tab w:val="left" w:pos="360"/>
        </w:tabs>
        <w:ind w:left="359" w:hanging="360"/>
        <w:jc w:val="both"/>
        <w:rPr>
          <w:szCs w:val="22"/>
        </w:rPr>
      </w:pPr>
    </w:p>
    <w:p>
      <w:pPr>
        <w:numPr>
          <w:ilvl w:val="0"/>
          <w:numId w:val="52"/>
        </w:numPr>
        <w:tabs>
          <w:tab w:val="left" w:pos="360"/>
        </w:tabs>
        <w:ind w:left="359"/>
        <w:jc w:val="both"/>
      </w:pPr>
      <w:r>
        <w:t>De même, le passage d’un élève d’une classe maternelle à une autre de la même école est signalé par un trait horizontal continu; la date de départ est mentionnée à la colonne "Observations", avec indication de la classe où l’élève est admis.</w:t>
      </w:r>
    </w:p>
    <w:p>
      <w:pPr>
        <w:tabs>
          <w:tab w:val="left" w:pos="360"/>
        </w:tabs>
        <w:ind w:left="359" w:hanging="360"/>
        <w:jc w:val="both"/>
        <w:rPr>
          <w:szCs w:val="22"/>
        </w:rPr>
      </w:pPr>
    </w:p>
    <w:p>
      <w:pPr>
        <w:numPr>
          <w:ilvl w:val="0"/>
          <w:numId w:val="53"/>
        </w:numPr>
        <w:tabs>
          <w:tab w:val="left" w:pos="360"/>
        </w:tabs>
        <w:ind w:left="359"/>
        <w:jc w:val="both"/>
      </w:pPr>
      <w:r>
        <w:t>La colonne se rapportant aux demi-journées pendant lesquelles l’école n’a pas été ouverte est barrée d’un trait vertical.</w:t>
      </w:r>
    </w:p>
    <w:p>
      <w:pPr>
        <w:ind w:left="-1"/>
        <w:jc w:val="both"/>
      </w:pPr>
    </w:p>
    <w:p>
      <w:pPr>
        <w:numPr>
          <w:ilvl w:val="0"/>
          <w:numId w:val="53"/>
        </w:numPr>
        <w:tabs>
          <w:tab w:val="left" w:pos="360"/>
        </w:tabs>
        <w:ind w:left="359"/>
        <w:jc w:val="both"/>
      </w:pPr>
      <w:r>
        <w:t xml:space="preserve">La colonne se rapportant aux demi-journées pendant lesquelles l’école n’a pas été ouverte pour cause de journée de formation en cours de carrière (obligatoire) dite « journée pédagogique », est barrée d’un trait vertical avec la mention « Journée de formation ». </w:t>
      </w:r>
    </w:p>
    <w:p>
      <w:pPr>
        <w:pStyle w:val="Paragraphedeliste"/>
      </w:pPr>
    </w:p>
    <w:p>
      <w:pPr>
        <w:numPr>
          <w:ilvl w:val="0"/>
          <w:numId w:val="53"/>
        </w:numPr>
        <w:tabs>
          <w:tab w:val="left" w:pos="360"/>
        </w:tabs>
        <w:ind w:left="359"/>
        <w:jc w:val="both"/>
      </w:pPr>
      <w:r>
        <w:t xml:space="preserve">En cas de fermeture exceptionnelle de l’école (panne de chauffage, etc.), la colonne se rapportant aux demi-journées pendant lesquelles l’école n’a pas été ouverte est barrée d’un trait vertical avec la mention « Fermeture exceptionnelle ». Le titulaire de classe joint au registre un document attestant de la fermeture exceptionnelle. </w:t>
      </w:r>
    </w:p>
    <w:p>
      <w:pPr>
        <w:jc w:val="both"/>
        <w:rPr>
          <w:strike/>
        </w:rPr>
      </w:pPr>
    </w:p>
    <w:p>
      <w:pPr>
        <w:numPr>
          <w:ilvl w:val="0"/>
          <w:numId w:val="53"/>
        </w:numPr>
        <w:tabs>
          <w:tab w:val="left" w:pos="360"/>
        </w:tabs>
        <w:ind w:left="359"/>
        <w:jc w:val="both"/>
      </w:pPr>
      <w:r>
        <w:t>Les moyennes mensuelles maternelles ne doivent plus être calculées.</w:t>
      </w:r>
    </w:p>
    <w:p>
      <w:pPr>
        <w:jc w:val="both"/>
      </w:pPr>
    </w:p>
    <w:p>
      <w:pPr>
        <w:numPr>
          <w:ilvl w:val="0"/>
          <w:numId w:val="53"/>
        </w:numPr>
        <w:tabs>
          <w:tab w:val="left" w:pos="360"/>
        </w:tabs>
        <w:ind w:left="359"/>
        <w:jc w:val="both"/>
      </w:pPr>
      <w:r>
        <w:t xml:space="preserve">Le directeur vise le registre de fréquentation chaque mois et en fin d’année scolaire.  </w:t>
      </w:r>
      <w:r>
        <w:br/>
        <w:t>Ainsi clôturé, le registre est versé aux archives de l’école.</w:t>
      </w:r>
    </w:p>
    <w:p>
      <w:pPr>
        <w:pStyle w:val="Paragraphedeliste"/>
      </w:pPr>
    </w:p>
    <w:p>
      <w:pPr>
        <w:pStyle w:val="Paragraphedeliste"/>
      </w:pPr>
    </w:p>
    <w:p>
      <w:pPr>
        <w:pStyle w:val="Paragraphedeliste"/>
      </w:pPr>
    </w:p>
    <w:p>
      <w:pPr>
        <w:spacing w:after="80"/>
        <w:rPr>
          <w:b/>
          <w:u w:val="single"/>
        </w:rPr>
      </w:pPr>
      <w:r>
        <w:rPr>
          <w:b/>
          <w:u w:val="single"/>
        </w:rPr>
        <w:t>Remarque:</w:t>
      </w:r>
    </w:p>
    <w:p>
      <w:pPr>
        <w:jc w:val="both"/>
      </w:pPr>
      <w:r>
        <w:t>Les élèves qui fréquentent l’enseignement maternel au cours de leur première année de scolarité obligatoire doivent respecter les signes conventionnels propres à l’enseignement primaire et justifier toutes leurs absences (application de l’art. 1</w:t>
      </w:r>
      <w:r>
        <w:rPr>
          <w:vertAlign w:val="superscript"/>
        </w:rPr>
        <w:t>er</w:t>
      </w:r>
      <w:r>
        <w:t>, §4 de la loi du 29-6-1983 concernant l’obligation scolaire).</w:t>
      </w:r>
    </w:p>
    <w:p/>
    <w:p/>
    <w:p>
      <w:pPr>
        <w:rPr>
          <w:b/>
          <w:u w:val="single"/>
        </w:rPr>
      </w:pPr>
      <w:r>
        <w:rPr>
          <w:b/>
          <w:u w:val="single"/>
        </w:rPr>
        <w:t>Consignes particulières pour la tenue des registres durant le mois de septembre</w:t>
      </w:r>
    </w:p>
    <w:p>
      <w:pPr>
        <w:ind w:right="-468"/>
        <w:rPr>
          <w:b/>
          <w:i/>
          <w:sz w:val="20"/>
          <w:szCs w:val="20"/>
          <w:u w:val="single"/>
        </w:rPr>
      </w:pPr>
    </w:p>
    <w:p>
      <w:pPr>
        <w:jc w:val="both"/>
      </w:pPr>
      <w:r>
        <w:t>Un élève inscrit dans une école en date du 30 juin et qui ne se représente pas le 1</w:t>
      </w:r>
      <w:r>
        <w:rPr>
          <w:vertAlign w:val="superscript"/>
        </w:rPr>
        <w:t>er</w:t>
      </w:r>
      <w:r>
        <w:t xml:space="preserve"> septembre suivant peut figurer dans le relevé des élèves inscrits, en début du registre de fréquentation et dans le relevé de la page du mois de septembre si son inscription n’a pas été retirée.</w:t>
      </w:r>
    </w:p>
    <w:p>
      <w:pPr>
        <w:jc w:val="both"/>
      </w:pPr>
      <w:r>
        <w:t>Toutefois, si cet élève ne compte aucun demi-jour de présence physique dans l’école durant le mois de septembre, son inscription doit être clôturée et il doit être sorti de la base de données SIEL et du registre de fréquentation avant le 30 septembre. Il ne pourra, en aucun cas être repris dans les différentes collectes de populations scolaires du 30 septembre: Comptage des élèves (SIEL) et calculs de l’encadrement (Primver).</w:t>
      </w:r>
    </w:p>
    <w:p/>
    <w:p>
      <w:pPr>
        <w:pStyle w:val="Titre5"/>
      </w:pPr>
      <w:bookmarkStart w:id="1752" w:name="_6.2.1.2.2._Dans_l’enseignement"/>
      <w:bookmarkStart w:id="1753" w:name="Section6_2_2_2_2"/>
      <w:bookmarkStart w:id="1754" w:name="_Toc423420145"/>
      <w:bookmarkStart w:id="1755" w:name="_Toc450645352"/>
      <w:bookmarkStart w:id="1756" w:name="_Toc453942589"/>
      <w:bookmarkStart w:id="1757" w:name="_Toc454888206"/>
      <w:bookmarkStart w:id="1758" w:name="_Toc486241866"/>
      <w:bookmarkEnd w:id="1752"/>
      <w:r>
        <w:t>6.2.2.2.2.</w:t>
      </w:r>
      <w:bookmarkEnd w:id="1753"/>
      <w:r>
        <w:tab/>
        <w:t>Dans l’enseignement primaire</w:t>
      </w:r>
      <w:bookmarkEnd w:id="1754"/>
      <w:bookmarkEnd w:id="1755"/>
      <w:bookmarkEnd w:id="1756"/>
      <w:bookmarkEnd w:id="1757"/>
      <w:bookmarkEnd w:id="1758"/>
    </w:p>
    <w:p>
      <w:pPr>
        <w:jc w:val="both"/>
      </w:pPr>
    </w:p>
    <w:p>
      <w:pPr>
        <w:pBdr>
          <w:top w:val="single" w:sz="4" w:space="0" w:color="auto"/>
          <w:left w:val="single" w:sz="4" w:space="4" w:color="auto"/>
          <w:bottom w:val="single" w:sz="4" w:space="3" w:color="auto"/>
          <w:right w:val="single" w:sz="4" w:space="4" w:color="auto"/>
        </w:pBdr>
        <w:jc w:val="both"/>
        <w:rPr>
          <w:b/>
          <w:bCs/>
          <w:i/>
          <w:iCs/>
          <w:spacing w:val="-2"/>
        </w:rPr>
      </w:pPr>
      <w:r>
        <w:t xml:space="preserve">Le registre de fréquentation est l’outil qui va déterminer la fréquentation régulière de l’élève. Cette fréquentation régulière est l’une des conditions de base pour pouvoir comptabiliser l’élève. </w:t>
      </w:r>
      <w:r>
        <w:br/>
      </w:r>
      <w:r>
        <w:rPr>
          <w:b/>
          <w:bCs/>
          <w:i/>
          <w:iCs/>
          <w:spacing w:val="-2"/>
        </w:rPr>
        <w:t>Le directeur d'école</w:t>
      </w:r>
      <w:r>
        <w:rPr>
          <w:i/>
          <w:iCs/>
          <w:spacing w:val="-2"/>
        </w:rPr>
        <w:t xml:space="preserve"> doit rester attentif aux absences non justifiées et </w:t>
      </w:r>
      <w:r>
        <w:rPr>
          <w:b/>
          <w:bCs/>
          <w:i/>
          <w:iCs/>
          <w:spacing w:val="-2"/>
        </w:rPr>
        <w:t>doit impérativement signaler au Service du Contrôle de l'obligation scolaire, au plus tard le premier jour ouvré qui suit, les élèves qui se sont absentés au moins 9 demi-jours de manière injustifiée. Chaque demi-journée d'absence injustifiée supplémentaire doit ensuite être signalée à la fin de chaque mois.</w:t>
      </w:r>
    </w:p>
    <w:p>
      <w:pPr>
        <w:pBdr>
          <w:top w:val="single" w:sz="4" w:space="0" w:color="auto"/>
          <w:left w:val="single" w:sz="4" w:space="4" w:color="auto"/>
          <w:bottom w:val="single" w:sz="4" w:space="3" w:color="auto"/>
          <w:right w:val="single" w:sz="4" w:space="4" w:color="auto"/>
        </w:pBdr>
        <w:jc w:val="both"/>
      </w:pPr>
      <w:r>
        <w:t>Il s’agit d’une formalité prévue dans l’intérêt de l’enfant par l’article 10 de l’arrêté royal du 20 août 1957. Cette formalité permettra par ailleurs de comptabiliser ces élèves comme s’ils avaient fréquenté régulièrement les cours, pour autant qu’elle soit remplie à la date comptage dans les délais prévus (décret du 13 juillet 1998 article 26).</w:t>
      </w:r>
    </w:p>
    <w:p>
      <w:pPr>
        <w:jc w:val="both"/>
        <w:rPr>
          <w:sz w:val="16"/>
          <w:szCs w:val="16"/>
        </w:rPr>
      </w:pPr>
    </w:p>
    <w:p>
      <w:pPr>
        <w:jc w:val="both"/>
        <w:rPr>
          <w:sz w:val="16"/>
          <w:szCs w:val="16"/>
        </w:rPr>
      </w:pPr>
    </w:p>
    <w:p>
      <w:pPr>
        <w:jc w:val="both"/>
        <w:rPr>
          <w:i/>
        </w:rPr>
      </w:pPr>
      <w:r>
        <w:t xml:space="preserve">Le titulaire de classe doit remplir le </w:t>
      </w:r>
      <w:r>
        <w:rPr>
          <w:b/>
        </w:rPr>
        <w:t>relevé des élèves inscrits</w:t>
      </w:r>
      <w:r>
        <w:t>.</w:t>
      </w:r>
      <w:r>
        <w:rPr>
          <w:i/>
        </w:rPr>
        <w:t xml:space="preserve"> </w:t>
      </w:r>
    </w:p>
    <w:p>
      <w:pPr>
        <w:pStyle w:val="Notedebasdepage"/>
        <w:jc w:val="both"/>
        <w:rPr>
          <w:sz w:val="12"/>
          <w:szCs w:val="12"/>
        </w:rPr>
      </w:pPr>
    </w:p>
    <w:p>
      <w:pPr>
        <w:numPr>
          <w:ilvl w:val="0"/>
          <w:numId w:val="49"/>
        </w:numPr>
        <w:tabs>
          <w:tab w:val="clear" w:pos="360"/>
        </w:tabs>
        <w:ind w:left="359"/>
        <w:jc w:val="both"/>
      </w:pPr>
      <w:r>
        <w:t>La liste se fait par ordre alphabétique, les élèves qui arriveraient en cours d’année devront être inscrits en fin de liste sans tenir compte de l’ordre alphabétique.</w:t>
      </w:r>
    </w:p>
    <w:p>
      <w:pPr>
        <w:jc w:val="both"/>
        <w:rPr>
          <w:sz w:val="12"/>
          <w:szCs w:val="12"/>
        </w:rPr>
      </w:pPr>
    </w:p>
    <w:p>
      <w:pPr>
        <w:numPr>
          <w:ilvl w:val="0"/>
          <w:numId w:val="49"/>
        </w:numPr>
        <w:tabs>
          <w:tab w:val="clear" w:pos="360"/>
        </w:tabs>
        <w:ind w:left="359"/>
        <w:jc w:val="both"/>
      </w:pPr>
      <w:r>
        <w:t>Les informations suivantes doivent être complétées en concordance avec la base de données SIEL :</w:t>
      </w:r>
    </w:p>
    <w:p>
      <w:pPr>
        <w:numPr>
          <w:ilvl w:val="0"/>
          <w:numId w:val="59"/>
        </w:numPr>
      </w:pPr>
      <w:r>
        <w:t>Pour l’élève : le nom, le prénom, le sexe, le lieu et la date de naissance de l’élève (la colonne correspondant au numéro matricule ne doit plus être complétée).</w:t>
      </w:r>
    </w:p>
    <w:p>
      <w:pPr>
        <w:numPr>
          <w:ilvl w:val="0"/>
          <w:numId w:val="59"/>
        </w:numPr>
      </w:pPr>
      <w:r>
        <w:t>Pour les parents ou la personne investie de l’autorité parentale : le nom, le prénom, la rue, le numéro et la localité du chef de famille.</w:t>
      </w:r>
    </w:p>
    <w:p>
      <w:pPr>
        <w:jc w:val="both"/>
        <w:rPr>
          <w:sz w:val="12"/>
        </w:rPr>
      </w:pPr>
    </w:p>
    <w:p>
      <w:pPr>
        <w:jc w:val="both"/>
      </w:pPr>
      <w:r>
        <w:t>Le titulaire de classe doit tenir le</w:t>
      </w:r>
      <w:r>
        <w:rPr>
          <w:b/>
        </w:rPr>
        <w:t xml:space="preserve"> </w:t>
      </w:r>
      <w:r>
        <w:rPr>
          <w:b/>
          <w:i/>
        </w:rPr>
        <w:t>registre de fréquentation</w:t>
      </w:r>
      <w:r>
        <w:rPr>
          <w:b/>
        </w:rPr>
        <w:t xml:space="preserve"> </w:t>
      </w:r>
      <w:r>
        <w:t xml:space="preserve">à jour.  </w:t>
      </w:r>
    </w:p>
    <w:p>
      <w:pPr>
        <w:jc w:val="both"/>
        <w:rPr>
          <w:sz w:val="12"/>
          <w:szCs w:val="12"/>
        </w:rPr>
      </w:pPr>
    </w:p>
    <w:p>
      <w:pPr>
        <w:numPr>
          <w:ilvl w:val="0"/>
          <w:numId w:val="49"/>
        </w:numPr>
        <w:tabs>
          <w:tab w:val="left" w:pos="360"/>
        </w:tabs>
        <w:ind w:left="359"/>
        <w:jc w:val="both"/>
      </w:pPr>
      <w:r>
        <w:t>La liste des élèves qui doivent fréquenter la classe durant le mois est transcrite à la page de ce mois. Les élèves qui arriveraient en cours de mois devront être inscrits en fin de liste sans tenir compte de l’ordre alphabétique et remis dans l’ordre le mois suivant.</w:t>
      </w:r>
    </w:p>
    <w:p>
      <w:pPr>
        <w:tabs>
          <w:tab w:val="left" w:pos="360"/>
        </w:tabs>
        <w:ind w:left="359" w:hanging="360"/>
        <w:jc w:val="both"/>
        <w:rPr>
          <w:sz w:val="12"/>
          <w:szCs w:val="12"/>
        </w:rPr>
      </w:pPr>
    </w:p>
    <w:p>
      <w:pPr>
        <w:numPr>
          <w:ilvl w:val="0"/>
          <w:numId w:val="54"/>
        </w:numPr>
        <w:tabs>
          <w:tab w:val="left" w:pos="360"/>
        </w:tabs>
        <w:ind w:left="359"/>
        <w:jc w:val="both"/>
      </w:pPr>
      <w:r>
        <w:t>Par demi-journée scolaire, le titulaire fait l’appel dans la première demi-heure de ses cours</w:t>
      </w:r>
    </w:p>
    <w:p>
      <w:pPr>
        <w:jc w:val="both"/>
        <w:rPr>
          <w:sz w:val="12"/>
          <w:szCs w:val="12"/>
        </w:rPr>
      </w:pPr>
    </w:p>
    <w:p>
      <w:pPr>
        <w:numPr>
          <w:ilvl w:val="0"/>
          <w:numId w:val="53"/>
        </w:numPr>
        <w:tabs>
          <w:tab w:val="left" w:pos="360"/>
        </w:tabs>
        <w:ind w:left="359"/>
        <w:jc w:val="both"/>
      </w:pPr>
      <w:r>
        <w:t>La colonne se rapportant aux demi-journées pendant lesquelles l’école n’a pas été ouverte pour cause de journée de formation en cours de carrière (obligatoire) dite « journée pédagogique », est barrée d’un trait vertical avec la mention « Journée de formation ».</w:t>
      </w:r>
    </w:p>
    <w:p>
      <w:pPr>
        <w:ind w:left="359"/>
        <w:jc w:val="both"/>
        <w:rPr>
          <w:sz w:val="12"/>
          <w:szCs w:val="12"/>
        </w:rPr>
      </w:pPr>
    </w:p>
    <w:p>
      <w:pPr>
        <w:numPr>
          <w:ilvl w:val="0"/>
          <w:numId w:val="53"/>
        </w:numPr>
        <w:tabs>
          <w:tab w:val="left" w:pos="360"/>
        </w:tabs>
        <w:ind w:left="359"/>
        <w:jc w:val="both"/>
      </w:pPr>
      <w:r>
        <w:t xml:space="preserve">En cas de fermeture exceptionnelle de l’école (panne de chauffage, etc.), la colonne se rapportant aux demi-journées pendant lesquelles l’école n’a pas été ouverte est barrée d’un trait vertical avec la mention « Fermeture exceptionnelle ». Le titulaire de classe joint au registre un document attestant de la fermeture exceptionnelle. </w:t>
      </w:r>
    </w:p>
    <w:p>
      <w:pPr>
        <w:jc w:val="both"/>
        <w:rPr>
          <w:sz w:val="12"/>
          <w:szCs w:val="12"/>
        </w:rPr>
      </w:pPr>
    </w:p>
    <w:p>
      <w:pPr>
        <w:numPr>
          <w:ilvl w:val="0"/>
          <w:numId w:val="54"/>
        </w:numPr>
        <w:tabs>
          <w:tab w:val="left" w:pos="360"/>
        </w:tabs>
        <w:ind w:left="359"/>
        <w:jc w:val="both"/>
      </w:pPr>
      <w:r>
        <w:t xml:space="preserve">Le titulaire de la classe indique dans la colonne de la demi-journée portant la date du jour (arrêté du gouvernement de </w:t>
      </w:r>
      <w:smartTag w:uri="urn:schemas-microsoft-com:office:smarttags" w:element="PersonName">
        <w:smartTagPr>
          <w:attr w:name="ProductID" w:val="la Communauté"/>
        </w:smartTagPr>
        <w:r>
          <w:t>la Communauté</w:t>
        </w:r>
      </w:smartTag>
      <w:r>
        <w:t xml:space="preserve"> française du 22 mai 2014) :</w:t>
      </w:r>
    </w:p>
    <w:p>
      <w:pPr>
        <w:rPr>
          <w:sz w:val="12"/>
          <w:szCs w:val="12"/>
        </w:rPr>
      </w:pPr>
    </w:p>
    <w:p>
      <w:pPr>
        <w:numPr>
          <w:ilvl w:val="0"/>
          <w:numId w:val="56"/>
        </w:numPr>
        <w:tabs>
          <w:tab w:val="clear" w:pos="360"/>
          <w:tab w:val="left" w:pos="1260"/>
          <w:tab w:val="left" w:pos="8640"/>
        </w:tabs>
        <w:spacing w:after="40"/>
        <w:ind w:left="1258" w:hanging="357"/>
        <w:jc w:val="both"/>
      </w:pPr>
      <w:r>
        <w:t xml:space="preserve">la présence par </w:t>
      </w:r>
      <w:r>
        <w:tab/>
        <w:t>(I)</w:t>
      </w:r>
    </w:p>
    <w:p>
      <w:pPr>
        <w:tabs>
          <w:tab w:val="left" w:pos="1260"/>
          <w:tab w:val="left" w:pos="8640"/>
        </w:tabs>
        <w:spacing w:after="40"/>
        <w:ind w:left="901"/>
        <w:jc w:val="both"/>
        <w:rPr>
          <w:sz w:val="8"/>
          <w:szCs w:val="8"/>
        </w:rPr>
      </w:pPr>
    </w:p>
    <w:p>
      <w:pPr>
        <w:numPr>
          <w:ilvl w:val="0"/>
          <w:numId w:val="55"/>
        </w:numPr>
        <w:tabs>
          <w:tab w:val="clear" w:pos="360"/>
          <w:tab w:val="left" w:pos="1260"/>
          <w:tab w:val="left" w:pos="8640"/>
        </w:tabs>
        <w:spacing w:after="40"/>
        <w:ind w:left="1258" w:hanging="357"/>
        <w:jc w:val="both"/>
      </w:pPr>
      <w:r>
        <w:t xml:space="preserve">l’absence non motivée par </w:t>
      </w:r>
      <w:r>
        <w:tab/>
        <w:t xml:space="preserve">(o) </w:t>
      </w:r>
    </w:p>
    <w:p>
      <w:pPr>
        <w:tabs>
          <w:tab w:val="left" w:pos="1260"/>
          <w:tab w:val="left" w:pos="8640"/>
        </w:tabs>
        <w:spacing w:after="40"/>
        <w:ind w:left="901"/>
        <w:jc w:val="both"/>
        <w:rPr>
          <w:sz w:val="8"/>
          <w:szCs w:val="8"/>
        </w:rPr>
      </w:pPr>
    </w:p>
    <w:p>
      <w:pPr>
        <w:numPr>
          <w:ilvl w:val="0"/>
          <w:numId w:val="55"/>
        </w:numPr>
        <w:tabs>
          <w:tab w:val="clear" w:pos="360"/>
          <w:tab w:val="left" w:pos="1260"/>
          <w:tab w:val="left" w:pos="8640"/>
        </w:tabs>
        <w:spacing w:after="40"/>
        <w:ind w:left="1258" w:hanging="357"/>
        <w:jc w:val="both"/>
      </w:pPr>
      <w:r>
        <w:t xml:space="preserve">les absences motivées par l'indisposition ou la maladie de l'élève couverte par un certificat médical ou une attestation délivrée par un centre hospitalier par </w:t>
      </w:r>
      <w:r>
        <w:tab/>
      </w:r>
      <w:r>
        <w:tab/>
        <w:t xml:space="preserve">(m) </w:t>
      </w:r>
    </w:p>
    <w:p>
      <w:pPr>
        <w:tabs>
          <w:tab w:val="left" w:pos="1260"/>
          <w:tab w:val="left" w:pos="8640"/>
        </w:tabs>
        <w:spacing w:after="40"/>
        <w:ind w:left="901"/>
        <w:jc w:val="both"/>
        <w:rPr>
          <w:sz w:val="8"/>
          <w:szCs w:val="8"/>
        </w:rPr>
      </w:pPr>
    </w:p>
    <w:p>
      <w:pPr>
        <w:numPr>
          <w:ilvl w:val="0"/>
          <w:numId w:val="55"/>
        </w:numPr>
        <w:tabs>
          <w:tab w:val="clear" w:pos="360"/>
          <w:tab w:val="left" w:pos="1260"/>
          <w:tab w:val="left" w:pos="8640"/>
        </w:tabs>
        <w:spacing w:after="40"/>
        <w:ind w:left="1258" w:hanging="357"/>
        <w:jc w:val="both"/>
      </w:pPr>
      <w:r>
        <w:t>les absences motivées par la convocation par une autorité publique ou la nécessité pour l'élève de se rendre auprès de cette autorité qui lui délivre une attestation</w:t>
      </w:r>
      <w:r>
        <w:tab/>
        <w:t xml:space="preserve">(c) </w:t>
      </w:r>
    </w:p>
    <w:p>
      <w:pPr>
        <w:tabs>
          <w:tab w:val="left" w:pos="1260"/>
          <w:tab w:val="left" w:pos="8640"/>
        </w:tabs>
        <w:spacing w:after="40"/>
        <w:ind w:left="901"/>
        <w:jc w:val="both"/>
        <w:rPr>
          <w:sz w:val="8"/>
          <w:szCs w:val="8"/>
        </w:rPr>
      </w:pPr>
    </w:p>
    <w:p>
      <w:pPr>
        <w:numPr>
          <w:ilvl w:val="0"/>
          <w:numId w:val="55"/>
        </w:numPr>
        <w:tabs>
          <w:tab w:val="clear" w:pos="360"/>
          <w:tab w:val="left" w:pos="1260"/>
          <w:tab w:val="left" w:pos="8640"/>
        </w:tabs>
        <w:spacing w:after="40"/>
        <w:ind w:left="1258" w:hanging="357"/>
        <w:jc w:val="both"/>
      </w:pPr>
      <w:r>
        <w:t xml:space="preserve">les absences motivées par le décès d'un parent ou allié de l'élève, au premier degré; l'absence ne peut dépasser 4 jours                                  </w:t>
      </w:r>
      <w:r>
        <w:tab/>
        <w:t xml:space="preserve">(d) </w:t>
      </w:r>
    </w:p>
    <w:p>
      <w:pPr>
        <w:tabs>
          <w:tab w:val="left" w:pos="1260"/>
          <w:tab w:val="left" w:pos="8640"/>
        </w:tabs>
        <w:spacing w:after="40"/>
        <w:ind w:left="901"/>
        <w:jc w:val="both"/>
        <w:rPr>
          <w:sz w:val="8"/>
          <w:szCs w:val="8"/>
        </w:rPr>
      </w:pPr>
    </w:p>
    <w:p>
      <w:pPr>
        <w:numPr>
          <w:ilvl w:val="0"/>
          <w:numId w:val="55"/>
        </w:numPr>
        <w:tabs>
          <w:tab w:val="clear" w:pos="360"/>
          <w:tab w:val="left" w:pos="1260"/>
          <w:tab w:val="left" w:pos="8640"/>
        </w:tabs>
        <w:spacing w:after="40"/>
        <w:ind w:left="1258" w:hanging="357"/>
        <w:jc w:val="both"/>
      </w:pPr>
      <w:r>
        <w:t>l’absence motivée par le décès d'un parent ou allié de l'élève, à quelque degré que ce soit, habitant sous le même toit que l'élève; l'absence ne peut dépasser 2 jours</w:t>
      </w:r>
      <w:r>
        <w:tab/>
        <w:t>(d)</w:t>
      </w:r>
    </w:p>
    <w:p>
      <w:pPr>
        <w:numPr>
          <w:ilvl w:val="0"/>
          <w:numId w:val="55"/>
        </w:numPr>
        <w:tabs>
          <w:tab w:val="clear" w:pos="360"/>
          <w:tab w:val="left" w:pos="1260"/>
          <w:tab w:val="left" w:pos="8640"/>
        </w:tabs>
        <w:ind w:left="1258" w:hanging="357"/>
        <w:jc w:val="both"/>
      </w:pPr>
      <w:r>
        <w:t>l’absence motivée par le décès d'un parent ou allié de l'élève, du 2e au 4e degré n'habitant pas sous le même toit que l'élève; l'absence ne peut dépasser 1 jour</w:t>
      </w:r>
      <w:r>
        <w:tab/>
        <w:t>(d)</w:t>
      </w:r>
    </w:p>
    <w:p>
      <w:pPr>
        <w:tabs>
          <w:tab w:val="left" w:pos="1260"/>
          <w:tab w:val="left" w:pos="8640"/>
        </w:tabs>
        <w:ind w:left="901"/>
        <w:jc w:val="both"/>
        <w:rPr>
          <w:sz w:val="8"/>
          <w:szCs w:val="8"/>
        </w:rPr>
      </w:pPr>
    </w:p>
    <w:p>
      <w:pPr>
        <w:numPr>
          <w:ilvl w:val="0"/>
          <w:numId w:val="55"/>
        </w:numPr>
        <w:tabs>
          <w:tab w:val="clear" w:pos="360"/>
          <w:tab w:val="left" w:pos="1260"/>
          <w:tab w:val="left" w:pos="8640"/>
        </w:tabs>
        <w:ind w:left="1258" w:hanging="357"/>
        <w:jc w:val="both"/>
      </w:pPr>
      <w:r>
        <w:t>les absences motivées par un décès doivent être justifiées par une pièce justificative.</w:t>
      </w:r>
    </w:p>
    <w:p>
      <w:pPr>
        <w:tabs>
          <w:tab w:val="left" w:pos="1260"/>
          <w:tab w:val="left" w:pos="8640"/>
        </w:tabs>
        <w:ind w:left="901"/>
        <w:jc w:val="both"/>
        <w:rPr>
          <w:sz w:val="8"/>
          <w:szCs w:val="8"/>
        </w:rPr>
      </w:pPr>
    </w:p>
    <w:p>
      <w:pPr>
        <w:numPr>
          <w:ilvl w:val="0"/>
          <w:numId w:val="55"/>
        </w:numPr>
        <w:tabs>
          <w:tab w:val="clear" w:pos="360"/>
          <w:tab w:val="left" w:pos="1260"/>
          <w:tab w:val="left" w:pos="8640"/>
        </w:tabs>
        <w:ind w:left="1258" w:hanging="357"/>
        <w:jc w:val="both"/>
      </w:pPr>
      <w:r>
        <w:t>les absences motivées par la participation d’élève reconnu comme sportif de haut niveau et espoir sportif</w:t>
      </w:r>
      <w:r>
        <w:rPr>
          <w:rStyle w:val="Appelnotedebasdep"/>
        </w:rPr>
        <w:footnoteReference w:id="80"/>
      </w:r>
      <w:r>
        <w:t xml:space="preserve"> ou partenaire d’entraînement, à des activités de préparation sportive sous forme de stages ou d’entraînement et de compétition. Le nombre total d’absences justifiées est de </w:t>
      </w:r>
      <w:r>
        <w:rPr>
          <w:u w:val="single"/>
        </w:rPr>
        <w:t>30 demi-jours par année scolaire</w:t>
      </w:r>
      <w:r>
        <w:t xml:space="preserve">, sauf dérogation accordée par </w:t>
      </w:r>
      <w:smartTag w:uri="urn:schemas-microsoft-com:office:smarttags" w:element="PersonName">
        <w:smartTagPr>
          <w:attr w:name="ProductID" w:val="la Ministre."/>
        </w:smartTagPr>
        <w:r>
          <w:t>la Ministre.</w:t>
        </w:r>
      </w:smartTag>
    </w:p>
    <w:p>
      <w:pPr>
        <w:tabs>
          <w:tab w:val="left" w:pos="1260"/>
          <w:tab w:val="left" w:pos="8640"/>
        </w:tabs>
        <w:ind w:left="1260"/>
        <w:jc w:val="both"/>
      </w:pPr>
      <w:r>
        <w:rPr>
          <w:u w:val="single"/>
        </w:rPr>
        <w:t>La durée de l’absence doit être annoncée</w:t>
      </w:r>
      <w:r>
        <w:t xml:space="preserve"> au chef d’établissement au plus tard </w:t>
      </w:r>
      <w:r>
        <w:rPr>
          <w:u w:val="single"/>
        </w:rPr>
        <w:t>une semaine avant</w:t>
      </w:r>
      <w:r>
        <w:t xml:space="preserve"> le stage ou la compétition à l’aide des deux documents suivants:</w:t>
      </w:r>
      <w:r>
        <w:br/>
        <w:t>1) l’attestation de la fédération sportive compétente</w:t>
      </w:r>
    </w:p>
    <w:p>
      <w:pPr>
        <w:tabs>
          <w:tab w:val="left" w:pos="1260"/>
          <w:tab w:val="left" w:pos="8640"/>
        </w:tabs>
        <w:ind w:left="1260"/>
        <w:jc w:val="both"/>
      </w:pPr>
      <w:r>
        <w:t>2) une autorisation des parents.</w:t>
      </w:r>
      <w:r>
        <w:tab/>
        <w:t>(s)</w:t>
      </w:r>
    </w:p>
    <w:p>
      <w:pPr>
        <w:tabs>
          <w:tab w:val="left" w:pos="1260"/>
          <w:tab w:val="left" w:pos="8640"/>
        </w:tabs>
        <w:ind w:left="1260"/>
        <w:jc w:val="both"/>
        <w:rPr>
          <w:sz w:val="8"/>
          <w:szCs w:val="8"/>
        </w:rPr>
      </w:pPr>
    </w:p>
    <w:p>
      <w:pPr>
        <w:numPr>
          <w:ilvl w:val="0"/>
          <w:numId w:val="55"/>
        </w:numPr>
        <w:tabs>
          <w:tab w:val="clear" w:pos="360"/>
          <w:tab w:val="left" w:pos="1260"/>
          <w:tab w:val="left" w:pos="8640"/>
        </w:tabs>
        <w:ind w:left="1258" w:hanging="357"/>
        <w:jc w:val="both"/>
      </w:pPr>
      <w:r>
        <w:t>les exclusions provisoires (maximum 12 demi-journées) d’un élève de l’établissement.</w:t>
      </w:r>
      <w:r>
        <w:tab/>
        <w:t>(Ex)</w:t>
      </w:r>
    </w:p>
    <w:p>
      <w:pPr>
        <w:tabs>
          <w:tab w:val="left" w:pos="1260"/>
          <w:tab w:val="left" w:pos="8640"/>
        </w:tabs>
        <w:ind w:left="1258"/>
        <w:jc w:val="both"/>
      </w:pPr>
    </w:p>
    <w:p>
      <w:pPr>
        <w:tabs>
          <w:tab w:val="left" w:pos="1260"/>
          <w:tab w:val="left" w:pos="8640"/>
        </w:tabs>
        <w:jc w:val="both"/>
      </w:pPr>
    </w:p>
    <w:p>
      <w:pPr>
        <w:pStyle w:val="Corpsdetexte"/>
        <w:rPr>
          <w:spacing w:val="-2"/>
        </w:rPr>
      </w:pPr>
      <w:r>
        <w:rPr>
          <w:spacing w:val="-2"/>
        </w:rPr>
        <w:t xml:space="preserve">Pour que les motifs soient reconnus valables, les documents justifiant les absences doivent être remis au directeur d'école ou à son délégué au plus tard le lendemain du dernier jour de l'absence lorsque celle-ci ne dépasse pas 3 jours, et au plus tard le quatrième jour d'absence dans les autres cas. </w:t>
      </w:r>
    </w:p>
    <w:p>
      <w:pPr>
        <w:pStyle w:val="Corpsdetexte"/>
        <w:rPr>
          <w:spacing w:val="-2"/>
        </w:rPr>
      </w:pPr>
      <w:r>
        <w:rPr>
          <w:i/>
          <w:spacing w:val="-2"/>
          <w:u w:val="single"/>
        </w:rPr>
        <w:t>Exception</w:t>
      </w:r>
      <w:r>
        <w:rPr>
          <w:b/>
          <w:i/>
          <w:spacing w:val="-2"/>
        </w:rPr>
        <w:t xml:space="preserve">: </w:t>
      </w:r>
      <w:r>
        <w:rPr>
          <w:spacing w:val="-2"/>
        </w:rPr>
        <w:t xml:space="preserve">la durée des absences motivées par la participation d’un élève reconnu comme sportif de haut niveau et espoir sportif et les documents justificatifs (voir supra) doivent être remis une semaine avant le début de l’absence. </w:t>
      </w:r>
    </w:p>
    <w:p>
      <w:pPr>
        <w:tabs>
          <w:tab w:val="left" w:pos="1440"/>
          <w:tab w:val="left" w:pos="8640"/>
        </w:tabs>
        <w:ind w:left="359" w:hanging="360"/>
        <w:jc w:val="both"/>
        <w:rPr>
          <w:szCs w:val="22"/>
        </w:rPr>
      </w:pPr>
    </w:p>
    <w:p>
      <w:pPr>
        <w:tabs>
          <w:tab w:val="left" w:pos="8640"/>
        </w:tabs>
        <w:spacing w:after="80"/>
        <w:jc w:val="both"/>
      </w:pPr>
      <w:r>
        <w:t>Dans les autres cas</w:t>
      </w:r>
      <w:r>
        <w:rPr>
          <w:u w:val="single"/>
        </w:rPr>
        <w:t>, les motifs justifiant l’absence sont laissés à l’appréciation du directeur</w:t>
      </w:r>
      <w:r>
        <w:t xml:space="preserve"> d'école.</w:t>
      </w:r>
    </w:p>
    <w:p>
      <w:pPr>
        <w:tabs>
          <w:tab w:val="left" w:pos="8640"/>
        </w:tabs>
        <w:spacing w:after="80"/>
        <w:ind w:firstLine="2"/>
        <w:jc w:val="both"/>
      </w:pPr>
      <w:r>
        <w:t xml:space="preserve">Soit le directeur: </w:t>
      </w:r>
    </w:p>
    <w:p>
      <w:pPr>
        <w:numPr>
          <w:ilvl w:val="0"/>
          <w:numId w:val="55"/>
        </w:numPr>
        <w:tabs>
          <w:tab w:val="clear" w:pos="360"/>
          <w:tab w:val="left" w:pos="1260"/>
          <w:tab w:val="left" w:pos="8640"/>
        </w:tabs>
        <w:ind w:left="1258" w:hanging="357"/>
        <w:jc w:val="both"/>
      </w:pPr>
      <w:r>
        <w:rPr>
          <w:u w:val="single"/>
        </w:rPr>
        <w:t xml:space="preserve">apprécie favorablement </w:t>
      </w:r>
      <w:r>
        <w:t xml:space="preserve">le motif justifiant l’absence. </w:t>
      </w:r>
      <w:r>
        <w:tab/>
        <w:t>(e)</w:t>
      </w:r>
    </w:p>
    <w:p>
      <w:pPr>
        <w:tabs>
          <w:tab w:val="left" w:pos="1260"/>
          <w:tab w:val="left" w:pos="8640"/>
        </w:tabs>
        <w:spacing w:after="80"/>
        <w:ind w:left="1258"/>
        <w:jc w:val="both"/>
      </w:pPr>
      <w:r>
        <w:t>Le pouvoir d’appréciation du directeur n’est pas illimité. Il ne peut apprécier favorablement que des motifs relevant de cas de force majeure ou de circonstances exceptionnelles liés à des problèmes familiaux, de santé mentale ou physique de l'élève ou de transports. Rentrent dans ces catégories les absences pour maladie non couvertes par un certificat médical mais acceptées par le directeur d'école. Deux cas de figure peuvent se présenter :</w:t>
      </w:r>
    </w:p>
    <w:p>
      <w:pPr>
        <w:numPr>
          <w:ilvl w:val="0"/>
          <w:numId w:val="119"/>
        </w:numPr>
        <w:tabs>
          <w:tab w:val="left" w:pos="1260"/>
          <w:tab w:val="left" w:pos="8640"/>
        </w:tabs>
        <w:spacing w:after="80"/>
        <w:ind w:left="2135"/>
        <w:jc w:val="both"/>
      </w:pPr>
      <w:r>
        <w:rPr>
          <w:u w:val="single"/>
        </w:rPr>
        <w:t>Les responsables de l’élève ont rentré un justificatif écrit, daté et signé, justifiant l’absence de leur enfant.</w:t>
      </w:r>
      <w:r>
        <w:t xml:space="preserve"> Ce document doit être contresigné par le directeur qui notera également, par écrit, la raison motivée pour laquelle il apprécie favorablement la justification de l’absence. Ce document doit être conservé au sein de l’école.</w:t>
      </w:r>
    </w:p>
    <w:p>
      <w:pPr>
        <w:numPr>
          <w:ilvl w:val="0"/>
          <w:numId w:val="119"/>
        </w:numPr>
        <w:tabs>
          <w:tab w:val="left" w:pos="1260"/>
          <w:tab w:val="left" w:pos="8640"/>
        </w:tabs>
        <w:spacing w:after="80"/>
        <w:ind w:left="2135"/>
        <w:jc w:val="both"/>
      </w:pPr>
      <w:r>
        <w:rPr>
          <w:u w:val="single"/>
        </w:rPr>
        <w:t>Les responsables de l’élève n’ont, de manière exceptionnelle, pas rentré de justificatif écrit mais ont signalé et justifié l’absence de leur enfant oralement</w:t>
      </w:r>
      <w:r>
        <w:t>. Dans ce cas, le directeur consignera, par écrit, par qui et à quelle date il a été informé de l’absence de l’élève, le motif de l’absence et les raisons motivées pour lesquelles il apprécie favorablement la justification de l’absence. Ce document doit être conservé au sein de l’école.</w:t>
      </w:r>
    </w:p>
    <w:p>
      <w:pPr>
        <w:tabs>
          <w:tab w:val="left" w:pos="1260"/>
          <w:tab w:val="left" w:pos="8640"/>
        </w:tabs>
        <w:spacing w:after="80"/>
        <w:ind w:left="1258"/>
        <w:jc w:val="both"/>
      </w:pPr>
      <w:r>
        <w:t>En l’absence de documents écrits signés et annotés par le directeur, conformément à ce qui précède, l’absence ne peut en aucun cas être considérée comme justifiée.</w:t>
      </w:r>
    </w:p>
    <w:p>
      <w:pPr>
        <w:tabs>
          <w:tab w:val="left" w:pos="1260"/>
          <w:tab w:val="left" w:pos="8640"/>
        </w:tabs>
        <w:spacing w:after="80"/>
        <w:ind w:left="1258"/>
        <w:jc w:val="both"/>
      </w:pPr>
      <w:r>
        <w:t>Le vérificateur peut remettre en question les motifs justifiant l’absence si ceux-ci ne relèvent pas des critères ci-dessus.</w:t>
      </w:r>
    </w:p>
    <w:p>
      <w:pPr>
        <w:tabs>
          <w:tab w:val="left" w:pos="1260"/>
          <w:tab w:val="left" w:pos="8640"/>
        </w:tabs>
        <w:spacing w:after="80"/>
        <w:ind w:left="1258"/>
        <w:jc w:val="both"/>
        <w:rPr>
          <w:sz w:val="4"/>
          <w:szCs w:val="4"/>
        </w:rPr>
      </w:pPr>
      <w:r>
        <w:tab/>
      </w:r>
    </w:p>
    <w:p>
      <w:pPr>
        <w:numPr>
          <w:ilvl w:val="0"/>
          <w:numId w:val="57"/>
        </w:numPr>
        <w:tabs>
          <w:tab w:val="clear" w:pos="360"/>
          <w:tab w:val="left" w:pos="1260"/>
          <w:tab w:val="left" w:pos="8640"/>
        </w:tabs>
        <w:ind w:left="1258" w:hanging="357"/>
        <w:jc w:val="both"/>
        <w:rPr>
          <w:b/>
          <w:i/>
        </w:rPr>
      </w:pPr>
      <w:r>
        <w:rPr>
          <w:u w:val="single"/>
        </w:rPr>
        <w:t>n’accepte pas le motif</w:t>
      </w:r>
      <w:r>
        <w:t xml:space="preserve"> justifiant l’absence. </w:t>
      </w:r>
      <w:r>
        <w:tab/>
        <w:t>(o)</w:t>
      </w:r>
    </w:p>
    <w:p>
      <w:pPr>
        <w:tabs>
          <w:tab w:val="left" w:pos="1260"/>
          <w:tab w:val="left" w:pos="8640"/>
        </w:tabs>
        <w:spacing w:after="80"/>
        <w:ind w:left="1258"/>
        <w:jc w:val="both"/>
      </w:pPr>
      <w:r>
        <w:t>Rentrent dans cette catégorie tous les motifs qui ne relèvent pas de cas de force majeure ou de circonstances exceptionnelles liés à des problèmes familiaux, de santé mentale ou physique de l'élève ou de transports (exemple: panne de réveil, départ en vacances en dehors de la période des congés scolaires,…).</w:t>
      </w:r>
    </w:p>
    <w:p>
      <w:pPr>
        <w:jc w:val="both"/>
        <w:rPr>
          <w:szCs w:val="22"/>
        </w:rPr>
      </w:pPr>
    </w:p>
    <w:p>
      <w:pPr>
        <w:tabs>
          <w:tab w:val="left" w:pos="8640"/>
        </w:tabs>
        <w:spacing w:after="80"/>
        <w:ind w:firstLine="2"/>
        <w:jc w:val="both"/>
      </w:pPr>
      <w:r>
        <w:rPr>
          <w:b/>
          <w:bCs/>
          <w:i/>
          <w:iCs/>
        </w:rPr>
        <w:t xml:space="preserve">Dès qu'un élève totalise au moins 9 demi-journées d'absence injustifiée (o), il doit être signalé auprès de </w:t>
      </w:r>
      <w:smartTag w:uri="urn:schemas-microsoft-com:office:smarttags" w:element="PersonName">
        <w:smartTagPr>
          <w:attr w:name="ProductID" w:val="la Direction"/>
        </w:smartTagPr>
        <w:r>
          <w:rPr>
            <w:b/>
            <w:bCs/>
            <w:i/>
            <w:iCs/>
          </w:rPr>
          <w:t>la Direction</w:t>
        </w:r>
      </w:smartTag>
      <w:r>
        <w:rPr>
          <w:b/>
          <w:bCs/>
          <w:i/>
          <w:iCs/>
        </w:rPr>
        <w:t xml:space="preserve"> générale de l'Enseignement obligatoire – Service du contrôle de l'obligation scolaire</w:t>
      </w:r>
      <w:r>
        <w:t>.</w:t>
      </w:r>
    </w:p>
    <w:p>
      <w:pPr>
        <w:jc w:val="both"/>
        <w:rPr>
          <w:szCs w:val="22"/>
        </w:rPr>
      </w:pPr>
    </w:p>
    <w:p>
      <w:pPr>
        <w:pStyle w:val="Corpsdetexte"/>
        <w:rPr>
          <w:spacing w:val="-2"/>
        </w:rPr>
      </w:pPr>
      <w:r>
        <w:rPr>
          <w:spacing w:val="-2"/>
        </w:rPr>
        <w:t xml:space="preserve">Au moment de la réception de la justification de l’absence, le titulaire de classe est invité à transcrire le signe conventionnel relatif à la justification au-dessus du (o) dans la colonne du demi-jour concerné. </w:t>
      </w:r>
    </w:p>
    <w:p>
      <w:pPr>
        <w:jc w:val="both"/>
        <w:rPr>
          <w:szCs w:val="22"/>
        </w:rPr>
      </w:pPr>
    </w:p>
    <w:p>
      <w:pPr>
        <w:jc w:val="both"/>
      </w:pPr>
      <w:r>
        <w:t xml:space="preserve">Ces documents doivent être numérotés et classés dans l’ordre chronologique, </w:t>
      </w:r>
      <w:r>
        <w:rPr>
          <w:u w:val="single"/>
        </w:rPr>
        <w:t>annexés au registre de fréquentation et gardés au sein de l’école</w:t>
      </w:r>
      <w:r>
        <w:t>. </w:t>
      </w:r>
    </w:p>
    <w:p>
      <w:pPr>
        <w:pStyle w:val="Notedebasdepage"/>
        <w:jc w:val="both"/>
        <w:rPr>
          <w:sz w:val="22"/>
          <w:szCs w:val="22"/>
        </w:rPr>
      </w:pPr>
    </w:p>
    <w:p>
      <w:pPr>
        <w:jc w:val="both"/>
      </w:pPr>
      <w:r>
        <w:t>Lorsqu’un élève quitte l’école en cours de mois, la date de son départ, indiquée dans la colonne des observations, doit correspondre à celle mentionnée dans la base de données SIEL. Pendant le reste du mois, ce départ est signalé par un trait horizontal continu.</w:t>
      </w:r>
    </w:p>
    <w:p>
      <w:pPr>
        <w:jc w:val="both"/>
        <w:rPr>
          <w:szCs w:val="22"/>
        </w:rPr>
      </w:pPr>
    </w:p>
    <w:p>
      <w:pPr>
        <w:jc w:val="both"/>
        <w:rPr>
          <w:bCs/>
          <w:iCs/>
        </w:rPr>
      </w:pPr>
      <w:r>
        <w:t>Après dénombrement des présences et des absences, le titulaire inscrit les totaux à la base de la colonne. Les colonnes se rapportant aux demi-journées pendant lesquelles l’école n’a pas été ouverte sont barrées d’un trait vertical jusqu’en bas de page</w:t>
      </w:r>
      <w:r>
        <w:rPr>
          <w:bCs/>
          <w:iCs/>
        </w:rPr>
        <w:t>.</w:t>
      </w:r>
    </w:p>
    <w:p>
      <w:pPr>
        <w:jc w:val="both"/>
        <w:rPr>
          <w:szCs w:val="22"/>
        </w:rPr>
      </w:pPr>
    </w:p>
    <w:p>
      <w:pPr>
        <w:jc w:val="both"/>
      </w:pPr>
      <w:r>
        <w:t>A la fin du mois, le titulaire fait, par élève, le total des présences et absences et inscrit chacun de ces totaux dans la colonne ad hoc à droite de celles relatives aux diverses dates du mois.</w:t>
      </w:r>
    </w:p>
    <w:p>
      <w:pPr>
        <w:pStyle w:val="Corpsdetexte"/>
        <w:rPr>
          <w:spacing w:val="0"/>
        </w:rPr>
      </w:pPr>
      <w:r>
        <w:rPr>
          <w:spacing w:val="0"/>
        </w:rPr>
        <w:t>Le directeur d’école vise le registre de fréquentation chaque mois et en fin d’année scolaire. Ainsi clôturé, le registre est versé dans les archives de l’école.</w:t>
      </w:r>
    </w:p>
    <w:p/>
    <w:p>
      <w:pPr>
        <w:rPr>
          <w:b/>
          <w:u w:val="single"/>
        </w:rPr>
      </w:pPr>
      <w:r>
        <w:rPr>
          <w:b/>
          <w:u w:val="single"/>
        </w:rPr>
        <w:t>Consignes particulières pour la tenue des registres durant le mois de septembre</w:t>
      </w:r>
    </w:p>
    <w:p/>
    <w:p>
      <w:pPr>
        <w:jc w:val="both"/>
      </w:pPr>
      <w:r>
        <w:t>Un élève inscrit dans une école en date du 30 juin et qui ne se représente pas le 1</w:t>
      </w:r>
      <w:r>
        <w:rPr>
          <w:vertAlign w:val="superscript"/>
        </w:rPr>
        <w:t>er</w:t>
      </w:r>
      <w:r>
        <w:t xml:space="preserve"> septembre suivant doit figurer dans le relevé des élèves inscrits, en début du registre de fréquentation et dans le relevé de la page du mois de septembre si: </w:t>
      </w:r>
    </w:p>
    <w:p>
      <w:pPr>
        <w:numPr>
          <w:ilvl w:val="0"/>
          <w:numId w:val="132"/>
        </w:numPr>
        <w:tabs>
          <w:tab w:val="clear" w:pos="2136"/>
        </w:tabs>
        <w:ind w:left="899"/>
        <w:jc w:val="both"/>
      </w:pPr>
      <w:r>
        <w:t>son inscription n’a pas été retirée.</w:t>
      </w:r>
    </w:p>
    <w:p>
      <w:pPr>
        <w:numPr>
          <w:ilvl w:val="0"/>
          <w:numId w:val="132"/>
        </w:numPr>
        <w:tabs>
          <w:tab w:val="clear" w:pos="2136"/>
        </w:tabs>
        <w:ind w:left="899"/>
        <w:jc w:val="both"/>
      </w:pPr>
      <w:r>
        <w:t>s’il n’a pas fait l’objet d’un changement d’école en fin d’année scolaire précédente.</w:t>
      </w:r>
    </w:p>
    <w:p>
      <w:pPr>
        <w:jc w:val="both"/>
      </w:pPr>
      <w:r>
        <w:t>Durant le mois de septembre, les absences enregistrées sont indiquées par les signes conventionnels (voir ci-dessus).</w:t>
      </w:r>
    </w:p>
    <w:p>
      <w:pPr>
        <w:jc w:val="both"/>
        <w:rPr>
          <w:sz w:val="8"/>
          <w:szCs w:val="8"/>
        </w:rPr>
      </w:pPr>
    </w:p>
    <w:p>
      <w:pPr>
        <w:jc w:val="both"/>
      </w:pPr>
      <w:r>
        <w:rPr>
          <w:u w:val="single"/>
        </w:rPr>
        <w:t>Dès que cet élève compte 9 demi-jours d’absence injustifiée</w:t>
      </w:r>
      <w:r>
        <w:t xml:space="preserve"> (« 0 » dans le registre), le directeur le signale impérativement auprès du service de l’Obligation scolaire.</w:t>
      </w:r>
    </w:p>
    <w:p>
      <w:pPr>
        <w:jc w:val="both"/>
        <w:rPr>
          <w:sz w:val="8"/>
          <w:szCs w:val="8"/>
        </w:rPr>
      </w:pPr>
    </w:p>
    <w:p>
      <w:pPr>
        <w:jc w:val="both"/>
      </w:pPr>
      <w:r>
        <w:rPr>
          <w:u w:val="single"/>
        </w:rPr>
        <w:t>Si cet élève est en absence injustifiée durant tout le mois de septembre</w:t>
      </w:r>
      <w:r>
        <w:t>, son inscription doit être clôturée et il doit être sorti de la base de données SIEL et du registre de fréquentation avant le 30 septembre. Il ne pourra, en aucun cas être repris dans les différentes collectes de populations scolaires du 30 septembre: Comptage des élèves (SIEL) et calculs de l’encadrement (Primver).</w:t>
      </w:r>
    </w:p>
    <w:p>
      <w:pPr>
        <w:jc w:val="both"/>
      </w:pPr>
      <w:r>
        <w:rPr>
          <w:u w:val="single"/>
        </w:rPr>
        <w:t>De plus, le directeur fera un dernier signalement</w:t>
      </w:r>
      <w:r>
        <w:t xml:space="preserve"> au service de l’obligation scolaire en précisant que « </w:t>
      </w:r>
      <w:r>
        <w:rPr>
          <w:i/>
        </w:rPr>
        <w:t>cet élève ne s’est jamais présenté dans l’établissement depuis le début de l’année scolaire et que dès lors son inscription a été clôturée »</w:t>
      </w:r>
      <w:r>
        <w:t>.</w:t>
      </w:r>
    </w:p>
    <w:p>
      <w:pPr>
        <w:jc w:val="both"/>
        <w:rPr>
          <w:sz w:val="8"/>
          <w:szCs w:val="8"/>
        </w:rPr>
      </w:pPr>
    </w:p>
    <w:p>
      <w:pPr>
        <w:jc w:val="both"/>
      </w:pPr>
      <w:r>
        <w:rPr>
          <w:u w:val="single"/>
        </w:rPr>
        <w:t>Si cet élève se présente dans l’établissement après le 30 septembre</w:t>
      </w:r>
      <w:r>
        <w:t xml:space="preserve">, il y aura lieu d’introduire une demande de dérogation pour inscription tardive en précisant bien sur ce document que l’élève a été en absence injustifiée durant tout le mois de septembre (voir </w:t>
      </w:r>
      <w:hyperlink w:anchor="_2.2.3.__" w:history="1">
        <w:r>
          <w:rPr>
            <w:rStyle w:val="Lienhypertexte"/>
          </w:rPr>
          <w:t>section 2.2.3.</w:t>
        </w:r>
      </w:hyperlink>
      <w:r>
        <w:t>).</w:t>
      </w:r>
    </w:p>
    <w:p>
      <w:pPr>
        <w:jc w:val="both"/>
      </w:pPr>
    </w:p>
    <w:p>
      <w:pPr>
        <w:pStyle w:val="Titre5"/>
      </w:pPr>
      <w:bookmarkStart w:id="1759" w:name="Section6_2_2_2_3"/>
      <w:bookmarkStart w:id="1760" w:name="_Toc423420146"/>
      <w:bookmarkStart w:id="1761" w:name="_Toc450645353"/>
      <w:bookmarkStart w:id="1762" w:name="_Toc453942590"/>
      <w:bookmarkStart w:id="1763" w:name="_Toc454888207"/>
      <w:bookmarkStart w:id="1764" w:name="_Toc486241867"/>
      <w:r>
        <w:t xml:space="preserve">6.2.2.2.3. </w:t>
      </w:r>
      <w:bookmarkEnd w:id="1759"/>
      <w:r>
        <w:t>Vérification de la population scolaire et élève intégré</w:t>
      </w:r>
      <w:bookmarkEnd w:id="1760"/>
      <w:bookmarkEnd w:id="1761"/>
      <w:bookmarkEnd w:id="1762"/>
      <w:bookmarkEnd w:id="1763"/>
      <w:bookmarkEnd w:id="1764"/>
    </w:p>
    <w:p>
      <w:pPr>
        <w:jc w:val="both"/>
      </w:pPr>
    </w:p>
    <w:p>
      <w:pPr>
        <w:jc w:val="both"/>
      </w:pPr>
      <w:r>
        <w:t xml:space="preserve">Quel que soit le type d’intégration, l’élève sera inscrit dans la base de données SIEL des 2 écoles (enseignements ordinaire et spécialisé). Le type d’intégration y sera à chaque fois mentionné. </w:t>
      </w:r>
    </w:p>
    <w:p>
      <w:pPr>
        <w:jc w:val="both"/>
        <w:rPr>
          <w:sz w:val="8"/>
          <w:szCs w:val="8"/>
        </w:rPr>
      </w:pPr>
    </w:p>
    <w:p>
      <w:pPr>
        <w:jc w:val="both"/>
      </w:pPr>
      <w:r>
        <w:t>1. Pour les élèves bénéficiant de l’intégration permanente totale:</w:t>
      </w:r>
    </w:p>
    <w:p>
      <w:pPr>
        <w:spacing w:before="120"/>
        <w:ind w:left="540"/>
        <w:jc w:val="both"/>
        <w:rPr>
          <w:strike/>
          <w:spacing w:val="-2"/>
        </w:rPr>
      </w:pPr>
      <w:r>
        <w:rPr>
          <w:rFonts w:cs="Arial"/>
          <w:szCs w:val="22"/>
        </w:rPr>
        <w:t>Conformément à l’article 133, § 1</w:t>
      </w:r>
      <w:r>
        <w:rPr>
          <w:rFonts w:cs="Arial"/>
          <w:szCs w:val="22"/>
          <w:vertAlign w:val="superscript"/>
        </w:rPr>
        <w:t>er</w:t>
      </w:r>
      <w:r>
        <w:rPr>
          <w:rFonts w:cs="Arial"/>
          <w:szCs w:val="22"/>
        </w:rPr>
        <w:t>, alinéa 2, du Décret du 3 mars 2004 organisant l’enseignement spécialisé, tout élève bénéficiant de l’intégration permanente totale est inscrit comme élève régulier dans l’enseignement ordinaire et perd sa qualité d’élève régulier dans l’enseignement spécialisé. Les règles d’inscription et de comptabilisation de l’enseignement fondamental ordinaire sont d’application et les élèves</w:t>
      </w:r>
      <w:r>
        <w:rPr>
          <w:szCs w:val="22"/>
        </w:rPr>
        <w:t xml:space="preserve"> </w:t>
      </w:r>
      <w:r>
        <w:t xml:space="preserve">sont inscrits dans le registre de fréquentation suivant les règles reprises aux </w:t>
      </w:r>
      <w:hyperlink w:anchor="Section6_2_2_1" w:history="1">
        <w:r>
          <w:rPr>
            <w:rStyle w:val="Lienhypertexte"/>
            <w:color w:val="auto"/>
            <w:spacing w:val="-2"/>
          </w:rPr>
          <w:t>sections 6.2.2.1.</w:t>
        </w:r>
      </w:hyperlink>
      <w:r>
        <w:rPr>
          <w:spacing w:val="-2"/>
        </w:rPr>
        <w:t xml:space="preserve"> et </w:t>
      </w:r>
      <w:hyperlink w:anchor="Section6_2_2_2" w:history="1">
        <w:r>
          <w:rPr>
            <w:rStyle w:val="Lienhypertexte"/>
            <w:color w:val="auto"/>
            <w:spacing w:val="-2"/>
          </w:rPr>
          <w:t>6.2.2.2.</w:t>
        </w:r>
      </w:hyperlink>
    </w:p>
    <w:p>
      <w:pPr>
        <w:ind w:left="707"/>
        <w:jc w:val="both"/>
        <w:rPr>
          <w:spacing w:val="-2"/>
          <w:sz w:val="8"/>
          <w:szCs w:val="8"/>
        </w:rPr>
      </w:pPr>
    </w:p>
    <w:p>
      <w:pPr>
        <w:jc w:val="both"/>
        <w:rPr>
          <w:spacing w:val="-2"/>
        </w:rPr>
      </w:pPr>
      <w:r>
        <w:rPr>
          <w:spacing w:val="-2"/>
        </w:rPr>
        <w:t>2. Pour les élèves bénéficiant de l’intégration permanente partielle ou temporaire:</w:t>
      </w:r>
    </w:p>
    <w:p>
      <w:pPr>
        <w:spacing w:before="120"/>
        <w:ind w:left="539"/>
        <w:jc w:val="both"/>
      </w:pPr>
      <w:r>
        <w:rPr>
          <w:spacing w:val="-2"/>
        </w:rPr>
        <w:t xml:space="preserve">Dans le registre de fréquentation de l’enseignement fondamental ordinaire, les élèves </w:t>
      </w:r>
      <w:r>
        <w:t xml:space="preserve">devront être inscrits en fin de liste, uniquement durant les mois de présence. Elles sont prises, chaque demi-journée de fréquentation, suivant les modalités prévues à la </w:t>
      </w:r>
      <w:hyperlink w:anchor="Section6_2_2_2" w:history="1">
        <w:r>
          <w:rPr>
            <w:rStyle w:val="Lienhypertexte"/>
            <w:color w:val="auto"/>
          </w:rPr>
          <w:t>section 6.2.2.2.</w:t>
        </w:r>
      </w:hyperlink>
    </w:p>
    <w:p>
      <w:pPr>
        <w:ind w:left="540"/>
        <w:jc w:val="both"/>
      </w:pPr>
      <w:r>
        <w:t>Les présences et les absences ne sont pas comptabilisées dans les totaux à la base de la colonne.</w:t>
      </w:r>
    </w:p>
    <w:p>
      <w:pPr>
        <w:ind w:left="540"/>
        <w:jc w:val="both"/>
      </w:pPr>
      <w:r>
        <w:t xml:space="preserve">Le respect de l’obligation scolaire fera l’objet d’un transfert d’information vers l’école d’enseignement spécialisé. Le respect de ces modalités seront prévues dans le protocole d’intégration, à la rubrique: « dispositif de relation, de concertation et de collaboration ». </w:t>
      </w:r>
    </w:p>
    <w:p>
      <w:pPr>
        <w:rPr>
          <w:sz w:val="16"/>
          <w:szCs w:val="16"/>
        </w:rPr>
      </w:pPr>
    </w:p>
    <w:p>
      <w:pPr>
        <w:rPr>
          <w:sz w:val="16"/>
          <w:szCs w:val="16"/>
        </w:rPr>
      </w:pPr>
    </w:p>
    <w:p>
      <w:pPr>
        <w:pStyle w:val="Titre3"/>
      </w:pPr>
      <w:bookmarkStart w:id="1765" w:name="_6.2.2._Documents_concernant"/>
      <w:bookmarkStart w:id="1766" w:name="_Toc295932101"/>
      <w:bookmarkStart w:id="1767" w:name="_Toc295913812"/>
      <w:bookmarkStart w:id="1768" w:name="_Toc423420147"/>
      <w:bookmarkStart w:id="1769" w:name="_Toc450645354"/>
      <w:bookmarkStart w:id="1770" w:name="_Toc453942591"/>
      <w:bookmarkStart w:id="1771" w:name="_Toc454888208"/>
      <w:bookmarkStart w:id="1772" w:name="_Toc486241868"/>
      <w:bookmarkEnd w:id="1765"/>
      <w:r>
        <w:t>6.2.3.</w:t>
      </w:r>
      <w:r>
        <w:tab/>
        <w:t>Documents concernant les élèves bénéficiant des cours d'adaptation à la langue de l'enseignement</w:t>
      </w:r>
      <w:bookmarkEnd w:id="1766"/>
      <w:bookmarkEnd w:id="1767"/>
      <w:bookmarkEnd w:id="1768"/>
      <w:bookmarkEnd w:id="1769"/>
      <w:bookmarkEnd w:id="1770"/>
      <w:bookmarkEnd w:id="1771"/>
      <w:bookmarkEnd w:id="1772"/>
    </w:p>
    <w:p>
      <w:pPr>
        <w:rPr>
          <w:sz w:val="16"/>
          <w:szCs w:val="16"/>
        </w:rPr>
      </w:pPr>
    </w:p>
    <w:p>
      <w:pPr>
        <w:rPr>
          <w:sz w:val="16"/>
          <w:szCs w:val="16"/>
        </w:rPr>
      </w:pPr>
    </w:p>
    <w:p>
      <w:pPr>
        <w:jc w:val="both"/>
        <w:rPr>
          <w:spacing w:val="-4"/>
        </w:rPr>
      </w:pPr>
      <w:r>
        <w:rPr>
          <w:spacing w:val="-4"/>
        </w:rPr>
        <w:t>Les cours d’adaptation à la langue de l’enseignement (</w:t>
      </w:r>
      <w:r>
        <w:rPr>
          <w:szCs w:val="22"/>
        </w:rPr>
        <w:t xml:space="preserve">voir aussi la </w:t>
      </w:r>
      <w:hyperlink w:anchor="Section3_2_5" w:history="1">
        <w:r>
          <w:rPr>
            <w:rStyle w:val="Lienhypertexte"/>
            <w:szCs w:val="22"/>
          </w:rPr>
          <w:t>section 3.2.5.</w:t>
        </w:r>
      </w:hyperlink>
      <w:r>
        <w:rPr>
          <w:szCs w:val="22"/>
        </w:rPr>
        <w:t xml:space="preserve">) </w:t>
      </w:r>
      <w:r>
        <w:rPr>
          <w:spacing w:val="-4"/>
        </w:rPr>
        <w:t>ne sont organisés que</w:t>
      </w:r>
      <w:r>
        <w:rPr>
          <w:b/>
          <w:spacing w:val="-4"/>
        </w:rPr>
        <w:t xml:space="preserve"> </w:t>
      </w:r>
      <w:r>
        <w:rPr>
          <w:spacing w:val="-4"/>
        </w:rPr>
        <w:t>dans</w:t>
      </w:r>
      <w:r>
        <w:rPr>
          <w:b/>
          <w:spacing w:val="-4"/>
        </w:rPr>
        <w:t xml:space="preserve"> l’enseignement primaire</w:t>
      </w:r>
      <w:r>
        <w:rPr>
          <w:spacing w:val="-4"/>
        </w:rPr>
        <w:t> </w:t>
      </w:r>
      <w:r>
        <w:rPr>
          <w:rStyle w:val="Appelnotedebasdep"/>
          <w:spacing w:val="-4"/>
        </w:rPr>
        <w:footnoteReference w:id="81"/>
      </w:r>
      <w:r>
        <w:rPr>
          <w:spacing w:val="-4"/>
        </w:rPr>
        <w:t>. Ceux-ci ont pour but d’intégrer des élèves étrangers dans le système scolaire ainsi que de leur permettre d’apprendre le français. Pour pouvoir être pris en compte pour l’organisation des cours d’adaptation à la langue de l’enseignement, il faut réunir plusieurs conditions (incidence sur l’encadrement). Deux catégories d’élèves peuvent bénéficier des cours d’adaptation à la langue de l’enseignement aux conditions mentionnées ci-dessous; d’une part les élèves de nationalité étrangère ou apatrides ou adoptés (</w:t>
      </w:r>
      <w:hyperlink w:anchor="_6.2.2.1._Première_catégorie:" w:history="1">
        <w:r>
          <w:rPr>
            <w:rStyle w:val="Lienhypertexte"/>
            <w:color w:val="auto"/>
            <w:spacing w:val="-4"/>
          </w:rPr>
          <w:t>6.2.3.1</w:t>
        </w:r>
      </w:hyperlink>
      <w:r>
        <w:rPr>
          <w:spacing w:val="-4"/>
        </w:rPr>
        <w:t>), d’autre part les élèves de nationalité belge (</w:t>
      </w:r>
      <w:hyperlink w:anchor="_6.2.2.2._Deuxième_catégorie:" w:history="1">
        <w:r>
          <w:rPr>
            <w:rStyle w:val="Lienhypertexte"/>
            <w:color w:val="auto"/>
            <w:spacing w:val="-4"/>
          </w:rPr>
          <w:t>6.2.3.2</w:t>
        </w:r>
      </w:hyperlink>
      <w:r>
        <w:rPr>
          <w:spacing w:val="-4"/>
        </w:rPr>
        <w:t>).</w:t>
      </w:r>
    </w:p>
    <w:p>
      <w:pPr>
        <w:jc w:val="both"/>
        <w:rPr>
          <w:sz w:val="16"/>
          <w:szCs w:val="16"/>
        </w:rPr>
      </w:pPr>
    </w:p>
    <w:p>
      <w:pPr>
        <w:pStyle w:val="Titre4"/>
      </w:pPr>
      <w:bookmarkStart w:id="1773" w:name="_6.2.2.1._Première_catégorie:"/>
      <w:bookmarkStart w:id="1774" w:name="_Toc110930794"/>
      <w:bookmarkStart w:id="1775" w:name="_Toc139251127"/>
      <w:bookmarkStart w:id="1776" w:name="_Toc165786117"/>
      <w:bookmarkStart w:id="1777" w:name="_Toc167619074"/>
      <w:bookmarkStart w:id="1778" w:name="_Toc170813533"/>
      <w:bookmarkStart w:id="1779" w:name="_Toc170903387"/>
      <w:bookmarkStart w:id="1780" w:name="_Toc172713914"/>
      <w:bookmarkStart w:id="1781" w:name="_Toc172714159"/>
      <w:bookmarkStart w:id="1782" w:name="_Toc173060500"/>
      <w:bookmarkStart w:id="1783" w:name="_Toc173319683"/>
      <w:bookmarkStart w:id="1784" w:name="_Toc189041983"/>
      <w:bookmarkStart w:id="1785" w:name="_Toc207192231"/>
      <w:bookmarkStart w:id="1786" w:name="_Toc295932102"/>
      <w:bookmarkStart w:id="1787" w:name="_Toc295913813"/>
      <w:bookmarkStart w:id="1788" w:name="_Toc423420148"/>
      <w:bookmarkStart w:id="1789" w:name="_Toc450645355"/>
      <w:bookmarkStart w:id="1790" w:name="_Toc453942592"/>
      <w:bookmarkStart w:id="1791" w:name="_Toc454888209"/>
      <w:bookmarkStart w:id="1792" w:name="_Toc486241869"/>
      <w:bookmarkEnd w:id="1773"/>
      <w:r>
        <w:t>6.2.3.1.</w:t>
      </w:r>
      <w:r>
        <w:tab/>
        <w:t>Première catégorie: les élèves de nationalité étrangère ou apatrides ou adoptés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pPr>
        <w:jc w:val="both"/>
        <w:rPr>
          <w:sz w:val="16"/>
          <w:szCs w:val="16"/>
          <w:u w:val="single"/>
        </w:rPr>
      </w:pPr>
    </w:p>
    <w:p>
      <w:pPr>
        <w:jc w:val="both"/>
        <w:rPr>
          <w:szCs w:val="22"/>
        </w:rPr>
      </w:pPr>
      <w:r>
        <w:rPr>
          <w:b/>
          <w:szCs w:val="22"/>
        </w:rPr>
        <w:t>Premièrement,</w:t>
      </w:r>
      <w:r>
        <w:rPr>
          <w:szCs w:val="22"/>
        </w:rPr>
        <w:t xml:space="preserve"> il faut que l’élève fréquente l’enseignement primaire organisé ou subventionné par </w:t>
      </w:r>
      <w:smartTag w:uri="urn:schemas-microsoft-com:office:smarttags" w:element="PersonName">
        <w:smartTagPr>
          <w:attr w:name="ProductID" w:val="la F￩d￩ration Wallonie-Bruxelles"/>
        </w:smartTagPr>
        <w:r>
          <w:rPr>
            <w:szCs w:val="22"/>
          </w:rPr>
          <w:t>la Fédération Wallonie-Bruxelles</w:t>
        </w:r>
      </w:smartTag>
      <w:r>
        <w:rPr>
          <w:szCs w:val="22"/>
        </w:rPr>
        <w:t xml:space="preserve"> depuis moins de 3 années complètes.</w:t>
      </w:r>
    </w:p>
    <w:p>
      <w:pPr>
        <w:jc w:val="both"/>
        <w:rPr>
          <w:b/>
          <w:szCs w:val="22"/>
        </w:rPr>
      </w:pPr>
    </w:p>
    <w:p>
      <w:pPr>
        <w:jc w:val="both"/>
        <w:rPr>
          <w:szCs w:val="22"/>
        </w:rPr>
      </w:pPr>
      <w:r>
        <w:rPr>
          <w:b/>
          <w:szCs w:val="22"/>
        </w:rPr>
        <w:t>Deuxièmement</w:t>
      </w:r>
      <w:r>
        <w:rPr>
          <w:b/>
          <w:i/>
          <w:szCs w:val="22"/>
        </w:rPr>
        <w:t xml:space="preserve">, </w:t>
      </w:r>
      <w:r>
        <w:rPr>
          <w:szCs w:val="22"/>
        </w:rPr>
        <w:t xml:space="preserve">il faut pouvoir justifier que la langue maternelle ou usuelle de l’élève diffère du français. </w:t>
      </w:r>
    </w:p>
    <w:p>
      <w:pPr>
        <w:jc w:val="both"/>
        <w:rPr>
          <w:szCs w:val="22"/>
        </w:rPr>
      </w:pPr>
    </w:p>
    <w:p>
      <w:pPr>
        <w:jc w:val="both"/>
        <w:rPr>
          <w:szCs w:val="22"/>
        </w:rPr>
      </w:pPr>
      <w:r>
        <w:rPr>
          <w:b/>
          <w:szCs w:val="22"/>
        </w:rPr>
        <w:t xml:space="preserve">Troisièmement, </w:t>
      </w:r>
      <w:r>
        <w:rPr>
          <w:szCs w:val="22"/>
        </w:rPr>
        <w:t>il faut que l’élève ne connaisse pas suffisamment la langue de l’enseignement pour s’adapter avec succès aux activités de la classe dans laquelle il est inscrit. Cette condition peut être contrôlée par l’Inspection.</w:t>
      </w:r>
    </w:p>
    <w:p>
      <w:pPr>
        <w:jc w:val="both"/>
        <w:rPr>
          <w:szCs w:val="22"/>
        </w:rPr>
      </w:pPr>
    </w:p>
    <w:p>
      <w:pPr>
        <w:jc w:val="both"/>
      </w:pPr>
      <w:r>
        <w:rPr>
          <w:b/>
        </w:rPr>
        <w:t>Quatrièmement</w:t>
      </w:r>
      <w:r>
        <w:t xml:space="preserve">, il faut justifier que l’élève est </w:t>
      </w:r>
      <w:r>
        <w:rPr>
          <w:u w:val="single"/>
        </w:rPr>
        <w:t xml:space="preserve">apatride </w:t>
      </w:r>
      <w:r>
        <w:t xml:space="preserve">ou de </w:t>
      </w:r>
      <w:r>
        <w:rPr>
          <w:u w:val="single"/>
        </w:rPr>
        <w:t>nationalité étrangère</w:t>
      </w:r>
      <w:r>
        <w:t xml:space="preserve"> ou </w:t>
      </w:r>
      <w:r>
        <w:rPr>
          <w:u w:val="single"/>
        </w:rPr>
        <w:t>adopté</w:t>
      </w:r>
      <w:r>
        <w:t>, en produisant une copie d'un des documents suivants :</w:t>
      </w:r>
    </w:p>
    <w:p>
      <w:pPr>
        <w:spacing w:before="120"/>
        <w:jc w:val="both"/>
      </w:pPr>
      <w:r>
        <w:rPr>
          <w:u w:val="single"/>
        </w:rPr>
        <w:t>Elèves apatrides</w:t>
      </w:r>
      <w:r>
        <w:t>:</w:t>
      </w:r>
    </w:p>
    <w:p>
      <w:pPr>
        <w:numPr>
          <w:ilvl w:val="0"/>
          <w:numId w:val="60"/>
        </w:numPr>
        <w:tabs>
          <w:tab w:val="clear" w:pos="360"/>
          <w:tab w:val="num" w:pos="1080"/>
        </w:tabs>
        <w:ind w:left="1079" w:hanging="372"/>
        <w:jc w:val="both"/>
      </w:pPr>
      <w:r>
        <w:t>Soit un certificat d’inscription au registre des étrangers avec la mention apatride.</w:t>
      </w:r>
    </w:p>
    <w:p>
      <w:pPr>
        <w:numPr>
          <w:ilvl w:val="0"/>
          <w:numId w:val="60"/>
        </w:numPr>
        <w:tabs>
          <w:tab w:val="clear" w:pos="360"/>
          <w:tab w:val="num" w:pos="1080"/>
        </w:tabs>
        <w:ind w:left="1079" w:hanging="372"/>
        <w:jc w:val="both"/>
      </w:pPr>
      <w:r>
        <w:t>Soit une carte d’identité d’étranger avec la mention réfugié apatride.</w:t>
      </w:r>
    </w:p>
    <w:p>
      <w:pPr>
        <w:numPr>
          <w:ilvl w:val="0"/>
          <w:numId w:val="60"/>
        </w:numPr>
        <w:tabs>
          <w:tab w:val="clear" w:pos="360"/>
          <w:tab w:val="num" w:pos="1080"/>
        </w:tabs>
        <w:ind w:left="1079" w:hanging="372"/>
        <w:jc w:val="both"/>
        <w:rPr>
          <w:spacing w:val="-8"/>
        </w:rPr>
      </w:pPr>
      <w:r>
        <w:rPr>
          <w:spacing w:val="-8"/>
        </w:rPr>
        <w:t>Soit une attestation d’apatride délivrée par le Commissariat général aux réfugiés et aux apatrides.</w:t>
      </w:r>
    </w:p>
    <w:p>
      <w:pPr>
        <w:numPr>
          <w:ilvl w:val="0"/>
          <w:numId w:val="60"/>
        </w:numPr>
        <w:tabs>
          <w:tab w:val="clear" w:pos="360"/>
          <w:tab w:val="num" w:pos="1080"/>
        </w:tabs>
        <w:ind w:left="1079" w:hanging="372"/>
        <w:jc w:val="both"/>
      </w:pPr>
      <w:r>
        <w:t>Soit un jugement du Tribunal de 1</w:t>
      </w:r>
      <w:r>
        <w:rPr>
          <w:vertAlign w:val="superscript"/>
        </w:rPr>
        <w:t>ère</w:t>
      </w:r>
      <w:r>
        <w:t xml:space="preserve"> instance reconnaissant la qualité d’apatride.</w:t>
      </w:r>
    </w:p>
    <w:p>
      <w:pPr>
        <w:jc w:val="both"/>
        <w:rPr>
          <w:spacing w:val="-2"/>
        </w:rPr>
      </w:pPr>
      <w:r>
        <w:rPr>
          <w:spacing w:val="-2"/>
          <w:u w:val="single"/>
        </w:rPr>
        <w:t>Elèves de nationalité étrangère</w:t>
      </w:r>
      <w:r>
        <w:rPr>
          <w:spacing w:val="-2"/>
        </w:rPr>
        <w:t>: tout document officiel qui atteste de la nationalité étrangère de l’élève.</w:t>
      </w:r>
    </w:p>
    <w:p>
      <w:pPr>
        <w:ind w:left="179"/>
        <w:jc w:val="both"/>
        <w:rPr>
          <w:sz w:val="12"/>
          <w:szCs w:val="12"/>
        </w:rPr>
      </w:pPr>
    </w:p>
    <w:p>
      <w:pPr>
        <w:jc w:val="both"/>
      </w:pPr>
      <w:r>
        <w:rPr>
          <w:u w:val="single"/>
        </w:rPr>
        <w:t>Elèves adoptés</w:t>
      </w:r>
      <w:r>
        <w:t>: tout document officiel qui prouve l’adoption.</w:t>
      </w:r>
    </w:p>
    <w:p>
      <w:pPr>
        <w:jc w:val="both"/>
        <w:rPr>
          <w:sz w:val="16"/>
          <w:szCs w:val="16"/>
        </w:rPr>
      </w:pPr>
    </w:p>
    <w:p>
      <w:pPr>
        <w:jc w:val="both"/>
      </w:pPr>
      <w:r>
        <w:rPr>
          <w:b/>
        </w:rPr>
        <w:t>Remarque: la nationalité des parents ne doit plus être prise en considération pour les élèves de nationalité étrangère, apatrides ou adoptés</w:t>
      </w:r>
      <w:r>
        <w:t>.</w:t>
      </w:r>
    </w:p>
    <w:p>
      <w:pPr>
        <w:jc w:val="both"/>
        <w:rPr>
          <w:sz w:val="20"/>
          <w:szCs w:val="20"/>
        </w:rPr>
      </w:pPr>
    </w:p>
    <w:p>
      <w:pPr>
        <w:pStyle w:val="Titre4"/>
      </w:pPr>
      <w:bookmarkStart w:id="1793" w:name="_6.2.2.2._Deuxième_catégorie:"/>
      <w:bookmarkStart w:id="1794" w:name="_Toc110930795"/>
      <w:bookmarkStart w:id="1795" w:name="_Toc139251128"/>
      <w:bookmarkStart w:id="1796" w:name="_Toc165786118"/>
      <w:bookmarkStart w:id="1797" w:name="_Toc167619075"/>
      <w:bookmarkStart w:id="1798" w:name="_Toc170813534"/>
      <w:bookmarkStart w:id="1799" w:name="_Toc170903388"/>
      <w:bookmarkStart w:id="1800" w:name="_Toc172713915"/>
      <w:bookmarkStart w:id="1801" w:name="_Toc172714160"/>
      <w:bookmarkStart w:id="1802" w:name="_Toc173060501"/>
      <w:bookmarkStart w:id="1803" w:name="_Toc173319684"/>
      <w:bookmarkStart w:id="1804" w:name="_Toc189041984"/>
      <w:bookmarkStart w:id="1805" w:name="_Toc207192232"/>
      <w:bookmarkStart w:id="1806" w:name="_Toc295932103"/>
      <w:bookmarkStart w:id="1807" w:name="_Toc423420149"/>
      <w:bookmarkStart w:id="1808" w:name="_Toc450645356"/>
      <w:bookmarkStart w:id="1809" w:name="_Toc453942593"/>
      <w:bookmarkStart w:id="1810" w:name="_Toc454888210"/>
      <w:bookmarkStart w:id="1811" w:name="_Toc486241870"/>
      <w:bookmarkEnd w:id="1793"/>
      <w:r>
        <w:t>6.2.3.2.</w:t>
      </w:r>
      <w:r>
        <w:tab/>
        <w:t>Deuxième catégorie: les élèves de nationalité belge</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pPr>
        <w:jc w:val="both"/>
        <w:rPr>
          <w:sz w:val="16"/>
          <w:szCs w:val="16"/>
        </w:rPr>
      </w:pPr>
    </w:p>
    <w:p>
      <w:pPr>
        <w:jc w:val="both"/>
        <w:rPr>
          <w:szCs w:val="22"/>
        </w:rPr>
      </w:pPr>
      <w:r>
        <w:rPr>
          <w:b/>
          <w:szCs w:val="22"/>
        </w:rPr>
        <w:t>Premièrement,</w:t>
      </w:r>
      <w:r>
        <w:rPr>
          <w:szCs w:val="22"/>
        </w:rPr>
        <w:t xml:space="preserve"> il faut que l’élève fréquente l’enseignement primaire organisé ou subventionné par </w:t>
      </w:r>
      <w:smartTag w:uri="urn:schemas-microsoft-com:office:smarttags" w:element="PersonName">
        <w:smartTagPr>
          <w:attr w:name="ProductID" w:val="la F￩d￩ration Wallonie-Bruxelles"/>
        </w:smartTagPr>
        <w:r>
          <w:rPr>
            <w:szCs w:val="22"/>
          </w:rPr>
          <w:t>la Fédération Wallonie-Bruxelles</w:t>
        </w:r>
      </w:smartTag>
      <w:r>
        <w:rPr>
          <w:szCs w:val="22"/>
        </w:rPr>
        <w:t xml:space="preserve"> depuis moins de 3 années complètes.</w:t>
      </w:r>
    </w:p>
    <w:p>
      <w:pPr>
        <w:jc w:val="both"/>
        <w:rPr>
          <w:szCs w:val="22"/>
        </w:rPr>
      </w:pPr>
    </w:p>
    <w:p>
      <w:pPr>
        <w:jc w:val="both"/>
        <w:rPr>
          <w:szCs w:val="22"/>
        </w:rPr>
      </w:pPr>
      <w:r>
        <w:rPr>
          <w:b/>
          <w:szCs w:val="22"/>
        </w:rPr>
        <w:t>Deuxièmement</w:t>
      </w:r>
      <w:r>
        <w:rPr>
          <w:b/>
          <w:i/>
          <w:szCs w:val="22"/>
        </w:rPr>
        <w:t xml:space="preserve">, </w:t>
      </w:r>
      <w:r>
        <w:rPr>
          <w:szCs w:val="22"/>
        </w:rPr>
        <w:t xml:space="preserve">il faut pouvoir justifier que la langue maternelle ou usuelle de l’élève diffère du français. </w:t>
      </w:r>
    </w:p>
    <w:p>
      <w:pPr>
        <w:jc w:val="both"/>
        <w:rPr>
          <w:szCs w:val="22"/>
        </w:rPr>
      </w:pPr>
    </w:p>
    <w:p>
      <w:pPr>
        <w:jc w:val="both"/>
      </w:pPr>
      <w:r>
        <w:rPr>
          <w:b/>
          <w:szCs w:val="22"/>
        </w:rPr>
        <w:t xml:space="preserve">Troisièmement, </w:t>
      </w:r>
      <w:r>
        <w:rPr>
          <w:szCs w:val="22"/>
        </w:rPr>
        <w:t>il faut que l’élève ne connaisse pas suffisamment la langue de l’enseignement pour s’adapter avec succès aux activités de la classe dans laquelle il est inscrit. Cette condition peut être contrôlée par l’Inspection.</w:t>
      </w:r>
    </w:p>
    <w:p>
      <w:pPr>
        <w:spacing w:after="60"/>
        <w:rPr>
          <w:szCs w:val="22"/>
          <w:lang w:val="fr-BE"/>
        </w:rPr>
      </w:pPr>
    </w:p>
    <w:p>
      <w:pPr>
        <w:spacing w:after="60"/>
      </w:pPr>
      <w:r>
        <w:rPr>
          <w:b/>
        </w:rPr>
        <w:t>Quatrièmement</w:t>
      </w:r>
      <w:r>
        <w:t>, il faut que:</w:t>
      </w:r>
    </w:p>
    <w:p>
      <w:pPr>
        <w:jc w:val="both"/>
      </w:pPr>
      <w:r>
        <w:t xml:space="preserve">- Soit </w:t>
      </w:r>
      <w:r>
        <w:rPr>
          <w:u w:val="single"/>
        </w:rPr>
        <w:t>l’un des deux parents au moins soit de nationalité étrangère</w:t>
      </w:r>
      <w:r>
        <w:t xml:space="preserve">, </w:t>
      </w:r>
    </w:p>
    <w:p>
      <w:pPr>
        <w:numPr>
          <w:ilvl w:val="0"/>
          <w:numId w:val="61"/>
        </w:numPr>
        <w:ind w:left="719"/>
        <w:jc w:val="both"/>
      </w:pPr>
      <w:r>
        <w:t xml:space="preserve">tout document officiel qui prouve la nationalité étrangère de l’un des deux parents (une composition de ménage </w:t>
      </w:r>
      <w:r>
        <w:rPr>
          <w:u w:val="single"/>
        </w:rPr>
        <w:t>actualisée</w:t>
      </w:r>
      <w:r>
        <w:t>).</w:t>
      </w:r>
    </w:p>
    <w:p>
      <w:pPr>
        <w:jc w:val="both"/>
        <w:rPr>
          <w:sz w:val="10"/>
          <w:szCs w:val="10"/>
          <w:lang w:val="fr-BE"/>
        </w:rPr>
      </w:pPr>
    </w:p>
    <w:p>
      <w:pPr>
        <w:jc w:val="both"/>
      </w:pPr>
      <w:r>
        <w:t xml:space="preserve">- Soit </w:t>
      </w:r>
      <w:r>
        <w:rPr>
          <w:u w:val="single"/>
        </w:rPr>
        <w:t>l’un des deux parents ait acquis la nationalité belge depuis moins de trois ans</w:t>
      </w:r>
    </w:p>
    <w:p>
      <w:pPr>
        <w:numPr>
          <w:ilvl w:val="0"/>
          <w:numId w:val="61"/>
        </w:numPr>
        <w:ind w:left="719"/>
        <w:jc w:val="both"/>
      </w:pPr>
      <w:r>
        <w:t xml:space="preserve">tout document officiel qui prouve que l’un des deux a acquis la nationalité belge depuis moins de 3 ans (un certificat de nationalité, avec justificatif, qui reprend la date d’obtention de la nationalité belge et l‘article de loi qui a été visé pour son obtention). </w:t>
      </w:r>
    </w:p>
    <w:p>
      <w:pPr>
        <w:rPr>
          <w:sz w:val="8"/>
          <w:szCs w:val="8"/>
          <w:lang w:val="fr-BE"/>
        </w:rPr>
      </w:pPr>
    </w:p>
    <w:p>
      <w:pPr>
        <w:jc w:val="both"/>
        <w:rPr>
          <w:i/>
        </w:rPr>
      </w:pPr>
      <w:r>
        <w:rPr>
          <w:i/>
        </w:rPr>
        <w:t xml:space="preserve">Attention: En cas de double nationalité, belge et étrangère, c’est la nationalité belge qui prévaut. </w:t>
      </w:r>
    </w:p>
    <w:p>
      <w:pPr>
        <w:jc w:val="both"/>
        <w:rPr>
          <w:sz w:val="20"/>
          <w:szCs w:val="20"/>
        </w:rPr>
      </w:pPr>
    </w:p>
    <w:p>
      <w:pPr>
        <w:jc w:val="both"/>
      </w:pPr>
      <w:r>
        <w:t>Si l’une des conditions ci-dessus n’est pas remplie, l’école ne bénéficiera pas de la comptabilisation pour les cours d’adaptation à la langue de cet élève.</w:t>
      </w:r>
    </w:p>
    <w:p>
      <w:pPr>
        <w:jc w:val="both"/>
        <w:rPr>
          <w:szCs w:val="22"/>
        </w:rPr>
      </w:pPr>
    </w:p>
    <w:p>
      <w:pPr>
        <w:jc w:val="both"/>
        <w:rPr>
          <w:szCs w:val="22"/>
        </w:rPr>
      </w:pPr>
    </w:p>
    <w:p>
      <w:pPr>
        <w:jc w:val="both"/>
        <w:rPr>
          <w:szCs w:val="22"/>
        </w:rPr>
      </w:pPr>
    </w:p>
    <w:p>
      <w:pPr>
        <w:jc w:val="both"/>
        <w:rPr>
          <w:szCs w:val="22"/>
        </w:rPr>
      </w:pPr>
    </w:p>
    <w:p>
      <w:pPr>
        <w:jc w:val="both"/>
        <w:rPr>
          <w:szCs w:val="22"/>
        </w:rPr>
      </w:pPr>
    </w:p>
    <w:p>
      <w:pPr>
        <w:jc w:val="both"/>
        <w:rPr>
          <w:szCs w:val="22"/>
        </w:rPr>
      </w:pPr>
    </w:p>
    <w:p>
      <w:pPr>
        <w:jc w:val="both"/>
        <w:rPr>
          <w:szCs w:val="22"/>
        </w:rPr>
      </w:pPr>
    </w:p>
    <w:p>
      <w:pPr>
        <w:jc w:val="both"/>
        <w:rPr>
          <w:szCs w:val="22"/>
        </w:rPr>
      </w:pPr>
    </w:p>
    <w:p>
      <w:pPr>
        <w:jc w:val="both"/>
        <w:rPr>
          <w:szCs w:val="22"/>
        </w:rPr>
      </w:pPr>
    </w:p>
    <w:p>
      <w:pPr>
        <w:jc w:val="both"/>
        <w:rPr>
          <w:szCs w:val="22"/>
        </w:rPr>
      </w:pPr>
    </w:p>
    <w:p>
      <w:pPr>
        <w:jc w:val="both"/>
        <w:rPr>
          <w:szCs w:val="22"/>
        </w:rPr>
      </w:pPr>
    </w:p>
    <w:p>
      <w:pPr>
        <w:pStyle w:val="Titre3"/>
      </w:pPr>
      <w:bookmarkStart w:id="1812" w:name="_6.2.3._Documents_concernant"/>
      <w:bookmarkStart w:id="1813" w:name="_6.2.3.Documents_concernant_les"/>
      <w:bookmarkStart w:id="1814" w:name="Section6_2_4"/>
      <w:bookmarkStart w:id="1815" w:name="_Toc295932104"/>
      <w:bookmarkStart w:id="1816" w:name="_Toc295913814"/>
      <w:bookmarkStart w:id="1817" w:name="_Toc423420150"/>
      <w:bookmarkStart w:id="1818" w:name="_Toc450645357"/>
      <w:bookmarkStart w:id="1819" w:name="_Toc453942594"/>
      <w:bookmarkStart w:id="1820" w:name="_Toc454888211"/>
      <w:bookmarkStart w:id="1821" w:name="_Toc486241871"/>
      <w:bookmarkEnd w:id="1812"/>
      <w:bookmarkEnd w:id="1813"/>
      <w:r>
        <w:t xml:space="preserve">6.2.4. </w:t>
      </w:r>
      <w:bookmarkEnd w:id="1814"/>
      <w:r>
        <w:t>Documents concernant les élèves primo-arrivants</w:t>
      </w:r>
      <w:bookmarkEnd w:id="1815"/>
      <w:bookmarkEnd w:id="1816"/>
      <w:bookmarkEnd w:id="1817"/>
      <w:bookmarkEnd w:id="1818"/>
      <w:bookmarkEnd w:id="1819"/>
      <w:bookmarkEnd w:id="1820"/>
      <w:bookmarkEnd w:id="1821"/>
    </w:p>
    <w:p>
      <w:pPr>
        <w:pStyle w:val="Corpsdetexte"/>
        <w:rPr>
          <w:spacing w:val="0"/>
          <w:szCs w:val="22"/>
          <w:u w:val="single"/>
        </w:rPr>
      </w:pPr>
    </w:p>
    <w:p>
      <w:pPr>
        <w:pStyle w:val="Corpsdetexte"/>
        <w:rPr>
          <w:i/>
          <w:u w:val="single"/>
        </w:rPr>
      </w:pPr>
      <w:r>
        <w:rPr>
          <w:spacing w:val="0"/>
          <w:szCs w:val="22"/>
          <w:u w:val="single"/>
        </w:rPr>
        <w:t>Rappel de la définition d’un élève primo-arrivant (voir</w:t>
      </w:r>
      <w:hyperlink w:anchor="Section2_2_6" w:history="1">
        <w:r>
          <w:rPr>
            <w:rStyle w:val="Lienhypertexte"/>
            <w:i/>
            <w:color w:val="auto"/>
          </w:rPr>
          <w:t xml:space="preserve"> section 2.2.6.</w:t>
        </w:r>
      </w:hyperlink>
      <w:r>
        <w:rPr>
          <w:i/>
          <w:u w:val="single"/>
        </w:rPr>
        <w:t>):</w:t>
      </w:r>
    </w:p>
    <w:p>
      <w:pPr>
        <w:pStyle w:val="Corpsdetexte"/>
        <w:rPr>
          <w:i/>
          <w:sz w:val="8"/>
          <w:szCs w:val="8"/>
        </w:rPr>
      </w:pPr>
    </w:p>
    <w:p>
      <w:pPr>
        <w:spacing w:before="20"/>
        <w:jc w:val="both"/>
        <w:rPr>
          <w:b/>
          <w:i/>
        </w:rPr>
      </w:pPr>
      <w:r>
        <w:t>Un élève est primo-arrivant si, au jour de son inscription</w:t>
      </w:r>
      <w:r>
        <w:rPr>
          <w:rStyle w:val="Appelnotedebasdep"/>
        </w:rPr>
        <w:footnoteReference w:id="82"/>
      </w:r>
      <w:r>
        <w:t>, il répond conjointement aux 3 conditions ci-dessous. Il perd la qualité d’élève primo-arrivant le jour où au moins une des ces conditions n’est plus remplie mais il peut toutefois conserver le bénéfice d’un comptage préférentiel (</w:t>
      </w:r>
      <w:r>
        <w:rPr>
          <w:i/>
        </w:rPr>
        <w:t xml:space="preserve">voir </w:t>
      </w:r>
      <w:hyperlink w:anchor="_3.2.4._Cours_d'adaptation" w:history="1">
        <w:r>
          <w:rPr>
            <w:rStyle w:val="Lienhypertexte"/>
            <w:i/>
            <w:color w:val="auto"/>
          </w:rPr>
          <w:t>section 3.2.5.</w:t>
        </w:r>
      </w:hyperlink>
      <w:r>
        <w:t>)</w:t>
      </w:r>
      <w:r>
        <w:rPr>
          <w:b/>
          <w:i/>
        </w:rPr>
        <w:t>:</w:t>
      </w:r>
    </w:p>
    <w:p>
      <w:pPr>
        <w:rPr>
          <w:b/>
          <w:i/>
          <w:sz w:val="8"/>
          <w:szCs w:val="8"/>
        </w:rPr>
      </w:pPr>
    </w:p>
    <w:p>
      <w:pPr>
        <w:pStyle w:val="Corpsdetexte2"/>
        <w:tabs>
          <w:tab w:val="left" w:pos="360"/>
        </w:tabs>
      </w:pPr>
      <w:r>
        <w:t xml:space="preserve">a) </w:t>
      </w:r>
      <w:r>
        <w:tab/>
      </w:r>
      <w:r>
        <w:rPr>
          <w:u w:val="single"/>
        </w:rPr>
        <w:t>Conditions d’âge:</w:t>
      </w:r>
      <w:r>
        <w:t xml:space="preserve"> être âgés de 2 ans et demi au moins</w:t>
      </w:r>
      <w:r>
        <w:rPr>
          <w:rStyle w:val="Appelnotedebasdep"/>
        </w:rPr>
        <w:footnoteReference w:id="83"/>
      </w:r>
      <w:r>
        <w:t xml:space="preserve"> et de moins de 18 ans;</w:t>
      </w:r>
    </w:p>
    <w:p>
      <w:pPr>
        <w:pStyle w:val="Corpsdetexte2"/>
        <w:tabs>
          <w:tab w:val="left" w:pos="360"/>
        </w:tabs>
        <w:rPr>
          <w:sz w:val="8"/>
          <w:szCs w:val="8"/>
        </w:rPr>
      </w:pPr>
    </w:p>
    <w:p>
      <w:pPr>
        <w:pStyle w:val="Corpsdetexte2"/>
        <w:tabs>
          <w:tab w:val="left" w:pos="360"/>
        </w:tabs>
        <w:ind w:left="356" w:hanging="357"/>
      </w:pPr>
      <w:r>
        <w:t>b)</w:t>
      </w:r>
      <w:r>
        <w:tab/>
      </w:r>
      <w:r>
        <w:rPr>
          <w:u w:val="single"/>
        </w:rPr>
        <w:t>Temps de présence sur le territoire belge</w:t>
      </w:r>
      <w:r>
        <w:t>: être arrivé sur le territoire national depuis moins d’un an au moment de sa première inscription dans une école;</w:t>
      </w:r>
    </w:p>
    <w:p>
      <w:pPr>
        <w:pStyle w:val="Corpsdetexte2"/>
        <w:tabs>
          <w:tab w:val="left" w:pos="360"/>
        </w:tabs>
        <w:rPr>
          <w:sz w:val="8"/>
          <w:szCs w:val="8"/>
        </w:rPr>
      </w:pPr>
    </w:p>
    <w:p>
      <w:pPr>
        <w:pStyle w:val="Corpsdetexte2"/>
        <w:tabs>
          <w:tab w:val="left" w:pos="360"/>
        </w:tabs>
        <w:spacing w:after="60"/>
      </w:pPr>
      <w:r>
        <w:t xml:space="preserve">c) </w:t>
      </w:r>
      <w:r>
        <w:tab/>
      </w:r>
      <w:r>
        <w:rPr>
          <w:u w:val="single"/>
        </w:rPr>
        <w:t>Conditions de statut</w:t>
      </w:r>
      <w:r>
        <w:t>:</w:t>
      </w:r>
    </w:p>
    <w:p>
      <w:pPr>
        <w:pStyle w:val="Corpsdetexte2"/>
        <w:spacing w:before="60" w:after="40"/>
        <w:ind w:left="539" w:hanging="181"/>
      </w:pPr>
      <w:r>
        <w:t>-</w:t>
      </w:r>
      <w:r>
        <w:tab/>
        <w:t>soit avoir introduit une demande de reconnaissance de la qualité de réfugié ou s’être vu reconnaître la qualité de réfugié conformément à la loi du 15 décembre 1980 sur l’accès au territoire, le séjour, l’établissement et l’éloignement des étrangers;</w:t>
      </w:r>
    </w:p>
    <w:p>
      <w:pPr>
        <w:pStyle w:val="Corpsdetexte2"/>
        <w:ind w:left="537" w:hanging="181"/>
      </w:pPr>
      <w:r>
        <w:t>-</w:t>
      </w:r>
      <w:r>
        <w:tab/>
        <w:t>soit être mineur accompagnant une personne ayant introduit une demande de reconnaissance de la qualité de réfugié ou s’étant vu reconnaître la qualité de réfugié conformément à la loi du 15 décembre 1980 sur l’accès au territoire, le séjour, l’établissement et l’éloignement des étrangers;</w:t>
      </w:r>
    </w:p>
    <w:p>
      <w:pPr>
        <w:pStyle w:val="Corpsdetexte2"/>
        <w:ind w:left="537" w:hanging="181"/>
      </w:pPr>
      <w:r>
        <w:t>-</w:t>
      </w:r>
      <w:r>
        <w:tab/>
      </w:r>
      <w:r>
        <w:rPr>
          <w:spacing w:val="-10"/>
        </w:rPr>
        <w:t>soit être reconnu comme apatride;</w:t>
      </w:r>
    </w:p>
    <w:p>
      <w:pPr>
        <w:pStyle w:val="Corpsdetexte2"/>
        <w:ind w:left="537" w:hanging="181"/>
        <w:rPr>
          <w:sz w:val="8"/>
          <w:szCs w:val="8"/>
        </w:rPr>
      </w:pPr>
    </w:p>
    <w:p>
      <w:pPr>
        <w:pStyle w:val="Corpsdetexte2"/>
        <w:numPr>
          <w:ilvl w:val="0"/>
          <w:numId w:val="122"/>
        </w:numPr>
        <w:tabs>
          <w:tab w:val="clear" w:pos="1069"/>
          <w:tab w:val="num" w:pos="540"/>
        </w:tabs>
        <w:ind w:left="540" w:hanging="180"/>
      </w:pPr>
      <w:r>
        <w:t>soit être ressortissant</w:t>
      </w:r>
      <w:r>
        <w:rPr>
          <w:rStyle w:val="Appelnotedebasdep"/>
        </w:rPr>
        <w:footnoteReference w:id="84"/>
      </w:r>
      <w:r>
        <w:t xml:space="preserve"> d’un pays bénéficiaire de l’aide au développement du Comité d’aide au développement de l’Organisation de Coopération et de Développement économique. (voir liste </w:t>
      </w:r>
      <w:hyperlink w:anchor="Section2_2_6" w:history="1">
        <w:r>
          <w:rPr>
            <w:rStyle w:val="Lienhypertexte"/>
          </w:rPr>
          <w:t>section 2.2.6.</w:t>
        </w:r>
      </w:hyperlink>
      <w:r>
        <w:t>).</w:t>
      </w:r>
    </w:p>
    <w:p>
      <w:pPr>
        <w:pStyle w:val="Corpsdetexte2"/>
        <w:spacing w:before="120"/>
        <w:ind w:left="357"/>
      </w:pPr>
      <w:r>
        <w:rPr>
          <w:b/>
          <w:u w:val="single"/>
        </w:rPr>
        <w:t>Remarque :</w:t>
      </w:r>
      <w:r>
        <w:t xml:space="preserve"> un élève qui dispose d’une double nationalité (belge et étrangère) ne peut être considéré comme primo-arrivant. </w:t>
      </w:r>
    </w:p>
    <w:p>
      <w:pPr>
        <w:tabs>
          <w:tab w:val="num" w:pos="540"/>
        </w:tabs>
        <w:ind w:left="540" w:hanging="180"/>
        <w:rPr>
          <w:b/>
          <w:bCs/>
          <w:sz w:val="12"/>
          <w:szCs w:val="12"/>
          <w:highlight w:val="cyan"/>
          <w:u w:val="single"/>
          <w:lang w:val="fr-BE"/>
        </w:rPr>
      </w:pPr>
    </w:p>
    <w:p>
      <w:pPr>
        <w:pBdr>
          <w:top w:val="single" w:sz="4" w:space="1" w:color="auto"/>
          <w:left w:val="single" w:sz="4" w:space="4" w:color="auto"/>
          <w:bottom w:val="single" w:sz="4" w:space="1" w:color="auto"/>
          <w:right w:val="single" w:sz="4" w:space="4" w:color="auto"/>
        </w:pBdr>
        <w:jc w:val="both"/>
      </w:pPr>
      <w:r>
        <w:rPr>
          <w:b/>
          <w:u w:val="single"/>
        </w:rPr>
        <w:t>Dans l’enseignement maternel</w:t>
      </w:r>
      <w:r>
        <w:t xml:space="preserve">: Le statut de primo-arrivant a une incidence sur l’encadrement. Ces enfants génèrent un coefficient préférentiel d’1,5 s'ils remplissent les conditions pour être primo-arrivants, pour autant que leur langue maternelle ou usuelle diffère de la langue de l’enseignement </w:t>
      </w:r>
      <w:r>
        <w:rPr>
          <w:rStyle w:val="Appelnotedebasdep"/>
        </w:rPr>
        <w:footnoteReference w:id="85"/>
      </w:r>
      <w:r>
        <w:t xml:space="preserve"> (voir </w:t>
      </w:r>
      <w:hyperlink w:anchor="_3.4.1._Nombre_d'emplois" w:history="1">
        <w:r>
          <w:rPr>
            <w:rStyle w:val="Lienhypertexte"/>
            <w:color w:val="auto"/>
          </w:rPr>
          <w:t>section 3.4.1.</w:t>
        </w:r>
      </w:hyperlink>
      <w:r>
        <w:t xml:space="preserve">). </w:t>
      </w:r>
    </w:p>
    <w:p>
      <w:pPr>
        <w:pBdr>
          <w:top w:val="single" w:sz="4" w:space="1" w:color="auto"/>
          <w:left w:val="single" w:sz="4" w:space="4" w:color="auto"/>
          <w:bottom w:val="single" w:sz="4" w:space="1" w:color="auto"/>
          <w:right w:val="single" w:sz="4" w:space="4" w:color="auto"/>
        </w:pBdr>
        <w:jc w:val="both"/>
        <w:rPr>
          <w:b/>
          <w:sz w:val="8"/>
          <w:szCs w:val="8"/>
          <w:u w:val="single"/>
        </w:rPr>
      </w:pPr>
    </w:p>
    <w:p>
      <w:pPr>
        <w:pBdr>
          <w:top w:val="single" w:sz="4" w:space="1" w:color="auto"/>
          <w:left w:val="single" w:sz="4" w:space="4" w:color="auto"/>
          <w:bottom w:val="single" w:sz="4" w:space="1" w:color="auto"/>
          <w:right w:val="single" w:sz="4" w:space="4" w:color="auto"/>
        </w:pBdr>
        <w:jc w:val="both"/>
        <w:rPr>
          <w:spacing w:val="-4"/>
        </w:rPr>
      </w:pPr>
      <w:r>
        <w:rPr>
          <w:b/>
          <w:spacing w:val="-4"/>
          <w:u w:val="single"/>
        </w:rPr>
        <w:t>Dans l’enseignement primaire</w:t>
      </w:r>
      <w:r>
        <w:rPr>
          <w:rStyle w:val="Appelnotedebasdep"/>
          <w:b/>
          <w:spacing w:val="-4"/>
          <w:u w:val="single"/>
        </w:rPr>
        <w:footnoteReference w:id="86"/>
      </w:r>
      <w:r>
        <w:rPr>
          <w:spacing w:val="-4"/>
        </w:rPr>
        <w:t xml:space="preserve">: Le statut de primo-arrivant a une incidence sur les coefficients appliqués pour l’organisation des cours d’adaptation à la langue de l’enseignement (voir </w:t>
      </w:r>
      <w:hyperlink w:anchor="_3.2.4._Cours_d'adaptation" w:history="1">
        <w:r>
          <w:rPr>
            <w:rStyle w:val="Lienhypertexte"/>
            <w:color w:val="auto"/>
            <w:spacing w:val="-4"/>
          </w:rPr>
          <w:t>section 3.2.5.</w:t>
        </w:r>
      </w:hyperlink>
      <w:r>
        <w:rPr>
          <w:spacing w:val="-4"/>
        </w:rPr>
        <w:t xml:space="preserve">).  </w:t>
      </w:r>
    </w:p>
    <w:p>
      <w:pPr>
        <w:pStyle w:val="Notedebasdepage"/>
        <w:jc w:val="both"/>
        <w:rPr>
          <w:sz w:val="12"/>
          <w:szCs w:val="12"/>
        </w:rPr>
      </w:pPr>
    </w:p>
    <w:p>
      <w:pPr>
        <w:pStyle w:val="Notedebasdepage"/>
        <w:jc w:val="both"/>
        <w:rPr>
          <w:sz w:val="22"/>
        </w:rPr>
      </w:pPr>
      <w:r>
        <w:rPr>
          <w:sz w:val="22"/>
        </w:rPr>
        <w:t>Le directeur d'école doit, pour faire bénéficier l’élève du statut de primo-arrivant,</w:t>
      </w:r>
    </w:p>
    <w:p>
      <w:pPr>
        <w:jc w:val="both"/>
        <w:rPr>
          <w:sz w:val="16"/>
          <w:szCs w:val="16"/>
        </w:rPr>
      </w:pPr>
    </w:p>
    <w:p>
      <w:pPr>
        <w:numPr>
          <w:ilvl w:val="0"/>
          <w:numId w:val="63"/>
        </w:numPr>
        <w:ind w:left="0" w:firstLine="0"/>
        <w:jc w:val="both"/>
      </w:pPr>
      <w:r>
        <w:t xml:space="preserve">prouver: </w:t>
      </w:r>
    </w:p>
    <w:p>
      <w:pPr>
        <w:numPr>
          <w:ilvl w:val="0"/>
          <w:numId w:val="64"/>
        </w:numPr>
        <w:jc w:val="both"/>
      </w:pPr>
      <w:r>
        <w:t>soit que l’élève ou la personne qu'il accompagne a introduit une demande de reconnaissance de la qualité de réfugié ou s’être vu reconnaître la qualité de réfugié conformément à la loi du 15/12/1980 sur l’accès au territoire, le séjour, l’établissement et l’éloignement des étrangers</w:t>
      </w:r>
    </w:p>
    <w:p>
      <w:pPr>
        <w:numPr>
          <w:ilvl w:val="0"/>
          <w:numId w:val="65"/>
        </w:numPr>
        <w:tabs>
          <w:tab w:val="clear" w:pos="2291"/>
          <w:tab w:val="left" w:pos="900"/>
        </w:tabs>
        <w:ind w:left="900"/>
        <w:jc w:val="both"/>
      </w:pPr>
      <w:r>
        <w:t xml:space="preserve">soit l’annexe 25 de l’arrêté royal du 8 octobre 1981 </w:t>
      </w:r>
    </w:p>
    <w:p>
      <w:pPr>
        <w:numPr>
          <w:ilvl w:val="0"/>
          <w:numId w:val="65"/>
        </w:numPr>
        <w:tabs>
          <w:tab w:val="clear" w:pos="2291"/>
          <w:tab w:val="left" w:pos="900"/>
        </w:tabs>
        <w:ind w:left="900"/>
        <w:jc w:val="both"/>
      </w:pPr>
      <w:r>
        <w:t>soit l’annexe 26 de l’arrêté royal du 8 octobre 1981</w:t>
      </w:r>
    </w:p>
    <w:p>
      <w:pPr>
        <w:numPr>
          <w:ilvl w:val="0"/>
          <w:numId w:val="65"/>
        </w:numPr>
        <w:tabs>
          <w:tab w:val="clear" w:pos="2291"/>
          <w:tab w:val="left" w:pos="900"/>
        </w:tabs>
        <w:ind w:left="900"/>
        <w:jc w:val="both"/>
      </w:pPr>
      <w:r>
        <w:t>soit l’annexe 13 quinquies de l'arrêté royal du 8 octobre 1981 en cours de validité</w:t>
      </w:r>
    </w:p>
    <w:p>
      <w:pPr>
        <w:numPr>
          <w:ilvl w:val="0"/>
          <w:numId w:val="65"/>
        </w:numPr>
        <w:tabs>
          <w:tab w:val="clear" w:pos="2291"/>
          <w:tab w:val="left" w:pos="900"/>
        </w:tabs>
        <w:ind w:left="900"/>
        <w:jc w:val="both"/>
      </w:pPr>
      <w:r>
        <w:t>soit l’annexe 35 de l’arrêté royal du 8 octobre 1981 avec une prorogation du séjour en Belgique suite à l'introduction d'un recours devant le Conseil du contentieux des étrangers.</w:t>
      </w:r>
    </w:p>
    <w:p>
      <w:pPr>
        <w:numPr>
          <w:ilvl w:val="0"/>
          <w:numId w:val="65"/>
        </w:numPr>
        <w:tabs>
          <w:tab w:val="clear" w:pos="2291"/>
          <w:tab w:val="left" w:pos="900"/>
        </w:tabs>
        <w:ind w:left="900"/>
        <w:jc w:val="both"/>
      </w:pPr>
      <w:r>
        <w:t>soit un certificat de réfugié (document remis aux réfugiés avant le mois de février 2003)</w:t>
      </w:r>
    </w:p>
    <w:p>
      <w:pPr>
        <w:numPr>
          <w:ilvl w:val="0"/>
          <w:numId w:val="65"/>
        </w:numPr>
        <w:tabs>
          <w:tab w:val="clear" w:pos="2291"/>
          <w:tab w:val="left" w:pos="900"/>
        </w:tabs>
        <w:ind w:left="900"/>
        <w:jc w:val="both"/>
      </w:pPr>
      <w:r>
        <w:t>soit un certificat d’inscription au registre des étrangers avec la mention réfugié</w:t>
      </w:r>
    </w:p>
    <w:p>
      <w:pPr>
        <w:numPr>
          <w:ilvl w:val="0"/>
          <w:numId w:val="65"/>
        </w:numPr>
        <w:tabs>
          <w:tab w:val="clear" w:pos="2291"/>
          <w:tab w:val="left" w:pos="900"/>
        </w:tabs>
        <w:ind w:left="900"/>
        <w:jc w:val="both"/>
      </w:pPr>
      <w:r>
        <w:t>soit une carte d’identité d’étranger avec la mention réfugié</w:t>
      </w:r>
    </w:p>
    <w:p>
      <w:pPr>
        <w:numPr>
          <w:ilvl w:val="0"/>
          <w:numId w:val="65"/>
        </w:numPr>
        <w:tabs>
          <w:tab w:val="clear" w:pos="2291"/>
          <w:tab w:val="left" w:pos="900"/>
        </w:tabs>
        <w:ind w:left="900"/>
        <w:jc w:val="both"/>
        <w:rPr>
          <w:spacing w:val="-6"/>
        </w:rPr>
      </w:pPr>
      <w:r>
        <w:rPr>
          <w:spacing w:val="-6"/>
        </w:rPr>
        <w:t>soit une attestation de réfugié délivrée par le Commissariat général aux réfugiés et aux apatrides</w:t>
      </w:r>
    </w:p>
    <w:p>
      <w:pPr>
        <w:jc w:val="both"/>
        <w:rPr>
          <w:sz w:val="8"/>
          <w:szCs w:val="8"/>
        </w:rPr>
      </w:pPr>
    </w:p>
    <w:p>
      <w:pPr>
        <w:numPr>
          <w:ilvl w:val="0"/>
          <w:numId w:val="64"/>
        </w:numPr>
        <w:jc w:val="both"/>
      </w:pPr>
      <w:r>
        <w:t>soit que l’élève est reconnu comme apatride</w:t>
      </w:r>
    </w:p>
    <w:p>
      <w:pPr>
        <w:numPr>
          <w:ilvl w:val="0"/>
          <w:numId w:val="66"/>
        </w:numPr>
        <w:tabs>
          <w:tab w:val="clear" w:pos="2291"/>
          <w:tab w:val="left" w:pos="900"/>
        </w:tabs>
        <w:ind w:left="900"/>
        <w:jc w:val="both"/>
      </w:pPr>
      <w:r>
        <w:t>soit un certificat d’inscription au registre des étrangers avec la mention apatride</w:t>
      </w:r>
    </w:p>
    <w:p>
      <w:pPr>
        <w:numPr>
          <w:ilvl w:val="0"/>
          <w:numId w:val="66"/>
        </w:numPr>
        <w:tabs>
          <w:tab w:val="clear" w:pos="2291"/>
          <w:tab w:val="left" w:pos="900"/>
        </w:tabs>
        <w:ind w:left="900"/>
        <w:jc w:val="both"/>
      </w:pPr>
      <w:r>
        <w:t>soit une carte d’identité d’étranger avec la mention apatride</w:t>
      </w:r>
    </w:p>
    <w:p>
      <w:pPr>
        <w:numPr>
          <w:ilvl w:val="0"/>
          <w:numId w:val="66"/>
        </w:numPr>
        <w:tabs>
          <w:tab w:val="clear" w:pos="2291"/>
          <w:tab w:val="left" w:pos="900"/>
        </w:tabs>
        <w:ind w:left="900"/>
        <w:jc w:val="both"/>
        <w:rPr>
          <w:spacing w:val="-6"/>
        </w:rPr>
      </w:pPr>
      <w:r>
        <w:rPr>
          <w:spacing w:val="-6"/>
        </w:rPr>
        <w:t>soit une attestation d’apatride délivrée par le Commissariat général aux réfugiés et aux apatrides</w:t>
      </w:r>
    </w:p>
    <w:p>
      <w:pPr>
        <w:numPr>
          <w:ilvl w:val="0"/>
          <w:numId w:val="66"/>
        </w:numPr>
        <w:tabs>
          <w:tab w:val="clear" w:pos="2291"/>
          <w:tab w:val="left" w:pos="900"/>
        </w:tabs>
        <w:ind w:left="900"/>
        <w:jc w:val="both"/>
      </w:pPr>
      <w:r>
        <w:t>soit un jugement du Tribunal de 1</w:t>
      </w:r>
      <w:r>
        <w:rPr>
          <w:vertAlign w:val="superscript"/>
        </w:rPr>
        <w:t>ère</w:t>
      </w:r>
      <w:r>
        <w:t xml:space="preserve"> instance reconnaissant la qualité d’apatride</w:t>
      </w:r>
    </w:p>
    <w:p>
      <w:pPr>
        <w:jc w:val="both"/>
        <w:rPr>
          <w:sz w:val="8"/>
          <w:szCs w:val="8"/>
        </w:rPr>
      </w:pPr>
    </w:p>
    <w:p>
      <w:pPr>
        <w:numPr>
          <w:ilvl w:val="0"/>
          <w:numId w:val="64"/>
        </w:numPr>
        <w:jc w:val="both"/>
      </w:pPr>
      <w:r>
        <w:t>soit que l’élève est ressortissant</w:t>
      </w:r>
      <w:r>
        <w:rPr>
          <w:rStyle w:val="Appelnotedebasdep"/>
        </w:rPr>
        <w:footnoteReference w:id="87"/>
      </w:r>
      <w:r>
        <w:t xml:space="preserve"> d’un pays bénéficiaire de l’aide au développement du Comité d’aide au développement de l’Organisation de Coopération et de Développement économique (voir la liste de ces pays à la </w:t>
      </w:r>
      <w:hyperlink w:anchor="Section2_2_6" w:history="1">
        <w:r>
          <w:rPr>
            <w:rStyle w:val="Lienhypertexte"/>
            <w:color w:val="auto"/>
          </w:rPr>
          <w:t>section 2.2.6.</w:t>
        </w:r>
      </w:hyperlink>
      <w:r>
        <w:t>).</w:t>
      </w:r>
    </w:p>
    <w:p>
      <w:pPr>
        <w:numPr>
          <w:ilvl w:val="0"/>
          <w:numId w:val="67"/>
        </w:numPr>
        <w:tabs>
          <w:tab w:val="clear" w:pos="2291"/>
          <w:tab w:val="left" w:pos="900"/>
        </w:tabs>
        <w:ind w:left="900"/>
        <w:jc w:val="both"/>
      </w:pPr>
      <w:r>
        <w:t>soit un passeport national</w:t>
      </w:r>
    </w:p>
    <w:p>
      <w:pPr>
        <w:numPr>
          <w:ilvl w:val="0"/>
          <w:numId w:val="67"/>
        </w:numPr>
        <w:tabs>
          <w:tab w:val="clear" w:pos="2291"/>
          <w:tab w:val="left" w:pos="900"/>
        </w:tabs>
        <w:ind w:left="900"/>
        <w:jc w:val="both"/>
      </w:pPr>
      <w:r>
        <w:t>soit une carte d’identité</w:t>
      </w:r>
    </w:p>
    <w:p>
      <w:pPr>
        <w:numPr>
          <w:ilvl w:val="0"/>
          <w:numId w:val="67"/>
        </w:numPr>
        <w:tabs>
          <w:tab w:val="clear" w:pos="2291"/>
          <w:tab w:val="left" w:pos="900"/>
        </w:tabs>
        <w:ind w:left="900"/>
        <w:jc w:val="both"/>
      </w:pPr>
      <w:r>
        <w:t>soit un extrait d’acte de naissance</w:t>
      </w:r>
    </w:p>
    <w:p>
      <w:pPr>
        <w:numPr>
          <w:ilvl w:val="0"/>
          <w:numId w:val="67"/>
        </w:numPr>
        <w:tabs>
          <w:tab w:val="clear" w:pos="2291"/>
          <w:tab w:val="left" w:pos="900"/>
        </w:tabs>
        <w:ind w:left="900"/>
        <w:jc w:val="both"/>
      </w:pPr>
      <w:r>
        <w:t>soit tout document officiel établi par une autorité belge ou étrangère attestant de la nationalité de l’élève.</w:t>
      </w:r>
    </w:p>
    <w:p>
      <w:pPr>
        <w:jc w:val="both"/>
      </w:pPr>
    </w:p>
    <w:p>
      <w:pPr>
        <w:numPr>
          <w:ilvl w:val="0"/>
          <w:numId w:val="63"/>
        </w:numPr>
        <w:ind w:left="0" w:firstLine="0"/>
        <w:jc w:val="both"/>
      </w:pPr>
      <w:r>
        <w:t xml:space="preserve">prouver qu’il est arrivé depuis </w:t>
      </w:r>
      <w:r>
        <w:rPr>
          <w:u w:val="single"/>
        </w:rPr>
        <w:t>moins d’un an</w:t>
      </w:r>
      <w:r>
        <w:t xml:space="preserve"> sur le territoire belge par:</w:t>
      </w:r>
    </w:p>
    <w:p>
      <w:pPr>
        <w:numPr>
          <w:ilvl w:val="0"/>
          <w:numId w:val="68"/>
        </w:numPr>
        <w:tabs>
          <w:tab w:val="clear" w:pos="2291"/>
          <w:tab w:val="left" w:pos="900"/>
        </w:tabs>
        <w:ind w:left="900"/>
        <w:jc w:val="both"/>
      </w:pPr>
      <w:r>
        <w:t>une date, un cachet repris sur le passeport ou</w:t>
      </w:r>
    </w:p>
    <w:p>
      <w:pPr>
        <w:numPr>
          <w:ilvl w:val="0"/>
          <w:numId w:val="68"/>
        </w:numPr>
        <w:tabs>
          <w:tab w:val="clear" w:pos="2291"/>
          <w:tab w:val="left" w:pos="900"/>
        </w:tabs>
        <w:ind w:left="900"/>
        <w:jc w:val="both"/>
      </w:pPr>
      <w:r>
        <w:t>tout autre document officiel ou preuve écrite pouvant justifier de manière certaine la date d’entrée en Belgique (et non pas sur le territoire de l'espace Schengen).</w:t>
      </w:r>
    </w:p>
    <w:p>
      <w:pPr>
        <w:rPr>
          <w:sz w:val="12"/>
          <w:szCs w:val="12"/>
        </w:rPr>
      </w:pPr>
    </w:p>
    <w:p>
      <w:r>
        <w:rPr>
          <w:u w:val="single"/>
        </w:rPr>
        <w:t>Remarques</w:t>
      </w:r>
      <w:r>
        <w:t>:</w:t>
      </w:r>
    </w:p>
    <w:p>
      <w:pPr>
        <w:rPr>
          <w:sz w:val="12"/>
          <w:szCs w:val="12"/>
        </w:rPr>
      </w:pPr>
    </w:p>
    <w:p>
      <w:pPr>
        <w:numPr>
          <w:ilvl w:val="0"/>
          <w:numId w:val="79"/>
        </w:numPr>
        <w:tabs>
          <w:tab w:val="clear" w:pos="1176"/>
          <w:tab w:val="num" w:pos="900"/>
          <w:tab w:val="num" w:pos="2291"/>
        </w:tabs>
        <w:spacing w:after="20"/>
        <w:ind w:left="896" w:hanging="357"/>
        <w:jc w:val="both"/>
        <w:rPr>
          <w:lang w:val="fr-BE"/>
        </w:rPr>
      </w:pPr>
      <w:r>
        <w:rPr>
          <w:lang w:val="fr-BE"/>
        </w:rPr>
        <w:t>Il faut souligner que le mineur qui accompagne un demandeur d’asile est également considéré comme primo-arrivant indépendamment de sa propre nationalité.</w:t>
      </w:r>
    </w:p>
    <w:p>
      <w:pPr>
        <w:numPr>
          <w:ilvl w:val="0"/>
          <w:numId w:val="79"/>
        </w:numPr>
        <w:tabs>
          <w:tab w:val="clear" w:pos="1176"/>
          <w:tab w:val="num" w:pos="900"/>
          <w:tab w:val="num" w:pos="2291"/>
        </w:tabs>
        <w:spacing w:after="20"/>
        <w:ind w:left="896" w:hanging="357"/>
        <w:jc w:val="both"/>
        <w:rPr>
          <w:spacing w:val="-4"/>
          <w:lang w:val="fr-BE"/>
        </w:rPr>
      </w:pPr>
      <w:r>
        <w:rPr>
          <w:spacing w:val="-4"/>
          <w:lang w:val="fr-BE"/>
        </w:rPr>
        <w:t>En application de la convention Schengen, le contrôle aux frontières entre Etats adhérant à la convention est supprimé. Il en résulte que la date d’entrée sur le territoire belge n’apparaît pas sur le passeport d’étrangers entrés dans l’espace Schengen par un autre Etat membre. Dès lors, si l’entrée sur le territoire Schengen remonte à moins d’un an, la preuve de la date d’entrée est suffisante. Si elle remonte à plus d’un an, mais que l’arrivée sur le territoire belge remonte à moins d’un an, sa date peut être établie par une déclaration sur l’honneur des parents.</w:t>
      </w:r>
    </w:p>
    <w:p>
      <w:pPr>
        <w:numPr>
          <w:ilvl w:val="0"/>
          <w:numId w:val="79"/>
        </w:numPr>
        <w:tabs>
          <w:tab w:val="clear" w:pos="1176"/>
          <w:tab w:val="num" w:pos="900"/>
          <w:tab w:val="num" w:pos="2291"/>
        </w:tabs>
        <w:spacing w:after="20"/>
        <w:ind w:left="896" w:hanging="357"/>
        <w:jc w:val="both"/>
        <w:rPr>
          <w:spacing w:val="-4"/>
          <w:lang w:val="fr-BE"/>
        </w:rPr>
      </w:pPr>
      <w:r>
        <w:rPr>
          <w:spacing w:val="-4"/>
          <w:lang w:val="fr-BE"/>
        </w:rPr>
        <w:t>De manière générale, si les documents de nature à établir que l’élève remplit les conditions requises ne peuvent être fournis, une déclaration sur l’honneur des parents peut les remplacer.</w:t>
      </w:r>
    </w:p>
    <w:p>
      <w:pPr>
        <w:tabs>
          <w:tab w:val="num" w:pos="2291"/>
        </w:tabs>
        <w:spacing w:after="20"/>
        <w:jc w:val="both"/>
        <w:rPr>
          <w:spacing w:val="-4"/>
          <w:szCs w:val="22"/>
          <w:lang w:val="fr-BE"/>
        </w:rPr>
      </w:pPr>
    </w:p>
    <w:p>
      <w:pPr>
        <w:pStyle w:val="Titre3"/>
      </w:pPr>
      <w:bookmarkStart w:id="1822" w:name="Section6_2_5"/>
      <w:bookmarkStart w:id="1823" w:name="_Toc295932105"/>
      <w:bookmarkStart w:id="1824" w:name="_Toc295913815"/>
      <w:bookmarkStart w:id="1825" w:name="_Toc423420151"/>
      <w:bookmarkStart w:id="1826" w:name="_Toc450645358"/>
      <w:bookmarkStart w:id="1827" w:name="_Toc453942595"/>
      <w:bookmarkStart w:id="1828" w:name="_Toc454888212"/>
      <w:bookmarkStart w:id="1829" w:name="_Toc486241872"/>
      <w:r>
        <w:t>6.2.5.</w:t>
      </w:r>
      <w:bookmarkEnd w:id="1822"/>
      <w:r>
        <w:tab/>
        <w:t>Documents concernant les enfants placés par le Juge de la jeunesse ou le Conseiller d'aide à la jeunesse</w:t>
      </w:r>
      <w:bookmarkEnd w:id="1823"/>
      <w:bookmarkEnd w:id="1824"/>
      <w:bookmarkEnd w:id="1825"/>
      <w:bookmarkEnd w:id="1826"/>
      <w:bookmarkEnd w:id="1827"/>
      <w:bookmarkEnd w:id="1828"/>
      <w:bookmarkEnd w:id="1829"/>
    </w:p>
    <w:p>
      <w:pPr>
        <w:rPr>
          <w:sz w:val="16"/>
          <w:szCs w:val="16"/>
        </w:rPr>
      </w:pPr>
    </w:p>
    <w:p>
      <w:pPr>
        <w:pBdr>
          <w:top w:val="single" w:sz="4" w:space="1" w:color="auto"/>
          <w:left w:val="single" w:sz="4" w:space="4" w:color="auto"/>
          <w:bottom w:val="single" w:sz="4" w:space="1" w:color="auto"/>
          <w:right w:val="single" w:sz="4" w:space="4" w:color="auto"/>
        </w:pBdr>
        <w:jc w:val="both"/>
      </w:pPr>
      <w:r>
        <w:t xml:space="preserve">Ces enfants bénéficient, vu leur situation, d’un coefficient préférentiel (1,5) pour l’encadrement en maternel et en primaire. Ces enfants sont ceux qui font l’objet de mesures de placement exclusivement fondées sur la Loi relative à la protection de la jeunesse du 8 avril 1965, sur le Décret du 4 mars 1991 relatif à l’aide à la jeunesse ou sur </w:t>
      </w:r>
      <w:r>
        <w:rPr>
          <w:lang w:val="fr-BE"/>
        </w:rPr>
        <w:t>l’Ordonnance du 29 avril 2004 de la Commission communautaire de la Région de Bruxelles-Capitale relatif à l’Aide à la Jeunesse</w:t>
      </w:r>
      <w:r>
        <w:t xml:space="preserve">. </w:t>
      </w:r>
    </w:p>
    <w:p>
      <w:pPr>
        <w:pStyle w:val="Notedebasdepage"/>
        <w:spacing w:before="120"/>
        <w:jc w:val="both"/>
        <w:rPr>
          <w:spacing w:val="-2"/>
          <w:sz w:val="22"/>
        </w:rPr>
      </w:pPr>
      <w:r>
        <w:rPr>
          <w:spacing w:val="-2"/>
          <w:sz w:val="22"/>
        </w:rPr>
        <w:t xml:space="preserve">Le directeur d'école doit remettre au directeur de la structure de placement ou à la famille d’accueil l’attestation de placement qui se trouve en </w:t>
      </w:r>
      <w:hyperlink w:anchor="Annexe_62A" w:history="1">
        <w:r>
          <w:rPr>
            <w:rStyle w:val="Lienhypertexte"/>
            <w:color w:val="auto"/>
            <w:spacing w:val="-2"/>
            <w:sz w:val="22"/>
          </w:rPr>
          <w:t>annexe 6.2.A.</w:t>
        </w:r>
      </w:hyperlink>
      <w:r>
        <w:rPr>
          <w:spacing w:val="-2"/>
          <w:sz w:val="22"/>
        </w:rPr>
        <w:t xml:space="preserve"> Ceux-ci doivent la compléter et la remettre au Directeur d'école, accompagnée de l'attestation délivrée par le conseiller de l'Aide à </w:t>
      </w:r>
      <w:smartTag w:uri="urn:schemas-microsoft-com:office:smarttags" w:element="PersonName">
        <w:smartTagPr>
          <w:attr w:name="ProductID" w:val="la Jeunesse"/>
        </w:smartTagPr>
        <w:r>
          <w:rPr>
            <w:spacing w:val="-2"/>
            <w:sz w:val="22"/>
          </w:rPr>
          <w:t>la Jeunesse</w:t>
        </w:r>
      </w:smartTag>
      <w:r>
        <w:rPr>
          <w:spacing w:val="-2"/>
          <w:sz w:val="22"/>
        </w:rPr>
        <w:t xml:space="preserve"> ou le directeur de l'Aide à </w:t>
      </w:r>
      <w:smartTag w:uri="urn:schemas-microsoft-com:office:smarttags" w:element="PersonName">
        <w:smartTagPr>
          <w:attr w:name="ProductID" w:val="la Jeunesse"/>
        </w:smartTagPr>
        <w:r>
          <w:rPr>
            <w:spacing w:val="-2"/>
            <w:sz w:val="22"/>
          </w:rPr>
          <w:t>la Jeunesse</w:t>
        </w:r>
      </w:smartTag>
      <w:r>
        <w:rPr>
          <w:spacing w:val="-2"/>
          <w:sz w:val="22"/>
        </w:rPr>
        <w:t xml:space="preserve">, dont le modèle est joint en </w:t>
      </w:r>
      <w:hyperlink w:anchor="Annexe_62B" w:history="1">
        <w:r>
          <w:rPr>
            <w:rStyle w:val="Lienhypertexte"/>
            <w:color w:val="auto"/>
            <w:spacing w:val="-2"/>
            <w:sz w:val="22"/>
          </w:rPr>
          <w:t>annexe 6.2.B.</w:t>
        </w:r>
      </w:hyperlink>
      <w:r>
        <w:rPr>
          <w:spacing w:val="-2"/>
          <w:sz w:val="22"/>
        </w:rPr>
        <w:t xml:space="preserve"> </w:t>
      </w:r>
    </w:p>
    <w:p>
      <w:pPr>
        <w:pStyle w:val="Notedebasdepage"/>
        <w:jc w:val="both"/>
        <w:rPr>
          <w:spacing w:val="-2"/>
          <w:sz w:val="8"/>
          <w:szCs w:val="8"/>
        </w:rPr>
      </w:pPr>
    </w:p>
    <w:p>
      <w:pPr>
        <w:pStyle w:val="Notedebasdepage"/>
        <w:jc w:val="both"/>
        <w:rPr>
          <w:bCs/>
          <w:iCs/>
          <w:spacing w:val="-2"/>
          <w:sz w:val="8"/>
          <w:szCs w:val="8"/>
          <w:u w:val="single"/>
        </w:rPr>
      </w:pPr>
      <w:r>
        <w:rPr>
          <w:bCs/>
          <w:i/>
          <w:iCs/>
          <w:spacing w:val="-2"/>
          <w:sz w:val="22"/>
          <w:u w:val="single"/>
        </w:rPr>
        <w:t xml:space="preserve">Une nouvelle attestation doit être établie chaque année. </w:t>
      </w:r>
    </w:p>
    <w:p>
      <w:pPr>
        <w:pStyle w:val="Notedebasdepage"/>
        <w:jc w:val="both"/>
        <w:rPr>
          <w:bCs/>
          <w:i/>
          <w:iCs/>
          <w:spacing w:val="-2"/>
          <w:sz w:val="22"/>
          <w:u w:val="single"/>
        </w:rPr>
      </w:pPr>
      <w:r>
        <w:rPr>
          <w:bCs/>
          <w:i/>
          <w:iCs/>
          <w:spacing w:val="-2"/>
          <w:sz w:val="22"/>
          <w:u w:val="single"/>
        </w:rPr>
        <w:t>Ces dispositions ne valent pas pour les placements décidés à l’étranger.</w:t>
      </w:r>
    </w:p>
    <w:p>
      <w:pPr>
        <w:rPr>
          <w:sz w:val="24"/>
        </w:rPr>
      </w:pPr>
    </w:p>
    <w:p>
      <w:pPr>
        <w:rPr>
          <w:sz w:val="24"/>
        </w:rPr>
      </w:pPr>
    </w:p>
    <w:p>
      <w:pPr>
        <w:rPr>
          <w:sz w:val="24"/>
        </w:rPr>
      </w:pPr>
    </w:p>
    <w:p>
      <w:pPr>
        <w:pStyle w:val="Titre3"/>
      </w:pPr>
      <w:bookmarkStart w:id="1830" w:name="_Toc295932106"/>
      <w:bookmarkStart w:id="1831" w:name="_Toc295913816"/>
      <w:bookmarkStart w:id="1832" w:name="_Toc423420152"/>
      <w:bookmarkStart w:id="1833" w:name="_Toc450645359"/>
      <w:bookmarkStart w:id="1834" w:name="_Toc453942596"/>
      <w:bookmarkStart w:id="1835" w:name="_Toc454888213"/>
      <w:bookmarkStart w:id="1836" w:name="_Toc486241873"/>
      <w:r>
        <w:t>6.2.6.</w:t>
      </w:r>
      <w:r>
        <w:tab/>
        <w:t>Documents concernant les enfants provenant d'un internat pour enfants dont les parents n'ont pas de résidence fixe</w:t>
      </w:r>
      <w:bookmarkEnd w:id="1830"/>
      <w:bookmarkEnd w:id="1831"/>
      <w:bookmarkEnd w:id="1832"/>
      <w:bookmarkEnd w:id="1833"/>
      <w:bookmarkEnd w:id="1834"/>
      <w:bookmarkEnd w:id="1835"/>
      <w:bookmarkEnd w:id="1836"/>
    </w:p>
    <w:p>
      <w:pPr>
        <w:rPr>
          <w:sz w:val="20"/>
          <w:szCs w:val="20"/>
        </w:rPr>
      </w:pPr>
    </w:p>
    <w:p>
      <w:pPr>
        <w:pBdr>
          <w:top w:val="single" w:sz="4" w:space="1" w:color="auto"/>
          <w:left w:val="single" w:sz="4" w:space="4" w:color="auto"/>
          <w:bottom w:val="single" w:sz="4" w:space="1" w:color="auto"/>
          <w:right w:val="single" w:sz="4" w:space="4" w:color="auto"/>
        </w:pBdr>
        <w:jc w:val="both"/>
      </w:pPr>
      <w:r>
        <w:t xml:space="preserve">Ces enfants bénéficient, vu leur situation, d’un coefficient préférentiel (1,5) pour l’encadrement en maternel et en primaire. Il s'agit des enfants dont les parents n’ont pas de résidence fixe et qui viennent de l’internat d’Antoing. </w:t>
      </w:r>
    </w:p>
    <w:p>
      <w:pPr>
        <w:jc w:val="both"/>
        <w:rPr>
          <w:sz w:val="20"/>
          <w:szCs w:val="20"/>
        </w:rPr>
      </w:pPr>
    </w:p>
    <w:p>
      <w:pPr>
        <w:pStyle w:val="Corpsdetexte2"/>
        <w:numPr>
          <w:ilvl w:val="0"/>
          <w:numId w:val="69"/>
        </w:numPr>
        <w:tabs>
          <w:tab w:val="clear" w:pos="720"/>
          <w:tab w:val="left" w:pos="360"/>
        </w:tabs>
        <w:ind w:left="360"/>
      </w:pPr>
      <w:r>
        <w:t>Le directeur d'école doit faire remplir l’attestation du directeur d’internat pour les enfants dont les parents n’ont pas de résidence fixe (</w:t>
      </w:r>
      <w:hyperlink w:anchor="Annexe_62C" w:history="1">
        <w:r>
          <w:rPr>
            <w:rStyle w:val="Lienhypertexte"/>
            <w:color w:val="auto"/>
          </w:rPr>
          <w:t>annexe 6.2.C</w:t>
        </w:r>
      </w:hyperlink>
      <w:r>
        <w:t xml:space="preserve">). Cette attestation devra être présentée au vérificateur lors de sa visite. </w:t>
      </w:r>
    </w:p>
    <w:p>
      <w:pPr>
        <w:pStyle w:val="Corpsdetexte2"/>
        <w:tabs>
          <w:tab w:val="left" w:pos="360"/>
        </w:tabs>
        <w:ind w:left="360"/>
        <w:rPr>
          <w:i/>
          <w:u w:val="single"/>
        </w:rPr>
      </w:pPr>
      <w:r>
        <w:rPr>
          <w:sz w:val="8"/>
          <w:szCs w:val="8"/>
        </w:rPr>
        <w:br/>
      </w:r>
      <w:r>
        <w:rPr>
          <w:i/>
          <w:u w:val="single"/>
        </w:rPr>
        <w:t>Une nouvelle attestation doit être établie chaque année.</w:t>
      </w:r>
    </w:p>
    <w:p>
      <w:pPr>
        <w:pStyle w:val="Corpsdetexte2"/>
        <w:tabs>
          <w:tab w:val="left" w:pos="360"/>
        </w:tabs>
        <w:ind w:left="360"/>
        <w:rPr>
          <w:i/>
          <w:u w:val="single"/>
        </w:rPr>
      </w:pPr>
    </w:p>
    <w:p>
      <w:pPr>
        <w:pStyle w:val="Corpsdetexte2"/>
        <w:tabs>
          <w:tab w:val="left" w:pos="360"/>
        </w:tabs>
        <w:ind w:left="360"/>
        <w:rPr>
          <w:i/>
          <w:u w:val="single"/>
        </w:rPr>
      </w:pPr>
    </w:p>
    <w:p>
      <w:pPr>
        <w:pStyle w:val="Titre3"/>
      </w:pPr>
      <w:bookmarkStart w:id="1837" w:name="_6.2.6._Document_concernant"/>
      <w:bookmarkStart w:id="1838" w:name="_Toc295932107"/>
      <w:bookmarkStart w:id="1839" w:name="_Toc295913817"/>
      <w:bookmarkStart w:id="1840" w:name="_Toc423420153"/>
      <w:bookmarkStart w:id="1841" w:name="_Toc450645360"/>
      <w:bookmarkStart w:id="1842" w:name="_Toc453942597"/>
      <w:bookmarkStart w:id="1843" w:name="_Toc454888214"/>
      <w:bookmarkStart w:id="1844" w:name="_Toc486241874"/>
      <w:bookmarkEnd w:id="1837"/>
      <w:r>
        <w:t>6.2.7.</w:t>
      </w:r>
      <w:r>
        <w:tab/>
        <w:t>Document concernant les enfants provenant d'un centre d'accueil organisé ou reconnu par l'ONE</w:t>
      </w:r>
      <w:bookmarkEnd w:id="1838"/>
      <w:bookmarkEnd w:id="1839"/>
      <w:bookmarkEnd w:id="1840"/>
      <w:bookmarkEnd w:id="1841"/>
      <w:bookmarkEnd w:id="1842"/>
      <w:bookmarkEnd w:id="1843"/>
      <w:bookmarkEnd w:id="1844"/>
    </w:p>
    <w:p>
      <w:pPr>
        <w:rPr>
          <w:sz w:val="20"/>
          <w:szCs w:val="20"/>
        </w:rPr>
      </w:pPr>
    </w:p>
    <w:p>
      <w:pPr>
        <w:pBdr>
          <w:top w:val="single" w:sz="4" w:space="1" w:color="auto"/>
          <w:left w:val="single" w:sz="4" w:space="4" w:color="auto"/>
          <w:bottom w:val="single" w:sz="4" w:space="1" w:color="auto"/>
          <w:right w:val="single" w:sz="4" w:space="4" w:color="auto"/>
        </w:pBdr>
        <w:jc w:val="both"/>
        <w:rPr>
          <w:spacing w:val="-4"/>
        </w:rPr>
      </w:pPr>
      <w:r>
        <w:rPr>
          <w:spacing w:val="-4"/>
        </w:rPr>
        <w:t>Ces enfants bénéficient, vu leur situation, d’un coefficient 1,5 pour l’encadrement en maternel et en primaire. L’administration limite ce coefficient aux enfants accueillis par les services d’accueil spécialisés (nouvelle dénomination de ce qui était appelé anciennement centres d’accueil et pouponnières).</w:t>
      </w:r>
    </w:p>
    <w:p>
      <w:pPr>
        <w:jc w:val="both"/>
        <w:rPr>
          <w:sz w:val="20"/>
          <w:szCs w:val="20"/>
        </w:rPr>
      </w:pPr>
    </w:p>
    <w:p>
      <w:pPr>
        <w:numPr>
          <w:ilvl w:val="0"/>
          <w:numId w:val="70"/>
        </w:numPr>
        <w:jc w:val="both"/>
        <w:rPr>
          <w:u w:val="single"/>
        </w:rPr>
      </w:pPr>
      <w:r>
        <w:t>Le directeur d'école doit faire remplir l’attestation (</w:t>
      </w:r>
      <w:hyperlink w:anchor="Annexe_62D" w:history="1">
        <w:r>
          <w:rPr>
            <w:rStyle w:val="Lienhypertexte"/>
            <w:color w:val="auto"/>
          </w:rPr>
          <w:t>annexe 6.2.D</w:t>
        </w:r>
      </w:hyperlink>
      <w:r>
        <w:t xml:space="preserve">) concernant les enfants provenant d’un service d’accueil spécialisé par le directeur de celui-ci. Cette attestation devra être présentée au vérificateur lors de sa visite. </w:t>
      </w:r>
      <w:r>
        <w:rPr>
          <w:u w:val="single"/>
        </w:rPr>
        <w:t>Une nouvelle attestation doit être établie chaque année.</w:t>
      </w:r>
    </w:p>
    <w:p>
      <w:pPr>
        <w:ind w:left="360"/>
        <w:jc w:val="both"/>
        <w:rPr>
          <w:u w:val="single"/>
        </w:rPr>
      </w:pPr>
    </w:p>
    <w:p>
      <w:pPr>
        <w:ind w:left="360"/>
        <w:jc w:val="both"/>
        <w:rPr>
          <w:u w:val="single"/>
        </w:rPr>
      </w:pPr>
    </w:p>
    <w:p>
      <w:pPr>
        <w:pStyle w:val="Titre3"/>
      </w:pPr>
      <w:bookmarkStart w:id="1845" w:name="_Toc295932108"/>
      <w:bookmarkStart w:id="1846" w:name="_Toc295913818"/>
      <w:bookmarkStart w:id="1847" w:name="_Toc423420154"/>
      <w:bookmarkStart w:id="1848" w:name="_Toc450645361"/>
      <w:bookmarkStart w:id="1849" w:name="_Toc453942598"/>
      <w:bookmarkStart w:id="1850" w:name="_Toc454888215"/>
      <w:bookmarkStart w:id="1851" w:name="_Toc486241875"/>
      <w:r>
        <w:t>6.2.8.</w:t>
      </w:r>
      <w:r>
        <w:tab/>
        <w:t>Documents concernant les élèves avancés en 1ère primaire, maintenus en maternelle, ou maintenus 8 ou 9 années en primaire</w:t>
      </w:r>
      <w:bookmarkEnd w:id="1845"/>
      <w:bookmarkEnd w:id="1846"/>
      <w:bookmarkEnd w:id="1847"/>
      <w:bookmarkEnd w:id="1848"/>
      <w:bookmarkEnd w:id="1849"/>
      <w:bookmarkEnd w:id="1850"/>
      <w:bookmarkEnd w:id="1851"/>
    </w:p>
    <w:p>
      <w:pPr>
        <w:rPr>
          <w:sz w:val="16"/>
          <w:szCs w:val="16"/>
        </w:rPr>
      </w:pPr>
    </w:p>
    <w:p>
      <w:pPr>
        <w:pStyle w:val="Corpsdetexte2"/>
      </w:pPr>
      <w:r>
        <w:t xml:space="preserve">Pour les procédures à suivre en cas d'avancements ou de maintiens, voir le </w:t>
      </w:r>
      <w:hyperlink w:anchor="chapitre2_3" w:history="1">
        <w:r>
          <w:rPr>
            <w:rStyle w:val="Lienhypertexte"/>
            <w:color w:val="auto"/>
          </w:rPr>
          <w:t>chapitre 2.3.</w:t>
        </w:r>
      </w:hyperlink>
    </w:p>
    <w:p>
      <w:pPr>
        <w:jc w:val="both"/>
        <w:rPr>
          <w:sz w:val="12"/>
          <w:szCs w:val="12"/>
        </w:rPr>
      </w:pPr>
    </w:p>
    <w:p>
      <w:pPr>
        <w:numPr>
          <w:ilvl w:val="0"/>
          <w:numId w:val="71"/>
        </w:numPr>
        <w:jc w:val="both"/>
      </w:pPr>
      <w:r>
        <w:t>Le directeur d'école doit être en possession des documents suivants pour l’enfant qui fréquente l’enseignement primaire à partir de 5 ans</w:t>
      </w:r>
      <w:r>
        <w:rPr>
          <w:b/>
        </w:rPr>
        <w:t>:</w:t>
      </w:r>
    </w:p>
    <w:p>
      <w:pPr>
        <w:numPr>
          <w:ilvl w:val="0"/>
          <w:numId w:val="72"/>
        </w:numPr>
        <w:tabs>
          <w:tab w:val="clear" w:pos="360"/>
          <w:tab w:val="num" w:pos="720"/>
        </w:tabs>
        <w:ind w:left="720"/>
        <w:jc w:val="both"/>
      </w:pPr>
      <w:r>
        <w:t>La demande écrite, datée et signée, par laquelle les parents réclament le bénéfice de l’avancement en première année. (</w:t>
      </w:r>
      <w:hyperlink w:anchor="Annexe_23C" w:history="1">
        <w:r>
          <w:rPr>
            <w:rStyle w:val="Lienhypertexte"/>
            <w:color w:val="auto"/>
          </w:rPr>
          <w:t>annexe 2.3.C</w:t>
        </w:r>
      </w:hyperlink>
      <w:r>
        <w:t>)</w:t>
      </w:r>
    </w:p>
    <w:p>
      <w:pPr>
        <w:numPr>
          <w:ilvl w:val="0"/>
          <w:numId w:val="72"/>
        </w:numPr>
        <w:tabs>
          <w:tab w:val="clear" w:pos="360"/>
          <w:tab w:val="num" w:pos="720"/>
        </w:tabs>
        <w:ind w:left="720"/>
        <w:jc w:val="both"/>
      </w:pPr>
      <w:r>
        <w:t>L’attestation d’avis du directeur de l’école fréquentée l’année scolaire qui précède celle pour laquelle la dérogation est demandée (</w:t>
      </w:r>
      <w:hyperlink w:anchor="Annexe_23A" w:history="1">
        <w:r>
          <w:rPr>
            <w:rStyle w:val="Lienhypertexte"/>
            <w:color w:val="auto"/>
          </w:rPr>
          <w:t>annexe 2.3.A</w:t>
        </w:r>
      </w:hyperlink>
      <w:r>
        <w:t>)</w:t>
      </w:r>
    </w:p>
    <w:p>
      <w:pPr>
        <w:numPr>
          <w:ilvl w:val="0"/>
          <w:numId w:val="72"/>
        </w:numPr>
        <w:tabs>
          <w:tab w:val="clear" w:pos="360"/>
          <w:tab w:val="num" w:pos="720"/>
        </w:tabs>
        <w:ind w:left="720"/>
        <w:jc w:val="both"/>
      </w:pPr>
      <w:r>
        <w:t>L’attestation d’avis du centre P.M.S. (</w:t>
      </w:r>
      <w:hyperlink w:anchor="Annexe_23B" w:history="1">
        <w:r>
          <w:rPr>
            <w:rStyle w:val="Lienhypertexte"/>
            <w:color w:val="auto"/>
          </w:rPr>
          <w:t>annexe 2.3.B</w:t>
        </w:r>
      </w:hyperlink>
      <w:r>
        <w:t>)</w:t>
      </w:r>
    </w:p>
    <w:p>
      <w:pPr>
        <w:pStyle w:val="Corpsdetexte2"/>
        <w:tabs>
          <w:tab w:val="num" w:pos="720"/>
        </w:tabs>
        <w:ind w:left="720" w:hanging="360"/>
      </w:pPr>
      <w:r>
        <w:tab/>
        <w:t>Ces documents doivent être conservés à l'école dans le dossier de l'élève. Ils ne doivent pas être envoyés à l'administration.</w:t>
      </w:r>
    </w:p>
    <w:p>
      <w:pPr>
        <w:jc w:val="both"/>
        <w:rPr>
          <w:sz w:val="12"/>
          <w:szCs w:val="12"/>
        </w:rPr>
      </w:pPr>
    </w:p>
    <w:p>
      <w:pPr>
        <w:numPr>
          <w:ilvl w:val="0"/>
          <w:numId w:val="71"/>
        </w:numPr>
        <w:jc w:val="both"/>
      </w:pPr>
      <w:r>
        <w:t xml:space="preserve">Le directeur d'école doit être en possession de la </w:t>
      </w:r>
      <w:r>
        <w:rPr>
          <w:u w:val="single"/>
        </w:rPr>
        <w:t>dérogation ministérielle</w:t>
      </w:r>
      <w:r>
        <w:t xml:space="preserve"> pour l’enfant qui fréquente l’enseignement maternel au cours de la première année de scolarité obligatoire c’est-à-dire, pour l’année scolaire 2017-2018, les enfants nés en 2011 (voir </w:t>
      </w:r>
      <w:hyperlink w:anchor="_2.3.1._Dans_l’enseignement" w:history="1">
        <w:r>
          <w:rPr>
            <w:rStyle w:val="Lienhypertexte"/>
            <w:color w:val="auto"/>
          </w:rPr>
          <w:t>section 2.3.1.</w:t>
        </w:r>
      </w:hyperlink>
      <w:r>
        <w:t xml:space="preserve"> pour la procédure). </w:t>
      </w:r>
    </w:p>
    <w:p>
      <w:pPr>
        <w:rPr>
          <w:sz w:val="12"/>
        </w:rPr>
      </w:pPr>
    </w:p>
    <w:p>
      <w:pPr>
        <w:numPr>
          <w:ilvl w:val="0"/>
          <w:numId w:val="71"/>
        </w:numPr>
        <w:jc w:val="both"/>
      </w:pPr>
      <w:r>
        <w:t xml:space="preserve">Le directeur d'école doit être en possession de la </w:t>
      </w:r>
      <w:r>
        <w:rPr>
          <w:u w:val="single"/>
        </w:rPr>
        <w:t>dérogation ministérielle</w:t>
      </w:r>
      <w:r>
        <w:t xml:space="preserve"> pour l’élève qui fréquente l’enseignement primaire pendant huit ans (neuf ans dans des cas spécifiques liés à une maladie de longue durée) (voir </w:t>
      </w:r>
      <w:hyperlink w:anchor="section2_3_3" w:history="1">
        <w:r>
          <w:rPr>
            <w:rStyle w:val="Lienhypertexte"/>
            <w:color w:val="auto"/>
          </w:rPr>
          <w:t>section 2.3.3.</w:t>
        </w:r>
      </w:hyperlink>
      <w:r>
        <w:t xml:space="preserve"> pour la procédure).</w:t>
      </w:r>
    </w:p>
    <w:p>
      <w:pPr>
        <w:rPr>
          <w:sz w:val="12"/>
          <w:szCs w:val="12"/>
        </w:rPr>
      </w:pPr>
    </w:p>
    <w:p>
      <w:pPr>
        <w:tabs>
          <w:tab w:val="left" w:pos="515"/>
          <w:tab w:val="left" w:pos="8875"/>
        </w:tabs>
        <w:jc w:val="both"/>
      </w:pPr>
      <w:r>
        <w:t>L’élève avancé en 1</w:t>
      </w:r>
      <w:r>
        <w:rPr>
          <w:vertAlign w:val="superscript"/>
        </w:rPr>
        <w:t>ère</w:t>
      </w:r>
      <w:r>
        <w:t xml:space="preserve"> primaire est considéré comme étant en âge d’obligation scolaire et est dès lors soumis aux règles d’inscription et de comptabilisation de l’enseignement primaire.</w:t>
      </w:r>
    </w:p>
    <w:p>
      <w:pPr>
        <w:tabs>
          <w:tab w:val="left" w:pos="515"/>
          <w:tab w:val="left" w:pos="8875"/>
        </w:tabs>
        <w:jc w:val="both"/>
      </w:pPr>
    </w:p>
    <w:p>
      <w:pPr>
        <w:tabs>
          <w:tab w:val="left" w:pos="515"/>
          <w:tab w:val="left" w:pos="8875"/>
        </w:tabs>
        <w:jc w:val="both"/>
      </w:pPr>
    </w:p>
    <w:p>
      <w:pPr>
        <w:tabs>
          <w:tab w:val="left" w:pos="515"/>
          <w:tab w:val="left" w:pos="8875"/>
        </w:tabs>
        <w:jc w:val="both"/>
      </w:pPr>
    </w:p>
    <w:p>
      <w:pPr>
        <w:tabs>
          <w:tab w:val="left" w:pos="515"/>
          <w:tab w:val="left" w:pos="8875"/>
        </w:tabs>
        <w:jc w:val="both"/>
      </w:pPr>
    </w:p>
    <w:p>
      <w:pPr>
        <w:tabs>
          <w:tab w:val="left" w:pos="515"/>
          <w:tab w:val="left" w:pos="8875"/>
        </w:tabs>
        <w:jc w:val="both"/>
      </w:pPr>
    </w:p>
    <w:p>
      <w:pPr>
        <w:jc w:val="both"/>
        <w:rPr>
          <w:b/>
          <w:bCs/>
          <w:i/>
          <w:u w:val="single"/>
        </w:rPr>
      </w:pPr>
      <w:r>
        <w:rPr>
          <w:b/>
          <w:bCs/>
          <w:i/>
          <w:u w:val="single"/>
        </w:rPr>
        <w:t xml:space="preserve">L’élève est comptabilisé pour les calculs de l’encadrement au 30 septembre si: </w:t>
      </w:r>
    </w:p>
    <w:p>
      <w:pPr>
        <w:numPr>
          <w:ilvl w:val="0"/>
          <w:numId w:val="112"/>
        </w:numPr>
        <w:spacing w:before="120"/>
        <w:ind w:left="357" w:hanging="357"/>
        <w:jc w:val="both"/>
        <w:rPr>
          <w:u w:val="single"/>
        </w:rPr>
      </w:pPr>
      <w:r>
        <w:rPr>
          <w:u w:val="single"/>
        </w:rPr>
        <w:t>Pour un élève en âge d’obligation scolaire maintenu en maternelle,</w:t>
      </w:r>
    </w:p>
    <w:p>
      <w:pPr>
        <w:pStyle w:val="Corpsdetexte"/>
        <w:ind w:left="360"/>
      </w:pPr>
      <w:r>
        <w:t xml:space="preserve">la dérogation a été octroyée. </w:t>
      </w:r>
    </w:p>
    <w:p>
      <w:pPr>
        <w:pStyle w:val="Corpsdetexte"/>
        <w:ind w:left="360"/>
        <w:rPr>
          <w:rFonts w:cs="Times New Roman"/>
          <w:spacing w:val="0"/>
        </w:rPr>
      </w:pPr>
      <w:r>
        <w:t xml:space="preserve">L’élève se trouve dans le registre de la classe qu’il fréquente et est soumis </w:t>
      </w:r>
      <w:r>
        <w:rPr>
          <w:rFonts w:cs="Times New Roman"/>
          <w:spacing w:val="0"/>
        </w:rPr>
        <w:t xml:space="preserve">aux mêmes règles de comptabilisation que tout autre enfant inscrit en maternelle, c’est-à-dire qu’ils doivent avoir fréquenté l’enseignement maternel durant au moins 8 demi-jours répartis sur 8 jours. </w:t>
      </w:r>
    </w:p>
    <w:p>
      <w:pPr>
        <w:numPr>
          <w:ilvl w:val="0"/>
          <w:numId w:val="112"/>
        </w:numPr>
        <w:spacing w:before="120"/>
        <w:ind w:left="357" w:hanging="357"/>
        <w:jc w:val="both"/>
        <w:rPr>
          <w:u w:val="single"/>
        </w:rPr>
      </w:pPr>
      <w:r>
        <w:rPr>
          <w:u w:val="single"/>
        </w:rPr>
        <w:t xml:space="preserve">Pour un élève fréquentant la première année de l'enseignement primaire dès l'âge de 5 ans, </w:t>
      </w:r>
    </w:p>
    <w:p>
      <w:pPr>
        <w:pStyle w:val="Corpsdetexte"/>
        <w:spacing w:after="60"/>
        <w:ind w:left="360"/>
      </w:pPr>
      <w:r>
        <w:t>le dossier de l'élève (</w:t>
      </w:r>
      <w:hyperlink w:anchor="Annexe_23A" w:history="1">
        <w:r>
          <w:rPr>
            <w:rStyle w:val="Lienhypertexte"/>
          </w:rPr>
          <w:t>annexe 2.3.A.</w:t>
        </w:r>
      </w:hyperlink>
      <w:r>
        <w:t xml:space="preserve">, </w:t>
      </w:r>
      <w:hyperlink w:anchor="Annexe_23B" w:history="1">
        <w:r>
          <w:rPr>
            <w:rStyle w:val="Lienhypertexte"/>
          </w:rPr>
          <w:t>annexe 2.3.B.</w:t>
        </w:r>
      </w:hyperlink>
      <w:r>
        <w:t xml:space="preserve">, </w:t>
      </w:r>
      <w:hyperlink w:anchor="Annexe_23C" w:history="1">
        <w:r>
          <w:rPr>
            <w:rStyle w:val="Lienhypertexte"/>
          </w:rPr>
          <w:t>annexe 2.3.C.</w:t>
        </w:r>
      </w:hyperlink>
      <w:r>
        <w:t xml:space="preserve">) est constitué et complet, au plus tard le 30 septembre. </w:t>
      </w:r>
    </w:p>
    <w:p>
      <w:pPr>
        <w:pStyle w:val="Corpsdetexte"/>
        <w:numPr>
          <w:ilvl w:val="0"/>
          <w:numId w:val="112"/>
        </w:numPr>
        <w:spacing w:before="120"/>
        <w:ind w:left="357" w:hanging="357"/>
        <w:rPr>
          <w:u w:val="single"/>
        </w:rPr>
      </w:pPr>
      <w:r>
        <w:rPr>
          <w:u w:val="single"/>
        </w:rPr>
        <w:t>Pour un élève fréquentant l'enseignement primaire pendant 8 années ou 9 années,</w:t>
      </w:r>
    </w:p>
    <w:p>
      <w:pPr>
        <w:pStyle w:val="Corpsdetexte"/>
        <w:ind w:left="357"/>
      </w:pPr>
      <w:r>
        <w:t xml:space="preserve">la dérogation a été octroyée le 30 septembre au plus tard (la date figurant sur la dérogation faisant foi). </w:t>
      </w:r>
    </w:p>
    <w:p>
      <w:pPr>
        <w:tabs>
          <w:tab w:val="left" w:pos="515"/>
          <w:tab w:val="left" w:pos="8875"/>
        </w:tabs>
        <w:jc w:val="both"/>
        <w:rPr>
          <w:sz w:val="24"/>
        </w:rPr>
      </w:pPr>
    </w:p>
    <w:p>
      <w:pPr>
        <w:pStyle w:val="Titre3"/>
      </w:pPr>
      <w:bookmarkStart w:id="1852" w:name="_Toc295932109"/>
      <w:bookmarkStart w:id="1853" w:name="_Toc295913819"/>
      <w:bookmarkStart w:id="1854" w:name="_Toc423420155"/>
      <w:bookmarkStart w:id="1855" w:name="_Toc450645362"/>
      <w:bookmarkStart w:id="1856" w:name="_Toc453942599"/>
      <w:bookmarkStart w:id="1857" w:name="_Toc454888216"/>
      <w:bookmarkStart w:id="1858" w:name="_Toc486241876"/>
      <w:r>
        <w:t>6.2.9.</w:t>
      </w:r>
      <w:r>
        <w:tab/>
        <w:t>Documents concernant les changements d'école ou d’implantation</w:t>
      </w:r>
      <w:bookmarkEnd w:id="1852"/>
      <w:bookmarkEnd w:id="1853"/>
      <w:bookmarkEnd w:id="1854"/>
      <w:bookmarkEnd w:id="1855"/>
      <w:bookmarkEnd w:id="1856"/>
      <w:bookmarkEnd w:id="1857"/>
      <w:bookmarkEnd w:id="1858"/>
    </w:p>
    <w:p>
      <w:pPr>
        <w:rPr>
          <w:sz w:val="16"/>
          <w:szCs w:val="16"/>
          <w:lang w:val="fr-BE"/>
        </w:rPr>
      </w:pPr>
    </w:p>
    <w:p>
      <w:r>
        <w:t xml:space="preserve">Pour les informations relatives aux procédures de changement d’école voir le </w:t>
      </w:r>
      <w:hyperlink w:anchor="Chapitre2_4" w:history="1">
        <w:r>
          <w:rPr>
            <w:rStyle w:val="Lienhypertexte"/>
            <w:color w:val="auto"/>
          </w:rPr>
          <w:t>chapitre 2.4.</w:t>
        </w:r>
      </w:hyperlink>
    </w:p>
    <w:p>
      <w:pPr>
        <w:rPr>
          <w:sz w:val="16"/>
          <w:szCs w:val="16"/>
        </w:rPr>
      </w:pPr>
    </w:p>
    <w:p>
      <w:pPr>
        <w:rPr>
          <w:sz w:val="16"/>
          <w:szCs w:val="16"/>
        </w:rPr>
      </w:pPr>
    </w:p>
    <w:p>
      <w:pPr>
        <w:rPr>
          <w:bCs/>
          <w:u w:val="single"/>
        </w:rPr>
      </w:pPr>
      <w:r>
        <w:rPr>
          <w:bCs/>
          <w:u w:val="single"/>
        </w:rPr>
        <w:t>Première situation: l’élève arrive dans l'école après le 15 septembre:</w:t>
      </w:r>
    </w:p>
    <w:p>
      <w:pPr>
        <w:rPr>
          <w:sz w:val="6"/>
          <w:szCs w:val="12"/>
        </w:rPr>
      </w:pPr>
    </w:p>
    <w:p>
      <w:pPr>
        <w:numPr>
          <w:ilvl w:val="0"/>
          <w:numId w:val="73"/>
        </w:numPr>
        <w:tabs>
          <w:tab w:val="clear" w:pos="2291"/>
        </w:tabs>
        <w:ind w:left="360"/>
        <w:rPr>
          <w:spacing w:val="-2"/>
        </w:rPr>
      </w:pPr>
      <w:r>
        <w:rPr>
          <w:spacing w:val="-2"/>
        </w:rPr>
        <w:t xml:space="preserve">Le directeur ne peut </w:t>
      </w:r>
      <w:r>
        <w:rPr>
          <w:i/>
          <w:spacing w:val="-2"/>
        </w:rPr>
        <w:t>ni inscrire, ni accepter</w:t>
      </w:r>
      <w:r>
        <w:rPr>
          <w:spacing w:val="-2"/>
        </w:rPr>
        <w:t xml:space="preserve"> l’élève s’il n’est pas en possession de l’</w:t>
      </w:r>
      <w:hyperlink w:anchor="Annexe_24A" w:history="1">
        <w:r>
          <w:rPr>
            <w:rStyle w:val="Lienhypertexte"/>
            <w:color w:val="auto"/>
            <w:spacing w:val="-2"/>
          </w:rPr>
          <w:t>annexe 2.4.A.</w:t>
        </w:r>
      </w:hyperlink>
    </w:p>
    <w:p>
      <w:pPr>
        <w:rPr>
          <w:sz w:val="16"/>
          <w:szCs w:val="16"/>
        </w:rPr>
      </w:pPr>
    </w:p>
    <w:p>
      <w:pPr>
        <w:rPr>
          <w:bCs/>
          <w:u w:val="single"/>
        </w:rPr>
      </w:pPr>
      <w:r>
        <w:rPr>
          <w:bCs/>
          <w:u w:val="single"/>
        </w:rPr>
        <w:t>Deuxième situation: l’élève quitte l’école après le 15 septembre:</w:t>
      </w:r>
    </w:p>
    <w:p>
      <w:pPr>
        <w:rPr>
          <w:sz w:val="6"/>
          <w:szCs w:val="12"/>
        </w:rPr>
      </w:pPr>
    </w:p>
    <w:p>
      <w:pPr>
        <w:numPr>
          <w:ilvl w:val="0"/>
          <w:numId w:val="73"/>
        </w:numPr>
        <w:tabs>
          <w:tab w:val="clear" w:pos="2291"/>
        </w:tabs>
        <w:ind w:left="360"/>
        <w:jc w:val="both"/>
      </w:pPr>
      <w:r>
        <w:t xml:space="preserve">Le dossier complet doit être présenté au vérificateur. Les différentes pièces qui doivent apparaître dans le dossier sont mentionnées au </w:t>
      </w:r>
      <w:hyperlink w:anchor="Chapitre2_4" w:history="1">
        <w:r>
          <w:rPr>
            <w:rStyle w:val="Lienhypertexte"/>
            <w:color w:val="auto"/>
          </w:rPr>
          <w:t>chapitre 2.4.</w:t>
        </w:r>
      </w:hyperlink>
    </w:p>
    <w:p>
      <w:pPr>
        <w:jc w:val="both"/>
        <w:rPr>
          <w:sz w:val="16"/>
          <w:szCs w:val="16"/>
        </w:rPr>
      </w:pPr>
    </w:p>
    <w:p>
      <w:pPr>
        <w:pStyle w:val="Corpsdetexte2"/>
        <w:rPr>
          <w:i/>
        </w:rPr>
      </w:pPr>
      <w:r>
        <w:rPr>
          <w:i/>
        </w:rPr>
        <w:t xml:space="preserve">Pour les élèves qui changent d’école après le 30 septembre en provenance d’une école de </w:t>
      </w:r>
      <w:smartTag w:uri="urn:schemas-microsoft-com:office:smarttags" w:element="PersonName">
        <w:smartTagPr>
          <w:attr w:name="ProductID" w:val="la Communaut￩"/>
        </w:smartTagPr>
        <w:r>
          <w:rPr>
            <w:i/>
          </w:rPr>
          <w:t>la Communauté</w:t>
        </w:r>
      </w:smartTag>
      <w:r>
        <w:rPr>
          <w:i/>
        </w:rPr>
        <w:t xml:space="preserve"> flamande ou de </w:t>
      </w:r>
      <w:smartTag w:uri="urn:schemas-microsoft-com:office:smarttags" w:element="PersonName">
        <w:smartTagPr>
          <w:attr w:name="ProductID" w:val="la Communaut￩"/>
        </w:smartTagPr>
        <w:r>
          <w:rPr>
            <w:i/>
          </w:rPr>
          <w:t>la Communauté</w:t>
        </w:r>
      </w:smartTag>
      <w:r>
        <w:rPr>
          <w:i/>
        </w:rPr>
        <w:t xml:space="preserve"> germanophone, il y a lieu de renvoyer à l’Administration l’</w:t>
      </w:r>
      <w:hyperlink w:anchor="Annexe_223" w:history="1">
        <w:r>
          <w:rPr>
            <w:rStyle w:val="Lienhypertexte"/>
            <w:i/>
            <w:color w:val="auto"/>
          </w:rPr>
          <w:t>annexe 2.2.3.</w:t>
        </w:r>
      </w:hyperlink>
      <w:r>
        <w:rPr>
          <w:i/>
        </w:rPr>
        <w:t>: Demande de dérogation pour inscription tardive.</w:t>
      </w:r>
    </w:p>
    <w:p>
      <w:pPr>
        <w:rPr>
          <w:sz w:val="24"/>
        </w:rPr>
      </w:pPr>
    </w:p>
    <w:p>
      <w:pPr>
        <w:rPr>
          <w:sz w:val="24"/>
        </w:rPr>
      </w:pPr>
    </w:p>
    <w:p>
      <w:pPr>
        <w:pStyle w:val="Titre3"/>
      </w:pPr>
      <w:bookmarkStart w:id="1859" w:name="_Toc295932110"/>
      <w:bookmarkStart w:id="1860" w:name="_Toc295913820"/>
      <w:bookmarkStart w:id="1861" w:name="_Toc423420156"/>
      <w:bookmarkStart w:id="1862" w:name="_Toc450645363"/>
      <w:bookmarkStart w:id="1863" w:name="_Toc453942600"/>
      <w:bookmarkStart w:id="1864" w:name="_Toc454888217"/>
      <w:bookmarkStart w:id="1865" w:name="_Toc486241877"/>
      <w:r>
        <w:t>6.2.10. Documents concernant les enfants en séjour illégal</w:t>
      </w:r>
      <w:bookmarkEnd w:id="1859"/>
      <w:bookmarkEnd w:id="1860"/>
      <w:bookmarkEnd w:id="1861"/>
      <w:bookmarkEnd w:id="1862"/>
      <w:bookmarkEnd w:id="1863"/>
      <w:bookmarkEnd w:id="1864"/>
      <w:bookmarkEnd w:id="1865"/>
    </w:p>
    <w:p>
      <w:pPr>
        <w:pStyle w:val="Notedebasdepage"/>
        <w:rPr>
          <w:sz w:val="16"/>
          <w:szCs w:val="16"/>
        </w:rPr>
      </w:pPr>
    </w:p>
    <w:p>
      <w:pPr>
        <w:jc w:val="both"/>
        <w:rPr>
          <w:spacing w:val="-4"/>
        </w:rPr>
      </w:pPr>
      <w:r>
        <w:rPr>
          <w:spacing w:val="-4"/>
        </w:rPr>
        <w:t xml:space="preserve">Les </w:t>
      </w:r>
      <w:r>
        <w:rPr>
          <w:bCs/>
          <w:spacing w:val="-4"/>
        </w:rPr>
        <w:t xml:space="preserve">mineurs séjournant illégalement en Belgique </w:t>
      </w:r>
      <w:r>
        <w:rPr>
          <w:spacing w:val="-4"/>
        </w:rPr>
        <w:t xml:space="preserve">sont pris en compte pour l’encadrement, les dotations et les subventions dans les mêmes conditions que les autres élèves. </w:t>
      </w:r>
    </w:p>
    <w:p>
      <w:pPr>
        <w:jc w:val="both"/>
        <w:rPr>
          <w:spacing w:val="-4"/>
        </w:rPr>
      </w:pPr>
    </w:p>
    <w:p>
      <w:pPr>
        <w:pStyle w:val="Titre3"/>
      </w:pPr>
      <w:bookmarkStart w:id="1866" w:name="_Toc486241878"/>
      <w:r>
        <w:t>6.2.11. Documents concernant la scolarisation à temps partiel</w:t>
      </w:r>
      <w:bookmarkEnd w:id="1866"/>
    </w:p>
    <w:p>
      <w:pPr>
        <w:jc w:val="both"/>
        <w:rPr>
          <w:spacing w:val="-4"/>
          <w:sz w:val="16"/>
          <w:szCs w:val="16"/>
        </w:rPr>
      </w:pPr>
    </w:p>
    <w:p>
      <w:pPr>
        <w:jc w:val="both"/>
        <w:rPr>
          <w:spacing w:val="-4"/>
        </w:rPr>
      </w:pPr>
      <w:r>
        <w:rPr>
          <w:spacing w:val="-4"/>
        </w:rPr>
        <w:t>L’</w:t>
      </w:r>
      <w:hyperlink w:anchor="Annexe_211" w:history="1">
        <w:r>
          <w:rPr>
            <w:rStyle w:val="Lienhypertexte"/>
            <w:color w:val="auto"/>
            <w:spacing w:val="-4"/>
          </w:rPr>
          <w:t>annexe 2.1.1.</w:t>
        </w:r>
      </w:hyperlink>
      <w:r>
        <w:rPr>
          <w:spacing w:val="-4"/>
        </w:rPr>
        <w:t xml:space="preserve"> dûment complétée doit figurer dans le dossier de tout élève fréquentant au maximum durant 4 demi-jours par semaine une structure subventionnée et agréée par l’AVIQ, la COCOF ou l’INAMI. </w:t>
      </w:r>
    </w:p>
    <w:p>
      <w:pPr>
        <w:pStyle w:val="MonTitre1"/>
      </w:pPr>
      <w:r>
        <w:br w:type="page"/>
      </w:r>
      <w:bookmarkStart w:id="1867" w:name="_Toc423420157"/>
      <w:bookmarkStart w:id="1868" w:name="_Toc450645364"/>
      <w:bookmarkStart w:id="1869" w:name="_Toc453942601"/>
      <w:bookmarkStart w:id="1870" w:name="_Toc454888218"/>
      <w:bookmarkStart w:id="1871" w:name="_Toc486241879"/>
      <w:r>
        <w:t xml:space="preserve">Titre 7. </w:t>
      </w:r>
      <w:r>
        <w:tab/>
        <w:t>Gratuité d’accès à l’enseignement</w:t>
      </w:r>
      <w:bookmarkEnd w:id="1867"/>
      <w:bookmarkEnd w:id="1868"/>
      <w:bookmarkEnd w:id="1869"/>
      <w:bookmarkEnd w:id="1870"/>
      <w:bookmarkEnd w:id="1871"/>
    </w:p>
    <w:p/>
    <w:p>
      <w:pPr>
        <w:pStyle w:val="Titre2"/>
      </w:pPr>
      <w:bookmarkStart w:id="1872" w:name="_Toc423420158"/>
      <w:bookmarkStart w:id="1873" w:name="_Toc450645365"/>
      <w:bookmarkStart w:id="1874" w:name="_Toc453942602"/>
      <w:bookmarkStart w:id="1875" w:name="_Toc454888219"/>
      <w:bookmarkStart w:id="1876" w:name="_Toc486241880"/>
      <w:r>
        <w:t>Chapitre 7.1. Règles générales</w:t>
      </w:r>
      <w:bookmarkEnd w:id="1872"/>
      <w:bookmarkEnd w:id="1873"/>
      <w:bookmarkEnd w:id="1874"/>
      <w:bookmarkEnd w:id="1875"/>
      <w:bookmarkEnd w:id="1876"/>
    </w:p>
    <w:p>
      <w:pPr>
        <w:pStyle w:val="Default"/>
        <w:jc w:val="both"/>
        <w:rPr>
          <w:rFonts w:ascii="Arial" w:hAnsi="Arial" w:cs="Arial"/>
          <w:bCs/>
          <w:iCs/>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 xml:space="preserve">L’accès à l’enseignement fondamental est gratuit dans les établissements organisés ou subventionnés par </w:t>
      </w:r>
      <w:smartTag w:uri="urn:schemas-microsoft-com:office:smarttags" w:element="PersonName">
        <w:smartTagPr>
          <w:attr w:name="ProductID" w:val="la F￩d￩ration Wallonie-Bruxelles."/>
        </w:smartTagPr>
        <w:r>
          <w:rPr>
            <w:rFonts w:ascii="Arial" w:hAnsi="Arial" w:cs="Arial"/>
            <w:color w:val="auto"/>
            <w:sz w:val="22"/>
            <w:szCs w:val="22"/>
          </w:rPr>
          <w:t>la Fédération Wallonie-Bruxelles.</w:t>
        </w:r>
      </w:smartTag>
      <w:r>
        <w:rPr>
          <w:rFonts w:ascii="Arial" w:hAnsi="Arial" w:cs="Arial"/>
          <w:color w:val="auto"/>
          <w:sz w:val="22"/>
          <w:szCs w:val="22"/>
        </w:rPr>
        <w:t xml:space="preserve"> </w:t>
      </w:r>
    </w:p>
    <w:p>
      <w:pPr>
        <w:pStyle w:val="Default"/>
        <w:jc w:val="both"/>
        <w:rPr>
          <w:rFonts w:ascii="Arial" w:hAnsi="Arial" w:cs="Arial"/>
          <w:color w:val="auto"/>
          <w:sz w:val="22"/>
          <w:szCs w:val="22"/>
        </w:rPr>
      </w:pPr>
    </w:p>
    <w:p>
      <w:pPr>
        <w:jc w:val="both"/>
        <w:rPr>
          <w:rFonts w:cs="Arial"/>
          <w:szCs w:val="22"/>
        </w:rPr>
      </w:pPr>
      <w:r>
        <w:rPr>
          <w:rFonts w:cs="Arial"/>
          <w:szCs w:val="22"/>
        </w:rPr>
        <w:t>Le non-paiement des frais ne peut en aucun cas constituer, pour l’élève, un motif de refus d'inscription ou d'exclusion définitive ou de toute autre sanction.</w:t>
      </w:r>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Les pouvoirs organisateurs peuvent mettre en place un paiement forfaitaire correspondant au coût moyen réel des frais.</w:t>
      </w:r>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p>
    <w:p>
      <w:pPr>
        <w:pStyle w:val="Titre2"/>
      </w:pPr>
      <w:bookmarkStart w:id="1877" w:name="_Toc423420159"/>
      <w:bookmarkStart w:id="1878" w:name="_Toc450645366"/>
      <w:bookmarkStart w:id="1879" w:name="_Toc453942603"/>
      <w:bookmarkStart w:id="1880" w:name="_Toc454888220"/>
      <w:bookmarkStart w:id="1881" w:name="_Toc486241881"/>
      <w:r>
        <w:t>Chapitre 7.2. Frais scolaires</w:t>
      </w:r>
      <w:bookmarkEnd w:id="1877"/>
      <w:bookmarkEnd w:id="1878"/>
      <w:bookmarkEnd w:id="1879"/>
      <w:bookmarkEnd w:id="1880"/>
      <w:bookmarkEnd w:id="1881"/>
    </w:p>
    <w:p>
      <w:pPr>
        <w:pStyle w:val="Default"/>
        <w:jc w:val="both"/>
        <w:rPr>
          <w:rFonts w:ascii="Arial" w:hAnsi="Arial" w:cs="Arial"/>
          <w:color w:val="auto"/>
          <w:sz w:val="22"/>
          <w:szCs w:val="22"/>
        </w:rPr>
      </w:pPr>
    </w:p>
    <w:p>
      <w:pPr>
        <w:pStyle w:val="Titre3"/>
      </w:pPr>
      <w:bookmarkStart w:id="1882" w:name="_Toc423420160"/>
      <w:bookmarkStart w:id="1883" w:name="_Toc450645367"/>
      <w:bookmarkStart w:id="1884" w:name="_Toc453942604"/>
      <w:bookmarkStart w:id="1885" w:name="_Toc454888221"/>
      <w:bookmarkStart w:id="1886" w:name="_Toc486241882"/>
      <w:r>
        <w:t>7.2.1. Frais que l’école ne peut pas réclamer</w:t>
      </w:r>
      <w:bookmarkEnd w:id="1882"/>
      <w:bookmarkEnd w:id="1883"/>
      <w:bookmarkEnd w:id="1884"/>
      <w:bookmarkEnd w:id="1885"/>
      <w:bookmarkEnd w:id="1886"/>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 xml:space="preserve">Outre un minerval direct ou indirect, d’autres frais ne peuvent pas non plus être réclamés aux parents d’élèves : </w:t>
      </w:r>
    </w:p>
    <w:p>
      <w:pPr>
        <w:pStyle w:val="Default"/>
        <w:numPr>
          <w:ilvl w:val="0"/>
          <w:numId w:val="164"/>
        </w:numPr>
        <w:jc w:val="both"/>
        <w:rPr>
          <w:rFonts w:ascii="Arial" w:hAnsi="Arial" w:cs="Arial"/>
          <w:color w:val="auto"/>
          <w:sz w:val="22"/>
          <w:szCs w:val="22"/>
        </w:rPr>
      </w:pPr>
      <w:r>
        <w:rPr>
          <w:rFonts w:ascii="Arial" w:hAnsi="Arial" w:cs="Arial"/>
          <w:color w:val="auto"/>
          <w:sz w:val="22"/>
          <w:szCs w:val="22"/>
        </w:rPr>
        <w:t>les frais afférents au fonctionnement, à l’équipement et à l’encadrement des établissements scolaires (</w:t>
      </w:r>
      <w:r>
        <w:rPr>
          <w:rFonts w:ascii="Arial" w:hAnsi="Arial" w:cs="Arial"/>
          <w:i/>
          <w:color w:val="auto"/>
          <w:sz w:val="22"/>
          <w:szCs w:val="22"/>
        </w:rPr>
        <w:t>il convient ici de distinguer les temps scolaires des temps extra-scolaires : les frais liés au matériel utilisé en dehors des heures de cours (par ex. durant les temps de midi, les matins, les soirées, etc.) ne relèvent pas de la gratuité d’accès à l’enseignement</w:t>
      </w:r>
      <w:r>
        <w:rPr>
          <w:rFonts w:ascii="Arial" w:hAnsi="Arial" w:cs="Arial"/>
          <w:color w:val="auto"/>
          <w:sz w:val="22"/>
          <w:szCs w:val="22"/>
        </w:rPr>
        <w:t>) ;</w:t>
      </w:r>
    </w:p>
    <w:p>
      <w:pPr>
        <w:pStyle w:val="Default"/>
        <w:numPr>
          <w:ilvl w:val="0"/>
          <w:numId w:val="164"/>
        </w:numPr>
        <w:jc w:val="both"/>
        <w:rPr>
          <w:rFonts w:ascii="Arial" w:hAnsi="Arial" w:cs="Arial"/>
          <w:color w:val="auto"/>
          <w:sz w:val="22"/>
          <w:szCs w:val="22"/>
        </w:rPr>
      </w:pPr>
      <w:r>
        <w:rPr>
          <w:rFonts w:ascii="Arial" w:hAnsi="Arial" w:cs="Arial"/>
          <w:color w:val="auto"/>
          <w:sz w:val="22"/>
          <w:szCs w:val="22"/>
        </w:rPr>
        <w:t>les frais concernant l’achat du journal de classe, diplômes et certificats d’enseignement et bulletin scolaire.</w:t>
      </w:r>
    </w:p>
    <w:p>
      <w:pPr>
        <w:pStyle w:val="Default"/>
        <w:jc w:val="both"/>
        <w:rPr>
          <w:rFonts w:ascii="Arial" w:hAnsi="Arial" w:cs="Arial"/>
          <w:color w:val="auto"/>
          <w:sz w:val="22"/>
          <w:szCs w:val="22"/>
        </w:rPr>
      </w:pPr>
    </w:p>
    <w:p>
      <w:pPr>
        <w:pStyle w:val="Titre3"/>
      </w:pPr>
      <w:bookmarkStart w:id="1887" w:name="_Toc423420161"/>
      <w:bookmarkStart w:id="1888" w:name="_Toc450645368"/>
      <w:bookmarkStart w:id="1889" w:name="_Toc453942605"/>
      <w:bookmarkStart w:id="1890" w:name="_Toc454888222"/>
      <w:bookmarkStart w:id="1891" w:name="_Toc486241883"/>
      <w:r>
        <w:t>7.2.2. Frais que l’école peut réclamer</w:t>
      </w:r>
      <w:bookmarkEnd w:id="1887"/>
      <w:bookmarkEnd w:id="1888"/>
      <w:bookmarkEnd w:id="1889"/>
      <w:bookmarkEnd w:id="1890"/>
      <w:bookmarkEnd w:id="1891"/>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 xml:space="preserve">Certains frais ne sont pas considérés comme perception d’un minerval et peuvent être réclamés au coût réel : </w:t>
      </w:r>
    </w:p>
    <w:p>
      <w:pPr>
        <w:pStyle w:val="Default"/>
        <w:jc w:val="both"/>
        <w:rPr>
          <w:rFonts w:ascii="Arial" w:hAnsi="Arial" w:cs="Arial"/>
          <w:color w:val="auto"/>
          <w:sz w:val="22"/>
          <w:szCs w:val="22"/>
        </w:rPr>
      </w:pPr>
    </w:p>
    <w:p>
      <w:pPr>
        <w:pStyle w:val="Default"/>
        <w:numPr>
          <w:ilvl w:val="0"/>
          <w:numId w:val="164"/>
        </w:numPr>
        <w:jc w:val="both"/>
        <w:rPr>
          <w:rFonts w:ascii="Arial" w:hAnsi="Arial" w:cs="Arial"/>
          <w:color w:val="auto"/>
          <w:sz w:val="22"/>
          <w:szCs w:val="22"/>
        </w:rPr>
      </w:pPr>
      <w:r>
        <w:rPr>
          <w:rFonts w:ascii="Arial" w:hAnsi="Arial" w:cs="Arial"/>
          <w:color w:val="auto"/>
          <w:sz w:val="22"/>
          <w:szCs w:val="22"/>
        </w:rPr>
        <w:t>les droits d’accès à la piscine et aux activités culturelles et sportives ainsi que les déplacements qui y sont liés si ces activités sont liées au projet pédagogique ou d’établissement et que les frais sont appréciés au coût réel.</w:t>
      </w:r>
    </w:p>
    <w:p>
      <w:pPr>
        <w:pStyle w:val="Default"/>
        <w:ind w:left="360"/>
        <w:jc w:val="both"/>
        <w:rPr>
          <w:rFonts w:ascii="Arial" w:hAnsi="Arial" w:cs="Arial"/>
          <w:color w:val="auto"/>
          <w:sz w:val="22"/>
          <w:szCs w:val="22"/>
        </w:rPr>
      </w:pPr>
    </w:p>
    <w:p>
      <w:pPr>
        <w:pStyle w:val="Default"/>
        <w:jc w:val="both"/>
        <w:rPr>
          <w:rFonts w:ascii="Arial" w:hAnsi="Arial" w:cs="Arial"/>
          <w:b/>
          <w:i/>
          <w:color w:val="auto"/>
          <w:sz w:val="22"/>
          <w:szCs w:val="22"/>
        </w:rPr>
      </w:pPr>
      <w:r>
        <w:rPr>
          <w:rFonts w:ascii="Arial" w:hAnsi="Arial" w:cs="Arial"/>
          <w:i/>
          <w:color w:val="auto"/>
          <w:sz w:val="22"/>
          <w:szCs w:val="22"/>
          <w:u w:val="single"/>
        </w:rPr>
        <w:t>Les frais liés à l’obtention de documents administratifs en milieu scolaire</w:t>
      </w:r>
      <w:r>
        <w:rPr>
          <w:rFonts w:ascii="Arial" w:hAnsi="Arial" w:cs="Arial"/>
          <w:b/>
          <w:i/>
          <w:color w:val="auto"/>
          <w:sz w:val="22"/>
          <w:szCs w:val="22"/>
        </w:rPr>
        <w:t xml:space="preserve"> :  </w:t>
      </w:r>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Conformément à la réglementation</w:t>
      </w:r>
      <w:r>
        <w:rPr>
          <w:rStyle w:val="Appelnotedebasdep"/>
          <w:rFonts w:ascii="Arial" w:hAnsi="Arial" w:cs="Arial"/>
          <w:color w:val="auto"/>
          <w:sz w:val="22"/>
          <w:szCs w:val="22"/>
        </w:rPr>
        <w:footnoteReference w:id="88"/>
      </w:r>
      <w:r>
        <w:rPr>
          <w:rFonts w:ascii="Arial" w:hAnsi="Arial" w:cs="Arial"/>
          <w:color w:val="auto"/>
          <w:sz w:val="22"/>
          <w:szCs w:val="22"/>
        </w:rPr>
        <w:t>, chaque parent dispose en principe du droit de consulter ou de se faire remettre copie de documents administratifs.</w:t>
      </w:r>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 xml:space="preserve">L’article 11 du </w:t>
      </w:r>
      <w:hyperlink r:id="rId142" w:history="1">
        <w:r>
          <w:rPr>
            <w:rStyle w:val="Lienhypertexte"/>
            <w:rFonts w:ascii="Arial" w:hAnsi="Arial" w:cs="Arial"/>
            <w:color w:val="auto"/>
            <w:sz w:val="22"/>
            <w:szCs w:val="22"/>
          </w:rPr>
          <w:t>décret du 22 décembre 1994 relatif à la publicité de l’administration</w:t>
        </w:r>
      </w:hyperlink>
      <w:r>
        <w:rPr>
          <w:rFonts w:ascii="Arial" w:hAnsi="Arial" w:cs="Arial"/>
          <w:color w:val="auto"/>
          <w:sz w:val="22"/>
          <w:szCs w:val="22"/>
        </w:rPr>
        <w:t xml:space="preserve"> prévoit que le prix des copies peut être mis à charge du demandeur. Ce coût est fixé à 0,25 € la page A4.</w:t>
      </w:r>
    </w:p>
    <w:p>
      <w:pPr>
        <w:pStyle w:val="Default"/>
        <w:jc w:val="both"/>
        <w:rPr>
          <w:rFonts w:ascii="Arial" w:hAnsi="Arial" w:cs="Arial"/>
          <w:color w:val="auto"/>
          <w:sz w:val="22"/>
          <w:szCs w:val="22"/>
        </w:rPr>
      </w:pPr>
    </w:p>
    <w:p>
      <w:pPr>
        <w:pStyle w:val="Titre3"/>
      </w:pPr>
      <w:bookmarkStart w:id="1892" w:name="_Toc423420162"/>
      <w:bookmarkStart w:id="1893" w:name="_Toc450645369"/>
      <w:bookmarkStart w:id="1894" w:name="_Toc453942606"/>
      <w:bookmarkStart w:id="1895" w:name="_Toc454888223"/>
      <w:bookmarkStart w:id="1896" w:name="_Toc486241884"/>
      <w:r>
        <w:t>7.2.3. Frais que l’école peut proposer sans les imposer</w:t>
      </w:r>
      <w:bookmarkEnd w:id="1892"/>
      <w:bookmarkEnd w:id="1893"/>
      <w:bookmarkEnd w:id="1894"/>
      <w:bookmarkEnd w:id="1895"/>
      <w:bookmarkEnd w:id="1896"/>
    </w:p>
    <w:p>
      <w:pPr>
        <w:pStyle w:val="Default"/>
        <w:jc w:val="both"/>
        <w:rPr>
          <w:rFonts w:ascii="Arial" w:hAnsi="Arial" w:cs="Arial"/>
          <w:color w:val="auto"/>
          <w:sz w:val="22"/>
          <w:szCs w:val="22"/>
        </w:rPr>
      </w:pPr>
    </w:p>
    <w:p>
      <w:pPr>
        <w:jc w:val="both"/>
        <w:rPr>
          <w:rFonts w:cs="Arial"/>
          <w:szCs w:val="22"/>
        </w:rPr>
      </w:pPr>
      <w:r>
        <w:rPr>
          <w:rFonts w:cs="Arial"/>
          <w:szCs w:val="22"/>
        </w:rPr>
        <w:t xml:space="preserve">L’établissement peut proposer aux parents de faire certaines dépenses </w:t>
      </w:r>
      <w:r>
        <w:rPr>
          <w:rFonts w:cs="Arial"/>
          <w:szCs w:val="22"/>
          <w:u w:val="single"/>
        </w:rPr>
        <w:t>facultatives</w:t>
      </w:r>
      <w:r>
        <w:rPr>
          <w:rFonts w:cs="Arial"/>
          <w:szCs w:val="22"/>
        </w:rPr>
        <w:t xml:space="preserve">. </w:t>
      </w:r>
    </w:p>
    <w:p>
      <w:pPr>
        <w:jc w:val="both"/>
        <w:rPr>
          <w:rFonts w:cs="Arial"/>
          <w:szCs w:val="22"/>
        </w:rPr>
      </w:pPr>
      <w:r>
        <w:rPr>
          <w:rFonts w:cs="Arial"/>
          <w:szCs w:val="22"/>
        </w:rPr>
        <w:t>Ces frais sont réclamés à leur coût réel pour autant qu'ils soient liés au projet pédagogique :</w:t>
      </w:r>
    </w:p>
    <w:p>
      <w:pPr>
        <w:numPr>
          <w:ilvl w:val="0"/>
          <w:numId w:val="164"/>
        </w:numPr>
        <w:jc w:val="both"/>
        <w:rPr>
          <w:rFonts w:cs="Arial"/>
          <w:szCs w:val="22"/>
        </w:rPr>
      </w:pPr>
      <w:r>
        <w:rPr>
          <w:rFonts w:cs="Arial"/>
          <w:szCs w:val="22"/>
        </w:rPr>
        <w:t>les frais liés à des achats groupés ;</w:t>
      </w:r>
    </w:p>
    <w:p>
      <w:pPr>
        <w:numPr>
          <w:ilvl w:val="0"/>
          <w:numId w:val="164"/>
        </w:numPr>
        <w:jc w:val="both"/>
        <w:rPr>
          <w:rFonts w:cs="Arial"/>
          <w:szCs w:val="22"/>
        </w:rPr>
      </w:pPr>
      <w:r>
        <w:rPr>
          <w:rFonts w:cs="Arial"/>
          <w:szCs w:val="22"/>
        </w:rPr>
        <w:t>les frais de participation à des activités facultatives ;</w:t>
      </w:r>
    </w:p>
    <w:p>
      <w:pPr>
        <w:numPr>
          <w:ilvl w:val="0"/>
          <w:numId w:val="164"/>
        </w:numPr>
        <w:jc w:val="both"/>
        <w:rPr>
          <w:rFonts w:cs="Arial"/>
          <w:szCs w:val="22"/>
        </w:rPr>
      </w:pPr>
      <w:r>
        <w:rPr>
          <w:rFonts w:cs="Arial"/>
          <w:szCs w:val="22"/>
        </w:rPr>
        <w:t xml:space="preserve">les frais d’abonnement à des revues. </w:t>
      </w:r>
    </w:p>
    <w:p>
      <w:pPr>
        <w:ind w:left="720"/>
        <w:jc w:val="both"/>
        <w:rPr>
          <w:rFonts w:cs="Arial"/>
          <w:szCs w:val="22"/>
        </w:rPr>
      </w:pPr>
    </w:p>
    <w:p>
      <w:pPr>
        <w:pStyle w:val="Titre2"/>
      </w:pPr>
      <w:bookmarkStart w:id="1897" w:name="_Toc423420163"/>
      <w:bookmarkStart w:id="1898" w:name="_Toc450645370"/>
      <w:bookmarkStart w:id="1899" w:name="_Toc453942607"/>
      <w:bookmarkStart w:id="1900" w:name="_Toc454888224"/>
      <w:bookmarkStart w:id="1901" w:name="_Toc486241885"/>
      <w:r>
        <w:t>Chapitre 7.3. Le cas particulier du temps de midi</w:t>
      </w:r>
      <w:bookmarkEnd w:id="1897"/>
      <w:bookmarkEnd w:id="1898"/>
      <w:bookmarkEnd w:id="1899"/>
      <w:bookmarkEnd w:id="1900"/>
      <w:bookmarkEnd w:id="1901"/>
    </w:p>
    <w:p>
      <w:pPr>
        <w:jc w:val="both"/>
      </w:pPr>
    </w:p>
    <w:p>
      <w:pPr>
        <w:jc w:val="both"/>
      </w:pPr>
      <w:r>
        <w:t xml:space="preserve">Le temps de midi ne constitue pas un temps scolaire. Par conséquent, le prescrit de l’article 100 du </w:t>
      </w:r>
      <w:hyperlink r:id="rId143" w:history="1">
        <w:r>
          <w:rPr>
            <w:rStyle w:val="Lienhypertexte"/>
            <w:rFonts w:cs="Arial"/>
            <w:color w:val="auto"/>
            <w:szCs w:val="22"/>
          </w:rPr>
          <w:t>Décret du 24 juillet 1997</w:t>
        </w:r>
      </w:hyperlink>
      <w:r>
        <w:t xml:space="preserve"> « Missions » n’est pas applicable à cette période de la journée. </w:t>
      </w:r>
    </w:p>
    <w:p>
      <w:pPr>
        <w:jc w:val="both"/>
      </w:pPr>
    </w:p>
    <w:p>
      <w:pPr>
        <w:jc w:val="both"/>
      </w:pPr>
      <w:r>
        <w:t>Il convient de distinguer deux types de frais :</w:t>
      </w:r>
    </w:p>
    <w:p>
      <w:pPr>
        <w:jc w:val="both"/>
      </w:pPr>
    </w:p>
    <w:p>
      <w:pPr>
        <w:ind w:left="360"/>
        <w:jc w:val="both"/>
      </w:pPr>
      <w:r>
        <w:t xml:space="preserve">a) </w:t>
      </w:r>
      <w:r>
        <w:tab/>
        <w:t xml:space="preserve">Pour les services proposés durant le temps de midi autres que la surveillance proprement dite, une participation des parents d’élèves aux frais peut être réclamée. </w:t>
      </w:r>
    </w:p>
    <w:p>
      <w:pPr>
        <w:ind w:firstLine="360"/>
        <w:jc w:val="both"/>
      </w:pPr>
      <w:r>
        <w:t>Il peut ainsi notamment s’agir du bol de soupe distribué ou du repas servi aux élèves.</w:t>
      </w:r>
    </w:p>
    <w:p>
      <w:pPr>
        <w:ind w:left="360"/>
        <w:jc w:val="both"/>
      </w:pPr>
      <w:r>
        <w:t xml:space="preserve">Ce point est applicable tant dans l’Enseignement fondamental que dans l’Enseignement secondaire.  </w:t>
      </w:r>
    </w:p>
    <w:p>
      <w:pPr>
        <w:jc w:val="both"/>
      </w:pPr>
    </w:p>
    <w:p>
      <w:pPr>
        <w:ind w:left="360"/>
        <w:jc w:val="both"/>
      </w:pPr>
      <w:r>
        <w:t xml:space="preserve">b) Pour la surveillance du temps de midi proprement dite (garde du dîner) et dans l’Enseignement fondamental uniquement, une participation aux frais peut également être réclamée lorsque le coût est supérieur à l’intervention de </w:t>
      </w:r>
      <w:smartTag w:uri="urn:schemas-microsoft-com:office:smarttags" w:element="PersonName">
        <w:smartTagPr>
          <w:attr w:name="ProductID" w:val="la F￩d￩ration Wallonie-Bruxelles"/>
        </w:smartTagPr>
        <w:r>
          <w:t>la Fédération Wallonie-Bruxelles</w:t>
        </w:r>
      </w:smartTag>
      <w:r>
        <w:t>.</w:t>
      </w:r>
    </w:p>
    <w:p>
      <w:pPr>
        <w:ind w:left="360"/>
        <w:jc w:val="both"/>
      </w:pPr>
      <w:r>
        <w:t xml:space="preserve">En application de l’article 6 de </w:t>
      </w:r>
      <w:hyperlink r:id="rId144" w:history="1">
        <w:r>
          <w:rPr>
            <w:rStyle w:val="Lienhypertexte"/>
            <w:color w:val="auto"/>
          </w:rPr>
          <w:t>l’Arrêté de l’Exécutif de la Communauté française du 18 juillet 1991 relatif aux surveillances de midi dans l’enseignement maternel, primaire ordinaire et spécialisé</w:t>
        </w:r>
      </w:hyperlink>
      <w:r>
        <w:t xml:space="preserve">, la dotation ou la subvention de </w:t>
      </w:r>
      <w:smartTag w:uri="urn:schemas-microsoft-com:office:smarttags" w:element="PersonName">
        <w:smartTagPr>
          <w:attr w:name="ProductID" w:val="la F￩d￩ration Wallonie-Bruxelles"/>
        </w:smartTagPr>
        <w:r>
          <w:t>la Fédération Wallonie-Bruxelles</w:t>
        </w:r>
      </w:smartTag>
      <w:r>
        <w:t xml:space="preserve"> s’élève à un taux horaire de 5 euros. Cette somme est indexée annuellement au 1</w:t>
      </w:r>
      <w:r>
        <w:rPr>
          <w:vertAlign w:val="superscript"/>
        </w:rPr>
        <w:t>er</w:t>
      </w:r>
      <w:r>
        <w:t xml:space="preserve"> janvier sur base de l’indice des prix à la consommation avec pour indice de référence celui du mois de janvier 2006.</w:t>
      </w:r>
    </w:p>
    <w:p>
      <w:pPr>
        <w:ind w:left="360"/>
        <w:jc w:val="both"/>
      </w:pPr>
      <w:r>
        <w:t xml:space="preserve">Lorsqu’une participation aux frais est demandée aux parents, elle ne peut donc pas dépasser le montant correspondant au coût réel de la surveillance, diminuée du montant correspondant à l’intervention de </w:t>
      </w:r>
      <w:smartTag w:uri="urn:schemas-microsoft-com:office:smarttags" w:element="PersonName">
        <w:smartTagPr>
          <w:attr w:name="ProductID" w:val="la F￩d￩ration Wallonie-Bruxelles"/>
        </w:smartTagPr>
        <w:r>
          <w:t>la Fédération Wallonie-Bruxelles</w:t>
        </w:r>
      </w:smartTag>
      <w:r>
        <w:t>.</w:t>
      </w:r>
    </w:p>
    <w:p>
      <w:pPr>
        <w:ind w:left="360"/>
        <w:jc w:val="both"/>
      </w:pPr>
      <w:r>
        <w:t xml:space="preserve">Enfin, le temps de midi étant un temps extra-scolaire, rappelons qu’un établissement scolaire ne peut pas imposer de manière absolue la présence des élèves à l’école durant le temps de midi, que des frais de surveillance/de garderie soient réclamés ou non. </w:t>
      </w:r>
    </w:p>
    <w:p>
      <w:pPr>
        <w:ind w:left="360"/>
        <w:jc w:val="both"/>
      </w:pPr>
      <w:r>
        <w:t>Le règlement d’ordre intérieur de chaque établissement scolaire organise la récupération des enfants par leurs parents durant le temps de midi, selon des modalités propres à l’environnement de l’école.</w:t>
      </w:r>
    </w:p>
    <w:p>
      <w:pPr>
        <w:jc w:val="both"/>
      </w:pPr>
    </w:p>
    <w:p>
      <w:pPr>
        <w:jc w:val="both"/>
      </w:pPr>
    </w:p>
    <w:p>
      <w:pPr>
        <w:pStyle w:val="Titre2"/>
      </w:pPr>
      <w:bookmarkStart w:id="1902" w:name="_Toc423420164"/>
      <w:bookmarkStart w:id="1903" w:name="_Toc450645371"/>
      <w:bookmarkStart w:id="1904" w:name="_Toc453942608"/>
      <w:bookmarkStart w:id="1905" w:name="_Toc454888225"/>
      <w:bookmarkStart w:id="1906" w:name="_Toc486241886"/>
      <w:r>
        <w:t>Chapitre 7.4. Informations aux parents</w:t>
      </w:r>
      <w:bookmarkEnd w:id="1902"/>
      <w:bookmarkEnd w:id="1903"/>
      <w:bookmarkEnd w:id="1904"/>
      <w:bookmarkEnd w:id="1905"/>
      <w:bookmarkEnd w:id="1906"/>
    </w:p>
    <w:p>
      <w:pPr>
        <w:pStyle w:val="Default"/>
        <w:spacing w:after="60"/>
        <w:jc w:val="both"/>
        <w:rPr>
          <w:rFonts w:ascii="Arial" w:hAnsi="Arial" w:cs="Arial"/>
          <w:bCs/>
          <w:color w:val="auto"/>
          <w:sz w:val="22"/>
          <w:szCs w:val="22"/>
        </w:rPr>
      </w:pPr>
    </w:p>
    <w:p>
      <w:pPr>
        <w:pStyle w:val="Titre3"/>
      </w:pPr>
      <w:bookmarkStart w:id="1907" w:name="_Toc423420165"/>
      <w:bookmarkStart w:id="1908" w:name="_Toc450645372"/>
      <w:bookmarkStart w:id="1909" w:name="_Toc453942609"/>
      <w:bookmarkStart w:id="1910" w:name="_Toc454888226"/>
      <w:bookmarkStart w:id="1911" w:name="_Toc486241887"/>
      <w:r>
        <w:t>7.4.1. Estimation et ventilation des frais</w:t>
      </w:r>
      <w:bookmarkEnd w:id="1907"/>
      <w:bookmarkEnd w:id="1908"/>
      <w:bookmarkEnd w:id="1909"/>
      <w:bookmarkEnd w:id="1910"/>
      <w:bookmarkEnd w:id="1911"/>
    </w:p>
    <w:p>
      <w:pPr>
        <w:pStyle w:val="Default"/>
        <w:spacing w:after="60"/>
        <w:jc w:val="both"/>
        <w:rPr>
          <w:rFonts w:ascii="Arial" w:hAnsi="Arial" w:cs="Arial"/>
          <w:bCs/>
          <w:color w:val="auto"/>
          <w:sz w:val="22"/>
          <w:szCs w:val="22"/>
        </w:rPr>
      </w:pPr>
    </w:p>
    <w:p>
      <w:pPr>
        <w:pStyle w:val="Default"/>
        <w:spacing w:after="60"/>
        <w:jc w:val="both"/>
        <w:rPr>
          <w:rFonts w:ascii="Arial" w:hAnsi="Arial" w:cs="Arial"/>
          <w:color w:val="auto"/>
          <w:sz w:val="22"/>
          <w:szCs w:val="22"/>
        </w:rPr>
      </w:pPr>
      <w:r>
        <w:rPr>
          <w:rFonts w:ascii="Arial" w:hAnsi="Arial" w:cs="Arial"/>
          <w:color w:val="auto"/>
          <w:sz w:val="22"/>
          <w:szCs w:val="22"/>
        </w:rPr>
        <w:t xml:space="preserve">Le Décret Missions prévoit spécifiquement qu’avant le début de l’année scolaire, et à titre d’information, une estimation du montant des frais réclamés et de leur ventilation est portée par écrit à la connaissance des parents ou de la personne investie de l’autorité parentale. </w:t>
      </w:r>
    </w:p>
    <w:p>
      <w:pPr>
        <w:pStyle w:val="Default"/>
        <w:jc w:val="both"/>
        <w:rPr>
          <w:rFonts w:ascii="Arial" w:hAnsi="Arial" w:cs="Arial"/>
          <w:color w:val="auto"/>
          <w:sz w:val="22"/>
          <w:szCs w:val="22"/>
        </w:rPr>
      </w:pPr>
    </w:p>
    <w:p>
      <w:pPr>
        <w:pStyle w:val="Titre3"/>
      </w:pPr>
      <w:bookmarkStart w:id="1912" w:name="Section7_4_2"/>
      <w:bookmarkStart w:id="1913" w:name="_Toc423420166"/>
      <w:bookmarkStart w:id="1914" w:name="_Toc450645373"/>
      <w:bookmarkStart w:id="1915" w:name="_Toc453942610"/>
      <w:bookmarkStart w:id="1916" w:name="_Toc454888227"/>
      <w:bookmarkStart w:id="1917" w:name="_Toc486241888"/>
      <w:r>
        <w:t xml:space="preserve">7.4.2. </w:t>
      </w:r>
      <w:bookmarkEnd w:id="1912"/>
      <w:r>
        <w:t>Décomptes périodiques</w:t>
      </w:r>
      <w:bookmarkEnd w:id="1913"/>
      <w:bookmarkEnd w:id="1914"/>
      <w:bookmarkEnd w:id="1915"/>
      <w:bookmarkEnd w:id="1916"/>
      <w:bookmarkEnd w:id="1917"/>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Des décomptes périodiques doivent être remis, par écrit, aux parents d’élèves ou à la personne investie de l’autorité parentale.</w:t>
      </w:r>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Chaque décompte périodique détaille, au minimum, pour chaque élève et pour la période couverte :</w:t>
      </w:r>
    </w:p>
    <w:p>
      <w:pPr>
        <w:pStyle w:val="Default"/>
        <w:numPr>
          <w:ilvl w:val="0"/>
          <w:numId w:val="164"/>
        </w:numPr>
        <w:jc w:val="both"/>
        <w:rPr>
          <w:rFonts w:ascii="Arial" w:hAnsi="Arial" w:cs="Arial"/>
          <w:color w:val="auto"/>
          <w:sz w:val="22"/>
          <w:szCs w:val="22"/>
        </w:rPr>
      </w:pPr>
      <w:r>
        <w:rPr>
          <w:rFonts w:ascii="Arial" w:hAnsi="Arial" w:cs="Arial"/>
          <w:color w:val="auto"/>
          <w:sz w:val="22"/>
          <w:szCs w:val="22"/>
        </w:rPr>
        <w:t>l’ensemble des frais réclamés (les frais qui ne figurent pas dans un décompte périodique ne peuvent en aucun cas être réclamés) ;</w:t>
      </w:r>
    </w:p>
    <w:p>
      <w:pPr>
        <w:pStyle w:val="Default"/>
        <w:numPr>
          <w:ilvl w:val="0"/>
          <w:numId w:val="164"/>
        </w:numPr>
        <w:jc w:val="both"/>
        <w:rPr>
          <w:rFonts w:ascii="Arial" w:hAnsi="Arial" w:cs="Arial"/>
          <w:color w:val="auto"/>
          <w:sz w:val="22"/>
          <w:szCs w:val="22"/>
        </w:rPr>
      </w:pPr>
      <w:r>
        <w:rPr>
          <w:rFonts w:ascii="Arial" w:hAnsi="Arial" w:cs="Arial"/>
          <w:color w:val="auto"/>
          <w:sz w:val="22"/>
          <w:szCs w:val="22"/>
        </w:rPr>
        <w:t>leurs montants ;</w:t>
      </w:r>
    </w:p>
    <w:p>
      <w:pPr>
        <w:pStyle w:val="Default"/>
        <w:numPr>
          <w:ilvl w:val="0"/>
          <w:numId w:val="164"/>
        </w:numPr>
        <w:jc w:val="both"/>
        <w:rPr>
          <w:rFonts w:ascii="Arial" w:hAnsi="Arial" w:cs="Arial"/>
          <w:color w:val="auto"/>
          <w:sz w:val="22"/>
          <w:szCs w:val="22"/>
        </w:rPr>
      </w:pPr>
      <w:r>
        <w:rPr>
          <w:rFonts w:ascii="Arial" w:hAnsi="Arial" w:cs="Arial"/>
          <w:color w:val="auto"/>
          <w:sz w:val="22"/>
          <w:szCs w:val="22"/>
        </w:rPr>
        <w:t>leurs objets ;</w:t>
      </w:r>
    </w:p>
    <w:p>
      <w:pPr>
        <w:pStyle w:val="Default"/>
        <w:numPr>
          <w:ilvl w:val="0"/>
          <w:numId w:val="164"/>
        </w:numPr>
        <w:jc w:val="both"/>
        <w:rPr>
          <w:rFonts w:ascii="Arial" w:hAnsi="Arial" w:cs="Arial"/>
          <w:color w:val="auto"/>
          <w:sz w:val="22"/>
          <w:szCs w:val="22"/>
        </w:rPr>
      </w:pPr>
      <w:r>
        <w:rPr>
          <w:rFonts w:ascii="Arial" w:hAnsi="Arial" w:cs="Arial"/>
          <w:color w:val="auto"/>
          <w:sz w:val="22"/>
          <w:szCs w:val="22"/>
        </w:rPr>
        <w:t xml:space="preserve">le caractère obligatoire ou facultatif des montants réclamés. </w:t>
      </w:r>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Ces décomptes précisent également les modalités de paiement (par ex. par virement bancaire) ainsi que les possibilités d’obtenir des facilités de paiement (par ex. les éventuels mécanismes de solidarité mis en place à la suite de la réflexion menée par le conseil de participation).</w:t>
      </w:r>
    </w:p>
    <w:p>
      <w:pPr>
        <w:pStyle w:val="Default"/>
        <w:jc w:val="both"/>
        <w:rPr>
          <w:rFonts w:ascii="Arial" w:hAnsi="Arial" w:cs="Arial"/>
          <w:color w:val="auto"/>
          <w:sz w:val="22"/>
          <w:szCs w:val="22"/>
        </w:rPr>
      </w:pPr>
      <w:r>
        <w:rPr>
          <w:rFonts w:ascii="Arial" w:hAnsi="Arial" w:cs="Arial"/>
          <w:color w:val="auto"/>
          <w:sz w:val="22"/>
          <w:szCs w:val="22"/>
        </w:rPr>
        <w:t>La période qui peut être couverte par un décompte périodique est de minimum un mois et de maximum quatre mois. Les pouvoirs organisateurs informent les responsables légaux de la périodicité choisie avant le début de chaque année scolaire.</w:t>
      </w:r>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Les pouvoirs organisateurs qui ne réclament aucun frais sur l’ensemble de l’année scolaire ne sont pas tenus de remettre les décomptes périodiques.</w:t>
      </w:r>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r>
        <w:rPr>
          <w:rFonts w:ascii="Arial" w:hAnsi="Arial" w:cs="Arial"/>
          <w:color w:val="auto"/>
          <w:sz w:val="22"/>
          <w:szCs w:val="22"/>
        </w:rPr>
        <w:t xml:space="preserve">Il est à noter que l’obligation de remettre un décompte périodique </w:t>
      </w:r>
      <w:r>
        <w:rPr>
          <w:rFonts w:ascii="Arial" w:hAnsi="Arial" w:cs="Arial"/>
          <w:b/>
          <w:color w:val="auto"/>
          <w:sz w:val="22"/>
          <w:szCs w:val="22"/>
          <w:u w:val="single"/>
        </w:rPr>
        <w:t>ne concerne pas le temps extra-scolaire</w:t>
      </w:r>
      <w:r>
        <w:rPr>
          <w:rFonts w:ascii="Arial" w:hAnsi="Arial" w:cs="Arial"/>
          <w:color w:val="auto"/>
          <w:sz w:val="22"/>
          <w:szCs w:val="22"/>
        </w:rPr>
        <w:t xml:space="preserve">, c’est-à-dire les garderies et les services offerts durant le temps de midi. </w:t>
      </w:r>
    </w:p>
    <w:p>
      <w:pPr>
        <w:pStyle w:val="Default"/>
        <w:jc w:val="both"/>
        <w:rPr>
          <w:rFonts w:ascii="Arial" w:hAnsi="Arial" w:cs="Arial"/>
          <w:color w:val="auto"/>
          <w:sz w:val="22"/>
          <w:szCs w:val="22"/>
        </w:rPr>
      </w:pPr>
    </w:p>
    <w:p>
      <w:pPr>
        <w:pStyle w:val="Default"/>
        <w:jc w:val="both"/>
        <w:rPr>
          <w:rFonts w:ascii="Arial" w:hAnsi="Arial" w:cs="Arial"/>
          <w:color w:val="auto"/>
          <w:sz w:val="22"/>
          <w:szCs w:val="22"/>
        </w:rPr>
      </w:pPr>
    </w:p>
    <w:p>
      <w:pPr>
        <w:pStyle w:val="Titre2"/>
      </w:pPr>
      <w:bookmarkStart w:id="1918" w:name="_Toc423420167"/>
      <w:bookmarkStart w:id="1919" w:name="_Toc450645374"/>
      <w:bookmarkStart w:id="1920" w:name="_Toc453942611"/>
      <w:bookmarkStart w:id="1921" w:name="_Toc454888228"/>
      <w:bookmarkStart w:id="1922" w:name="_Toc486241889"/>
      <w:r>
        <w:t>Chapitre 7.5. En cas de non-paiement : le recouvrement des frais impayés</w:t>
      </w:r>
      <w:bookmarkEnd w:id="1918"/>
      <w:bookmarkEnd w:id="1919"/>
      <w:bookmarkEnd w:id="1920"/>
      <w:bookmarkEnd w:id="1921"/>
      <w:bookmarkEnd w:id="1922"/>
    </w:p>
    <w:p>
      <w:pPr>
        <w:pStyle w:val="Default"/>
        <w:ind w:right="-113"/>
        <w:jc w:val="both"/>
        <w:rPr>
          <w:rFonts w:ascii="Arial" w:hAnsi="Arial" w:cs="Arial"/>
          <w:color w:val="auto"/>
          <w:sz w:val="22"/>
          <w:szCs w:val="22"/>
        </w:rPr>
      </w:pPr>
    </w:p>
    <w:p>
      <w:pPr>
        <w:pStyle w:val="Default"/>
        <w:ind w:right="-113"/>
        <w:jc w:val="both"/>
        <w:rPr>
          <w:rFonts w:ascii="Arial" w:hAnsi="Arial" w:cs="Arial"/>
          <w:color w:val="auto"/>
          <w:sz w:val="22"/>
          <w:szCs w:val="22"/>
        </w:rPr>
      </w:pPr>
      <w:r>
        <w:rPr>
          <w:rFonts w:ascii="Arial" w:hAnsi="Arial" w:cs="Arial"/>
          <w:color w:val="auto"/>
          <w:sz w:val="22"/>
          <w:szCs w:val="22"/>
        </w:rPr>
        <w:t>Si un établissement scolaire est confronté à des difficultés de recouvrement de frais dus par des parents d’élèves, il convient d’abord de prendre le temps et l’espace d’un dialogue avec la famille pour comprendre l’ensemble du problème et tenter de trouver des solutions avec ou sans l’intervention de tiers.</w:t>
      </w:r>
    </w:p>
    <w:p>
      <w:pPr>
        <w:pStyle w:val="Default"/>
        <w:ind w:right="-113"/>
        <w:jc w:val="both"/>
        <w:rPr>
          <w:rFonts w:ascii="Arial" w:hAnsi="Arial" w:cs="Arial"/>
          <w:color w:val="auto"/>
          <w:sz w:val="22"/>
          <w:szCs w:val="22"/>
        </w:rPr>
      </w:pPr>
    </w:p>
    <w:p>
      <w:pPr>
        <w:pStyle w:val="Default"/>
        <w:ind w:right="-113"/>
        <w:jc w:val="both"/>
        <w:rPr>
          <w:rFonts w:ascii="Arial" w:hAnsi="Arial" w:cs="Arial"/>
          <w:color w:val="auto"/>
          <w:sz w:val="22"/>
          <w:szCs w:val="22"/>
        </w:rPr>
      </w:pPr>
      <w:r>
        <w:rPr>
          <w:rFonts w:ascii="Arial" w:hAnsi="Arial" w:cs="Arial"/>
          <w:color w:val="auto"/>
          <w:sz w:val="22"/>
          <w:szCs w:val="22"/>
        </w:rPr>
        <w:t xml:space="preserve">Si malgré les tentatives de dialogue et de médiation, des parents refusaient de payer les frais réclamés, les voies légales de recouvrement sont évidemment ouvertes. </w:t>
      </w:r>
    </w:p>
    <w:p>
      <w:pPr>
        <w:pStyle w:val="Default"/>
        <w:ind w:right="-113"/>
        <w:jc w:val="both"/>
        <w:rPr>
          <w:rFonts w:ascii="Arial" w:hAnsi="Arial" w:cs="Arial"/>
          <w:color w:val="auto"/>
          <w:sz w:val="22"/>
          <w:szCs w:val="22"/>
        </w:rPr>
      </w:pPr>
    </w:p>
    <w:p>
      <w:pPr>
        <w:pStyle w:val="Default"/>
        <w:ind w:right="-113"/>
        <w:jc w:val="both"/>
        <w:rPr>
          <w:rFonts w:ascii="Arial" w:hAnsi="Arial" w:cs="Arial"/>
          <w:color w:val="auto"/>
          <w:sz w:val="22"/>
          <w:szCs w:val="22"/>
        </w:rPr>
      </w:pPr>
      <w:r>
        <w:rPr>
          <w:rFonts w:ascii="Arial" w:hAnsi="Arial" w:cs="Arial"/>
          <w:color w:val="auto"/>
          <w:sz w:val="22"/>
          <w:szCs w:val="22"/>
        </w:rPr>
        <w:t xml:space="preserve">Les établissements de l’enseignement organisé par </w:t>
      </w:r>
      <w:smartTag w:uri="urn:schemas-microsoft-com:office:smarttags" w:element="PersonName">
        <w:smartTagPr>
          <w:attr w:name="ProductID" w:val="la F￩d￩ration Wallonie-Bruxelles"/>
        </w:smartTagPr>
        <w:r>
          <w:rPr>
            <w:rFonts w:ascii="Arial" w:hAnsi="Arial" w:cs="Arial"/>
            <w:color w:val="auto"/>
            <w:sz w:val="22"/>
            <w:szCs w:val="22"/>
          </w:rPr>
          <w:t>la Fédération Wallonie-Bruxelles</w:t>
        </w:r>
      </w:smartTag>
      <w:r>
        <w:rPr>
          <w:rFonts w:ascii="Arial" w:hAnsi="Arial" w:cs="Arial"/>
          <w:color w:val="auto"/>
          <w:sz w:val="22"/>
          <w:szCs w:val="22"/>
        </w:rPr>
        <w:t xml:space="preserve"> peuvent recourir aux procédures prévues par la </w:t>
      </w:r>
      <w:hyperlink r:id="rId145" w:history="1">
        <w:r>
          <w:rPr>
            <w:rStyle w:val="Lienhypertexte"/>
            <w:rFonts w:ascii="Arial" w:hAnsi="Arial" w:cs="Arial"/>
            <w:color w:val="auto"/>
            <w:sz w:val="22"/>
            <w:szCs w:val="22"/>
          </w:rPr>
          <w:t>circulaire n°426 du 29 novembre 2002</w:t>
        </w:r>
      </w:hyperlink>
      <w:r>
        <w:rPr>
          <w:rFonts w:ascii="Arial" w:hAnsi="Arial" w:cs="Arial"/>
          <w:color w:val="auto"/>
          <w:sz w:val="22"/>
          <w:szCs w:val="22"/>
        </w:rPr>
        <w:t xml:space="preserve">. </w:t>
      </w:r>
    </w:p>
    <w:p>
      <w:pPr>
        <w:pStyle w:val="Default"/>
        <w:ind w:right="-113"/>
        <w:jc w:val="both"/>
        <w:rPr>
          <w:rFonts w:ascii="Arial" w:hAnsi="Arial" w:cs="Arial"/>
          <w:color w:val="auto"/>
          <w:sz w:val="22"/>
          <w:szCs w:val="22"/>
        </w:rPr>
      </w:pPr>
    </w:p>
    <w:p>
      <w:pPr>
        <w:pStyle w:val="Default"/>
        <w:ind w:right="-113"/>
        <w:jc w:val="both"/>
        <w:rPr>
          <w:rFonts w:ascii="Arial" w:hAnsi="Arial" w:cs="Arial"/>
          <w:color w:val="auto"/>
          <w:sz w:val="22"/>
          <w:szCs w:val="22"/>
        </w:rPr>
      </w:pPr>
      <w:r>
        <w:rPr>
          <w:rFonts w:ascii="Arial" w:hAnsi="Arial" w:cs="Arial"/>
          <w:color w:val="auto"/>
          <w:sz w:val="22"/>
          <w:szCs w:val="22"/>
        </w:rPr>
        <w:t xml:space="preserve">Les pouvoirs organisateurs de l’enseignement subventionné par </w:t>
      </w:r>
      <w:smartTag w:uri="urn:schemas-microsoft-com:office:smarttags" w:element="PersonName">
        <w:smartTagPr>
          <w:attr w:name="ProductID" w:val="la F￩d￩ration Wallonie-Bruxelles"/>
        </w:smartTagPr>
        <w:r>
          <w:rPr>
            <w:rFonts w:ascii="Arial" w:hAnsi="Arial" w:cs="Arial"/>
            <w:color w:val="auto"/>
            <w:sz w:val="22"/>
            <w:szCs w:val="22"/>
          </w:rPr>
          <w:t>la Fédération Wallonie-Bruxelles</w:t>
        </w:r>
      </w:smartTag>
      <w:r>
        <w:rPr>
          <w:rFonts w:ascii="Arial" w:hAnsi="Arial" w:cs="Arial"/>
          <w:color w:val="auto"/>
          <w:sz w:val="22"/>
          <w:szCs w:val="22"/>
        </w:rPr>
        <w:t xml:space="preserve"> sont quant à eux susceptibles d’utiliser toutes les voies de droit qu’ils estimeraient utiles pour obtenir le recouvrement des sommes dues.</w:t>
      </w:r>
    </w:p>
    <w:p>
      <w:pPr>
        <w:jc w:val="both"/>
        <w:outlineLvl w:val="0"/>
        <w:rPr>
          <w:rFonts w:cs="Arial"/>
          <w:szCs w:val="22"/>
        </w:rPr>
      </w:pPr>
    </w:p>
    <w:p>
      <w:pPr>
        <w:jc w:val="both"/>
        <w:outlineLvl w:val="0"/>
        <w:rPr>
          <w:rFonts w:cs="Arial"/>
          <w:szCs w:val="22"/>
        </w:rPr>
      </w:pPr>
    </w:p>
    <w:p>
      <w:pPr>
        <w:pStyle w:val="Titre2"/>
      </w:pPr>
      <w:bookmarkStart w:id="1923" w:name="_Toc423420168"/>
      <w:bookmarkStart w:id="1924" w:name="_Toc450645375"/>
      <w:bookmarkStart w:id="1925" w:name="_Toc453942612"/>
      <w:bookmarkStart w:id="1926" w:name="_Toc454888229"/>
      <w:bookmarkStart w:id="1927" w:name="_Toc486241890"/>
      <w:r>
        <w:t>Chapitre 7.6. Contrôle du respect de la réglementation</w:t>
      </w:r>
      <w:bookmarkEnd w:id="1923"/>
      <w:bookmarkEnd w:id="1924"/>
      <w:bookmarkEnd w:id="1925"/>
      <w:bookmarkEnd w:id="1926"/>
      <w:bookmarkEnd w:id="1927"/>
      <w:r>
        <w:t xml:space="preserve"> </w:t>
      </w:r>
    </w:p>
    <w:p>
      <w:pPr>
        <w:jc w:val="both"/>
        <w:outlineLvl w:val="0"/>
        <w:rPr>
          <w:rFonts w:cs="Arial"/>
          <w:szCs w:val="22"/>
        </w:rPr>
      </w:pPr>
    </w:p>
    <w:p>
      <w:pPr>
        <w:pStyle w:val="Default"/>
        <w:ind w:right="-113"/>
        <w:jc w:val="both"/>
        <w:rPr>
          <w:rFonts w:ascii="Arial" w:hAnsi="Arial" w:cs="Arial"/>
          <w:color w:val="auto"/>
          <w:sz w:val="22"/>
          <w:szCs w:val="22"/>
        </w:rPr>
      </w:pPr>
      <w:r>
        <w:rPr>
          <w:rFonts w:ascii="Arial" w:hAnsi="Arial" w:cs="Arial"/>
          <w:color w:val="auto"/>
          <w:sz w:val="22"/>
          <w:szCs w:val="22"/>
        </w:rPr>
        <w:t xml:space="preserve">L’article 101 du décret du 24 juillet 1997 « Missions » énonce que lorsque l’Administration constate qu’un pouvoir organisateur a perçu des droits supérieurs à ceux autorisés ou perçu des frais interdits, elle entend le représentant du pouvoir organisateur et transmet le dossier au Ministre. </w:t>
      </w:r>
    </w:p>
    <w:p>
      <w:pPr>
        <w:pStyle w:val="Default"/>
        <w:ind w:right="-113"/>
        <w:jc w:val="both"/>
        <w:rPr>
          <w:rFonts w:ascii="Arial" w:hAnsi="Arial" w:cs="Arial"/>
          <w:color w:val="auto"/>
          <w:sz w:val="22"/>
          <w:szCs w:val="22"/>
        </w:rPr>
      </w:pPr>
    </w:p>
    <w:p>
      <w:pPr>
        <w:pStyle w:val="Default"/>
        <w:ind w:right="-113"/>
        <w:jc w:val="both"/>
        <w:rPr>
          <w:rFonts w:ascii="Arial" w:hAnsi="Arial" w:cs="Arial"/>
          <w:color w:val="auto"/>
          <w:sz w:val="22"/>
          <w:szCs w:val="22"/>
        </w:rPr>
      </w:pPr>
      <w:r>
        <w:rPr>
          <w:rFonts w:ascii="Arial" w:hAnsi="Arial" w:cs="Arial"/>
          <w:color w:val="auto"/>
          <w:sz w:val="22"/>
          <w:szCs w:val="22"/>
        </w:rPr>
        <w:t>Si celui-ci estime les faits établis, il met en demeure le pouvoir organisateur de faire cesser l’infraction en remboursant les montants trop perçus.</w:t>
      </w:r>
    </w:p>
    <w:p>
      <w:pPr>
        <w:pStyle w:val="Default"/>
        <w:ind w:right="-113"/>
        <w:jc w:val="both"/>
        <w:rPr>
          <w:rFonts w:ascii="Arial" w:hAnsi="Arial" w:cs="Arial"/>
          <w:color w:val="auto"/>
          <w:sz w:val="22"/>
          <w:szCs w:val="22"/>
        </w:rPr>
      </w:pPr>
      <w:r>
        <w:rPr>
          <w:rFonts w:ascii="Arial" w:hAnsi="Arial" w:cs="Arial"/>
          <w:color w:val="auto"/>
          <w:sz w:val="22"/>
          <w:szCs w:val="22"/>
        </w:rPr>
        <w:br/>
        <w:t>Si le pouvoir organisateur refuse d’obtempérer, le Gouvernement fait retrancher les montants trop perçus des subventions de fonctionnement de l’établissement en cause.</w:t>
      </w:r>
    </w:p>
    <w:p>
      <w:pPr>
        <w:pStyle w:val="Default"/>
        <w:ind w:right="-113"/>
        <w:jc w:val="both"/>
        <w:rPr>
          <w:rFonts w:ascii="Arial" w:hAnsi="Arial" w:cs="Arial"/>
          <w:color w:val="auto"/>
          <w:sz w:val="22"/>
          <w:szCs w:val="22"/>
        </w:rPr>
      </w:pPr>
    </w:p>
    <w:p>
      <w:pPr>
        <w:rPr>
          <w:rFonts w:cs="Arial"/>
          <w:szCs w:val="22"/>
        </w:rPr>
      </w:pPr>
      <w:r>
        <w:rPr>
          <w:rFonts w:cs="Arial"/>
          <w:szCs w:val="22"/>
        </w:rPr>
        <w:t>Si le trop perçu dépasse le montant des subventions de fonctionnement, le Gouvernement suspend le subventionnement de l’établissement en matière de fonctionnement comme en matière de traitements jusqu’au remboursement intégral des trop perçus.</w:t>
      </w:r>
    </w:p>
    <w:p>
      <w:pPr>
        <w:pStyle w:val="MonTitre1"/>
      </w:pPr>
      <w:r>
        <w:rPr>
          <w:rFonts w:cs="Arial"/>
          <w:szCs w:val="22"/>
        </w:rPr>
        <w:br w:type="page"/>
      </w:r>
      <w:bookmarkStart w:id="1928" w:name="_Toc423420169"/>
      <w:bookmarkStart w:id="1929" w:name="_Toc450645376"/>
      <w:bookmarkStart w:id="1930" w:name="_Toc453942613"/>
      <w:bookmarkStart w:id="1931" w:name="_Toc454888230"/>
      <w:bookmarkStart w:id="1932" w:name="_Toc486241891"/>
      <w:r>
        <w:t xml:space="preserve">Titre 8. </w:t>
      </w:r>
      <w:r>
        <w:tab/>
        <w:t>Collaboration avec les parents et les Associations de parents</w:t>
      </w:r>
      <w:bookmarkEnd w:id="1928"/>
      <w:bookmarkEnd w:id="1929"/>
      <w:bookmarkEnd w:id="1930"/>
      <w:bookmarkEnd w:id="1931"/>
      <w:bookmarkEnd w:id="1932"/>
    </w:p>
    <w:p>
      <w:pPr>
        <w:pStyle w:val="Corpsdetexte"/>
        <w:rPr>
          <w:szCs w:val="22"/>
        </w:rPr>
      </w:pPr>
    </w:p>
    <w:p>
      <w:pPr>
        <w:pStyle w:val="Corpsdetexte"/>
        <w:rPr>
          <w:szCs w:val="22"/>
        </w:rPr>
      </w:pPr>
    </w:p>
    <w:p>
      <w:pPr>
        <w:pStyle w:val="Corpsdetexte"/>
        <w:ind w:left="1410" w:hanging="1410"/>
        <w:rPr>
          <w:i/>
          <w:sz w:val="20"/>
          <w:szCs w:val="20"/>
        </w:rPr>
      </w:pPr>
      <w:r>
        <w:rPr>
          <w:b/>
          <w:i/>
          <w:sz w:val="20"/>
          <w:szCs w:val="20"/>
          <w:u w:val="single"/>
        </w:rPr>
        <w:t>Base légale :</w:t>
      </w:r>
      <w:r>
        <w:rPr>
          <w:i/>
          <w:sz w:val="20"/>
          <w:szCs w:val="20"/>
        </w:rPr>
        <w:tab/>
      </w:r>
      <w:hyperlink r:id="rId146" w:history="1">
        <w:r>
          <w:rPr>
            <w:rStyle w:val="Lienhypertexte"/>
            <w:i/>
            <w:sz w:val="20"/>
            <w:szCs w:val="20"/>
          </w:rPr>
          <w:t>Décret du 30/04/2009 portant sur les associations de parents d’élèves et les Organisations représentatives d’associations de parents d’élèves en Communauté française, M.B. 6 août 2009</w:t>
        </w:r>
      </w:hyperlink>
    </w:p>
    <w:p>
      <w:pPr>
        <w:pStyle w:val="Corpsdetexte"/>
        <w:ind w:left="702" w:firstLine="708"/>
        <w:rPr>
          <w:i/>
          <w:sz w:val="20"/>
          <w:szCs w:val="20"/>
        </w:rPr>
      </w:pPr>
      <w:hyperlink r:id="rId147" w:history="1">
        <w:r>
          <w:rPr>
            <w:rStyle w:val="Lienhypertexte"/>
            <w:bCs/>
            <w:i/>
            <w:sz w:val="20"/>
            <w:szCs w:val="20"/>
          </w:rPr>
          <w:t>Circulaire n° 4182 du 11/10/2012</w:t>
        </w:r>
      </w:hyperlink>
    </w:p>
    <w:p>
      <w:pPr>
        <w:pStyle w:val="Corpsdetexte"/>
        <w:rPr>
          <w:szCs w:val="22"/>
        </w:rPr>
      </w:pPr>
    </w:p>
    <w:p>
      <w:pPr>
        <w:pStyle w:val="Corpsdetexte"/>
        <w:rPr>
          <w:szCs w:val="22"/>
        </w:rPr>
      </w:pPr>
    </w:p>
    <w:p>
      <w:pPr>
        <w:pStyle w:val="Corpsdetexte"/>
        <w:rPr>
          <w:szCs w:val="22"/>
        </w:rPr>
      </w:pPr>
      <w:r>
        <w:rPr>
          <w:szCs w:val="22"/>
        </w:rPr>
        <w:t>La participation parentale est indéniablement un avantage, un atout pour donner aux élèves le maximum de chances dans la réussite de leur cursus scolaire. Cette nécessité est soulignée par de nombreuses études traitant de la question. Une véritable « alliance éducative » entre les parents, l’équipe pédagogique et les jeunes contribue à une meilleure compréhension réciproque, favorisant ainsi les apprentissages et l’épanouissement des élèves.</w:t>
      </w:r>
    </w:p>
    <w:p>
      <w:pPr>
        <w:pStyle w:val="Corpsdetexte"/>
        <w:rPr>
          <w:szCs w:val="22"/>
        </w:rPr>
      </w:pPr>
    </w:p>
    <w:p>
      <w:pPr>
        <w:pStyle w:val="Corpsdetexte"/>
        <w:rPr>
          <w:szCs w:val="22"/>
        </w:rPr>
      </w:pPr>
      <w:r>
        <w:rPr>
          <w:szCs w:val="22"/>
        </w:rPr>
        <w:t xml:space="preserve">Les parents d’élèves régulièrement inscrits peuvent se réunir en une Association de parents, destinée à les représenter, au sein de tout établissement d’enseignement maternel, primaire, fondamental ou secondaire organisé ou subventionné par </w:t>
      </w:r>
      <w:smartTag w:uri="urn:schemas-microsoft-com:office:smarttags" w:element="PersonName">
        <w:smartTagPr>
          <w:attr w:name="ProductID" w:val="la F￩d￩ration Wallonie-Bruxelles."/>
        </w:smartTagPr>
        <w:r>
          <w:rPr>
            <w:szCs w:val="22"/>
          </w:rPr>
          <w:t>la Fédération Wallonie-Bruxelles.</w:t>
        </w:r>
      </w:smartTag>
      <w:r>
        <w:rPr>
          <w:szCs w:val="22"/>
        </w:rPr>
        <w:t xml:space="preserve"> </w:t>
      </w:r>
    </w:p>
    <w:p>
      <w:pPr>
        <w:pStyle w:val="Corpsdetexte"/>
        <w:rPr>
          <w:szCs w:val="22"/>
        </w:rPr>
      </w:pPr>
    </w:p>
    <w:p>
      <w:pPr>
        <w:pStyle w:val="Corpsdetexte"/>
        <w:rPr>
          <w:szCs w:val="22"/>
        </w:rPr>
      </w:pPr>
      <w:r>
        <w:rPr>
          <w:szCs w:val="22"/>
        </w:rPr>
        <w:t>La circulaire n° 4182 du 11/10/2012 recense toutes les informations utiles et concrètes relative à cette possibilité offerte aux parents.</w:t>
      </w:r>
    </w:p>
    <w:p>
      <w:pPr>
        <w:pStyle w:val="Corpsdetexte"/>
        <w:rPr>
          <w:szCs w:val="22"/>
        </w:rPr>
      </w:pPr>
    </w:p>
    <w:p>
      <w:pPr>
        <w:pStyle w:val="Corpsdetexte"/>
        <w:rPr>
          <w:szCs w:val="22"/>
        </w:rPr>
      </w:pPr>
      <w:r>
        <w:rPr>
          <w:szCs w:val="22"/>
        </w:rPr>
        <w:t>Le Chef d’établissement ou le Pouvoir organisateur ou son délégué dans l’enseignement subventionné est le garant de cette liberté et à ce titre, il est chargé soit:</w:t>
      </w:r>
    </w:p>
    <w:p>
      <w:pPr>
        <w:pStyle w:val="Corpsdetexte"/>
        <w:rPr>
          <w:szCs w:val="22"/>
        </w:rPr>
      </w:pPr>
    </w:p>
    <w:p>
      <w:pPr>
        <w:pStyle w:val="Corpsdetexte"/>
        <w:rPr>
          <w:szCs w:val="22"/>
        </w:rPr>
      </w:pPr>
      <w:r>
        <w:rPr>
          <w:szCs w:val="22"/>
        </w:rPr>
        <w:t xml:space="preserve">1) d’organiser, dans le cas où il n’y a pas d’Association de parents et si aucun parent de l’établissement ne prend cette initiative, une première assemblée des parents avant le 1er novembre de chaque année scolaire en vue de la création d’une telle Association. Le Chef d’établissement peut organiser cette assemblée selon des modalités liées à des contraintes propres à l’école ou selon des pratiques déjà existantes comme celles prévues pour l’organisation de comités scolaires, des ASBL, des amicales,... </w:t>
      </w:r>
    </w:p>
    <w:p>
      <w:pPr>
        <w:pStyle w:val="Corpsdetexte"/>
        <w:rPr>
          <w:szCs w:val="22"/>
        </w:rPr>
      </w:pPr>
    </w:p>
    <w:p>
      <w:pPr>
        <w:pStyle w:val="Corpsdetexte"/>
        <w:rPr>
          <w:szCs w:val="22"/>
        </w:rPr>
      </w:pPr>
      <w:r>
        <w:rPr>
          <w:szCs w:val="22"/>
        </w:rPr>
        <w:t>Une collaboration avec le conseil de participation et l’organisation représentative des parents d’élèves au niveau communautaire sera sollicitée dans cette démarche.</w:t>
      </w:r>
    </w:p>
    <w:p>
      <w:pPr>
        <w:pStyle w:val="Corpsdetexte"/>
        <w:rPr>
          <w:szCs w:val="22"/>
        </w:rPr>
      </w:pPr>
      <w:r>
        <w:rPr>
          <w:szCs w:val="22"/>
        </w:rPr>
        <w:t>Les organisations représentatives d’Association de parents d’élèves disposent d’outils pour animer cette première réunion.</w:t>
      </w:r>
    </w:p>
    <w:p>
      <w:pPr>
        <w:pStyle w:val="Corpsdetexte"/>
        <w:rPr>
          <w:szCs w:val="22"/>
        </w:rPr>
      </w:pPr>
    </w:p>
    <w:p>
      <w:pPr>
        <w:pStyle w:val="Corpsdetexte"/>
        <w:rPr>
          <w:szCs w:val="22"/>
        </w:rPr>
      </w:pPr>
      <w:r>
        <w:rPr>
          <w:szCs w:val="22"/>
        </w:rPr>
        <w:t xml:space="preserve">2) de convoquer, dans le cas où une Association de parents existe déjà au sein de l’établissement, une assemblée générale des parents au moins une fois par an, avant le 1er novembre et de l’organiser conjointement avec le comité de l’Association de parents. Lors de cette assemblée, le Chef d’établissement ou le Pouvoir organisateur ou son délégué dans l’enseignement subventionné y est tenu d’évoquer le rôle et le fonctionnement du Conseil de participation et le rôle d’une Association de parents. </w:t>
      </w:r>
    </w:p>
    <w:p>
      <w:pPr>
        <w:pStyle w:val="Corpsdetexte"/>
        <w:rPr>
          <w:szCs w:val="22"/>
        </w:rPr>
      </w:pPr>
    </w:p>
    <w:p>
      <w:pPr>
        <w:pStyle w:val="Corpsdetexte"/>
        <w:rPr>
          <w:szCs w:val="22"/>
        </w:rPr>
      </w:pPr>
      <w:r>
        <w:rPr>
          <w:szCs w:val="22"/>
        </w:rPr>
        <w:t>Par conséquent, le Chef d’établissement ne peut pas s’opposer à la création d’une Association de parents au sein de son école, ni refuser de convoquer une assemblée générale des parents au moins une fois par an, avant le 1er novembre.</w:t>
      </w:r>
    </w:p>
    <w:p>
      <w:pPr>
        <w:pStyle w:val="Corpsdetexte"/>
        <w:rPr>
          <w:szCs w:val="22"/>
        </w:rPr>
      </w:pPr>
    </w:p>
    <w:p>
      <w:pPr>
        <w:pStyle w:val="Corpsdetexte"/>
        <w:rPr>
          <w:szCs w:val="22"/>
        </w:rPr>
      </w:pPr>
      <w:r>
        <w:rPr>
          <w:szCs w:val="22"/>
        </w:rPr>
        <w:t xml:space="preserve">Il appartient également au Chef d’établissement dans l’enseignement organisé par </w:t>
      </w:r>
      <w:smartTag w:uri="urn:schemas-microsoft-com:office:smarttags" w:element="PersonName">
        <w:smartTagPr>
          <w:attr w:name="ProductID" w:val="la F￩d￩ration Wallonie-Bruxelles"/>
        </w:smartTagPr>
        <w:r>
          <w:rPr>
            <w:szCs w:val="22"/>
          </w:rPr>
          <w:t xml:space="preserve">la </w:t>
        </w:r>
        <w:r>
          <w:t>Fédération Wallonie-Bruxelles</w:t>
        </w:r>
      </w:smartTag>
      <w:r>
        <w:rPr>
          <w:szCs w:val="22"/>
        </w:rPr>
        <w:t>, au Pouvoir organisateur ou son délégué dans l’enseignement subventionné, à l’Administration et au Gouvernement, de s’assurer de :</w:t>
      </w:r>
    </w:p>
    <w:p>
      <w:pPr>
        <w:pStyle w:val="Corpsdetexte"/>
        <w:rPr>
          <w:szCs w:val="22"/>
        </w:rPr>
      </w:pPr>
    </w:p>
    <w:p>
      <w:pPr>
        <w:pStyle w:val="Corpsdetexte"/>
        <w:rPr>
          <w:szCs w:val="22"/>
        </w:rPr>
      </w:pPr>
      <w:r>
        <w:rPr>
          <w:szCs w:val="22"/>
        </w:rPr>
        <w:t xml:space="preserve">1) Mettre à disposition des infrastructures et du matériel nécessaires à la réalisation des missions de l’Association de parents, sans nuire au bon fonctionnement de l’établissement. Dans l'Enseignement organisé par </w:t>
      </w:r>
      <w:smartTag w:uri="urn:schemas-microsoft-com:office:smarttags" w:element="PersonName">
        <w:smartTagPr>
          <w:attr w:name="ProductID" w:val="la F￩d￩ration Wallonie-Bruxelles"/>
        </w:smartTagPr>
        <w:r>
          <w:rPr>
            <w:szCs w:val="22"/>
          </w:rPr>
          <w:t>la Fédération Wallonie-Bruxelles</w:t>
        </w:r>
      </w:smartTag>
      <w:r>
        <w:rPr>
          <w:szCs w:val="22"/>
        </w:rPr>
        <w:t>, les modalités sont concertées entre le comité de l’Association de parents et le chef d’établissement. Dans l’Enseignement subventionné, les critères sont définis par le Pouvoir organisateur ou son délégué. Par exemple : en matière de convention et d'assurance pour ce qui concerne l'occupation des locaux.</w:t>
      </w:r>
    </w:p>
    <w:p>
      <w:pPr>
        <w:pStyle w:val="Corpsdetexte"/>
        <w:rPr>
          <w:szCs w:val="22"/>
        </w:rPr>
      </w:pPr>
      <w:r>
        <w:rPr>
          <w:szCs w:val="22"/>
        </w:rPr>
        <w:t xml:space="preserve"> </w:t>
      </w:r>
    </w:p>
    <w:p>
      <w:pPr>
        <w:pStyle w:val="Corpsdetexte"/>
        <w:rPr>
          <w:szCs w:val="22"/>
        </w:rPr>
      </w:pPr>
      <w:r>
        <w:rPr>
          <w:szCs w:val="22"/>
        </w:rPr>
        <w:t xml:space="preserve">2) Transmettre, en temps utile, les circulaires et directives qui les concernent au comité de l’Association de parents, dans les mêmes conditions que les autres partenaires de la communauté éducative. </w:t>
      </w:r>
    </w:p>
    <w:p>
      <w:pPr>
        <w:pStyle w:val="Corpsdetexte"/>
        <w:rPr>
          <w:szCs w:val="22"/>
        </w:rPr>
      </w:pPr>
    </w:p>
    <w:p>
      <w:pPr>
        <w:pStyle w:val="Corpsdetexte"/>
        <w:rPr>
          <w:szCs w:val="22"/>
        </w:rPr>
      </w:pPr>
      <w:r>
        <w:rPr>
          <w:szCs w:val="22"/>
        </w:rPr>
        <w:t xml:space="preserve">3) Diffuser les documents de l’Association de parents qui seront identifiés clairement comme tels selon des modalités qui sont définies en concertation entre le Chef d'établissement dans l'enseignement organisé par </w:t>
      </w:r>
      <w:smartTag w:uri="urn:schemas-microsoft-com:office:smarttags" w:element="PersonName">
        <w:smartTagPr>
          <w:attr w:name="ProductID" w:val="la F￩d￩ration Wallonie-Bruxelles"/>
        </w:smartTagPr>
        <w:r>
          <w:rPr>
            <w:szCs w:val="22"/>
          </w:rPr>
          <w:t>la Fédération Wallonie-Bruxelles</w:t>
        </w:r>
      </w:smartTag>
      <w:r>
        <w:rPr>
          <w:szCs w:val="22"/>
        </w:rPr>
        <w:t xml:space="preserve"> ou le pouvoir organisateur ou son délégué dans l'enseignement subventionné et le Comité de l'Association de Parents. </w:t>
      </w:r>
    </w:p>
    <w:p>
      <w:pPr>
        <w:pStyle w:val="Corpsdetexte"/>
        <w:rPr>
          <w:szCs w:val="22"/>
        </w:rPr>
      </w:pPr>
    </w:p>
    <w:p>
      <w:pPr>
        <w:pStyle w:val="Corpsdetexte"/>
        <w:rPr>
          <w:szCs w:val="22"/>
        </w:rPr>
      </w:pPr>
      <w:r>
        <w:rPr>
          <w:szCs w:val="22"/>
        </w:rPr>
        <w:t>4) Mettre à disposition de l’Association de parents un tableau d’affichage dans un endroit facilement accessible aux parents, avec le cas échéant, la mention des noms et coordonnées des membres du comité de l’association de parents.</w:t>
      </w:r>
    </w:p>
    <w:p>
      <w:pPr>
        <w:pStyle w:val="Corpsdetexte"/>
        <w:rPr>
          <w:szCs w:val="22"/>
        </w:rPr>
      </w:pPr>
    </w:p>
    <w:p>
      <w:pPr>
        <w:pStyle w:val="Corpsdetexte"/>
        <w:rPr>
          <w:szCs w:val="22"/>
        </w:rPr>
      </w:pPr>
      <w:r>
        <w:rPr>
          <w:szCs w:val="22"/>
        </w:rPr>
        <w:t>5) Porter à la connaissance de tous les parents d’élèves de l’établissement en début d’année scolaire, les coordonnées des membres du comité de l’Association de parents;</w:t>
      </w:r>
    </w:p>
    <w:p>
      <w:pPr>
        <w:pStyle w:val="Corpsdetexte"/>
        <w:rPr>
          <w:szCs w:val="22"/>
        </w:rPr>
      </w:pPr>
    </w:p>
    <w:p>
      <w:pPr>
        <w:pStyle w:val="Corpsdetexte"/>
        <w:rPr>
          <w:szCs w:val="22"/>
        </w:rPr>
      </w:pPr>
      <w:r>
        <w:rPr>
          <w:szCs w:val="22"/>
        </w:rPr>
        <w:t>Par ailleurs, le Chef d’établissement ou le Pouvoir organisateur ou son délégué dans l’enseignement subventionné ne peut exercer aucun contrôle sur les comptes éventuels de l’Association de parents. Cependant, les organisations représentatives peuvent, pour leurs membres, édicter en cette matière, des règles de bonne conduite.</w:t>
      </w:r>
    </w:p>
    <w:p>
      <w:pPr>
        <w:pStyle w:val="Corpsdetexte"/>
        <w:rPr>
          <w:szCs w:val="22"/>
        </w:rPr>
      </w:pPr>
    </w:p>
    <w:p>
      <w:pPr>
        <w:pStyle w:val="Corpsdetexte"/>
      </w:pPr>
      <w:r>
        <w:t xml:space="preserve">En cas de conflit au sein d’une Association de parents ou de problèmes liés à son bon fonctionnement, le Chef d’établissement ou le Pouvoir organisateur ou son délégué dans l’enseignement subventionné peut demander à l’organisation représentative au niveau communautaire d’exercer une mission de conciliation. </w:t>
      </w:r>
    </w:p>
    <w:p>
      <w:pPr>
        <w:pStyle w:val="Corpsdetexte"/>
      </w:pPr>
    </w:p>
    <w:p>
      <w:pPr>
        <w:pStyle w:val="Corpsdetexte"/>
      </w:pPr>
    </w:p>
    <w:p>
      <w:pPr>
        <w:pStyle w:val="Corpsdetexte"/>
        <w:pBdr>
          <w:top w:val="single" w:sz="4" w:space="4" w:color="auto"/>
          <w:left w:val="single" w:sz="4" w:space="4" w:color="auto"/>
          <w:bottom w:val="single" w:sz="4" w:space="4" w:color="auto"/>
          <w:right w:val="single" w:sz="4" w:space="4" w:color="auto"/>
        </w:pBdr>
        <w:jc w:val="center"/>
      </w:pPr>
      <w:r>
        <w:rPr>
          <w:b/>
          <w:u w:val="single"/>
        </w:rPr>
        <w:t>Personne de contact</w:t>
      </w:r>
      <w:r>
        <w:t>:</w:t>
      </w:r>
    </w:p>
    <w:p>
      <w:pPr>
        <w:pStyle w:val="Corpsdetexte"/>
        <w:pBdr>
          <w:top w:val="single" w:sz="4" w:space="4" w:color="auto"/>
          <w:left w:val="single" w:sz="4" w:space="4" w:color="auto"/>
          <w:bottom w:val="single" w:sz="4" w:space="4" w:color="auto"/>
          <w:right w:val="single" w:sz="4" w:space="4" w:color="auto"/>
        </w:pBdr>
        <w:tabs>
          <w:tab w:val="center" w:pos="4535"/>
        </w:tabs>
        <w:jc w:val="left"/>
      </w:pPr>
      <w:r>
        <w:tab/>
      </w:r>
    </w:p>
    <w:p>
      <w:pPr>
        <w:pStyle w:val="Corpsdetexte"/>
        <w:pBdr>
          <w:top w:val="single" w:sz="4" w:space="4" w:color="auto"/>
          <w:left w:val="single" w:sz="4" w:space="4" w:color="auto"/>
          <w:bottom w:val="single" w:sz="4" w:space="4" w:color="auto"/>
          <w:right w:val="single" w:sz="4" w:space="4" w:color="auto"/>
        </w:pBdr>
        <w:tabs>
          <w:tab w:val="center" w:pos="4535"/>
        </w:tabs>
        <w:jc w:val="left"/>
      </w:pPr>
      <w:r>
        <w:tab/>
        <w:t>Alain-Yves LAMBERTS</w:t>
      </w:r>
    </w:p>
    <w:p>
      <w:pPr>
        <w:pStyle w:val="Corpsdetexte"/>
        <w:pBdr>
          <w:top w:val="single" w:sz="4" w:space="4" w:color="auto"/>
          <w:left w:val="single" w:sz="4" w:space="4" w:color="auto"/>
          <w:bottom w:val="single" w:sz="4" w:space="4" w:color="auto"/>
          <w:right w:val="single" w:sz="4" w:space="4" w:color="auto"/>
        </w:pBdr>
        <w:jc w:val="center"/>
      </w:pPr>
      <w:r>
        <w:t>02/690.84.74</w:t>
      </w:r>
    </w:p>
    <w:p>
      <w:pPr>
        <w:pBdr>
          <w:top w:val="single" w:sz="4" w:space="4" w:color="auto"/>
          <w:left w:val="single" w:sz="4" w:space="4" w:color="auto"/>
          <w:bottom w:val="single" w:sz="4" w:space="4" w:color="auto"/>
          <w:right w:val="single" w:sz="4" w:space="4" w:color="auto"/>
        </w:pBdr>
        <w:shd w:val="clear" w:color="auto" w:fill="FFFFFF"/>
        <w:jc w:val="center"/>
        <w:rPr>
          <w:rFonts w:cs="Arial"/>
          <w:szCs w:val="22"/>
        </w:rPr>
      </w:pPr>
      <w:hyperlink r:id="rId148" w:history="1">
        <w:r>
          <w:rPr>
            <w:rStyle w:val="Lienhypertexte"/>
            <w:rFonts w:cs="Arial"/>
            <w:color w:val="auto"/>
            <w:szCs w:val="22"/>
          </w:rPr>
          <w:t>alain-yves.lamberts@cfwb.be</w:t>
        </w:r>
      </w:hyperlink>
    </w:p>
    <w:p>
      <w:pPr>
        <w:pStyle w:val="Corpsdetexte"/>
      </w:pPr>
    </w:p>
    <w:p>
      <w:pPr>
        <w:pStyle w:val="MonTitre1"/>
      </w:pPr>
      <w:r>
        <w:br w:type="page"/>
      </w:r>
      <w:bookmarkStart w:id="1933" w:name="_Toc423420170"/>
      <w:bookmarkStart w:id="1934" w:name="_Toc450645377"/>
      <w:bookmarkStart w:id="1935" w:name="_Toc453942654"/>
      <w:bookmarkStart w:id="1936" w:name="_Toc454888271"/>
    </w:p>
    <w:p>
      <w:pPr>
        <w:pStyle w:val="MonTitre1"/>
      </w:pPr>
      <w:bookmarkStart w:id="1937" w:name="_Toc486241892"/>
      <w:r>
        <w:t xml:space="preserve">Titre 9. </w:t>
      </w:r>
      <w:r>
        <w:tab/>
        <w:t>Prise en charge spécialisée, logopédique ou de tout autre nature (psychomotricité, psychothérapie, graphothérapie,..) durant le temps scolaire</w:t>
      </w:r>
      <w:bookmarkEnd w:id="1933"/>
      <w:bookmarkEnd w:id="1934"/>
      <w:bookmarkEnd w:id="1935"/>
      <w:bookmarkEnd w:id="1936"/>
      <w:bookmarkEnd w:id="1937"/>
    </w:p>
    <w:p/>
    <w:p>
      <w:pPr>
        <w:jc w:val="both"/>
      </w:pPr>
      <w:r>
        <w:rPr>
          <w:b/>
        </w:rPr>
        <w:t>Remarque préalable</w:t>
      </w:r>
    </w:p>
    <w:p>
      <w:pPr>
        <w:jc w:val="both"/>
      </w:pPr>
    </w:p>
    <w:p>
      <w:pPr>
        <w:jc w:val="both"/>
        <w:rPr>
          <w:rFonts w:cs="Arial"/>
          <w:szCs w:val="22"/>
        </w:rPr>
      </w:pPr>
      <w:r>
        <w:rPr>
          <w:rFonts w:cs="Arial"/>
          <w:szCs w:val="22"/>
          <w:u w:val="single"/>
        </w:rPr>
        <w:t>L</w:t>
      </w:r>
      <w:r>
        <w:rPr>
          <w:rFonts w:cs="Arial"/>
          <w:i/>
          <w:szCs w:val="22"/>
          <w:u w:val="single"/>
        </w:rPr>
        <w:t>es prises en charge</w:t>
      </w:r>
      <w:r>
        <w:rPr>
          <w:i/>
          <w:spacing w:val="2"/>
          <w:szCs w:val="22"/>
          <w:u w:val="single"/>
        </w:rPr>
        <w:t xml:space="preserve"> spécialisées, logopédique ou de tout autre nature (psychomotricité, psychothérapie, graphothérapie,..) durant le temps scolaire</w:t>
      </w:r>
      <w:r>
        <w:rPr>
          <w:rFonts w:cs="Arial"/>
          <w:i/>
          <w:szCs w:val="22"/>
          <w:u w:val="single"/>
        </w:rPr>
        <w:t xml:space="preserve"> doivent rester exceptionnelles</w:t>
      </w:r>
      <w:r>
        <w:rPr>
          <w:rFonts w:cs="Arial"/>
          <w:szCs w:val="22"/>
        </w:rPr>
        <w:t xml:space="preserve">, afin que l’élève bénéficie au maximum de la vie à l’école et dispose des temps d’apprentissage et de socialisation nécessaires et suffisants. Cette prise en charge doit toujours être intégrée à une différenciation des apprentissages dans une démarche collective d’enseignement, tout en évitant au maximum le risque de stigmatisation de l’élève, d’externalisation de la prise en charge et de médicalisation des difficultés d’apprentissage de l’élève. </w:t>
      </w:r>
    </w:p>
    <w:p>
      <w:pPr>
        <w:jc w:val="both"/>
        <w:rPr>
          <w:rFonts w:cs="Arial"/>
          <w:szCs w:val="22"/>
        </w:rPr>
      </w:pPr>
    </w:p>
    <w:p>
      <w:pPr>
        <w:jc w:val="both"/>
        <w:rPr>
          <w:rFonts w:cs="Arial"/>
          <w:szCs w:val="22"/>
        </w:rPr>
      </w:pPr>
      <w:r>
        <w:rPr>
          <w:rFonts w:cs="Arial"/>
          <w:szCs w:val="22"/>
        </w:rPr>
        <w:t xml:space="preserve">Considérant que de nombreuses équipes se sont déjà penchées sur cette problématique et qu’elles ont développé des </w:t>
      </w:r>
      <w:r>
        <w:rPr>
          <w:rFonts w:cs="Arial"/>
          <w:i/>
          <w:szCs w:val="22"/>
        </w:rPr>
        <w:t>modus operandi</w:t>
      </w:r>
      <w:r>
        <w:rPr>
          <w:rFonts w:cs="Arial"/>
          <w:szCs w:val="22"/>
        </w:rPr>
        <w:t xml:space="preserve"> propres à leur contexte spécifique, la volonté est d’appliquer à l’ensemble des établissements, une méthode dynamique</w:t>
      </w:r>
    </w:p>
    <w:p>
      <w:pPr>
        <w:numPr>
          <w:ilvl w:val="0"/>
          <w:numId w:val="159"/>
        </w:numPr>
        <w:jc w:val="both"/>
        <w:rPr>
          <w:rFonts w:cs="Arial"/>
          <w:szCs w:val="22"/>
        </w:rPr>
      </w:pPr>
      <w:r>
        <w:rPr>
          <w:rFonts w:cs="Arial"/>
          <w:szCs w:val="22"/>
        </w:rPr>
        <w:t xml:space="preserve">en donnant aux acteurs scolaires de terrain la responsabilité de l’action dans le temps scolaire, action pensée et décidée, pour chaque enfant, sur la base de réalités locales, </w:t>
      </w:r>
    </w:p>
    <w:p>
      <w:pPr>
        <w:numPr>
          <w:ilvl w:val="0"/>
          <w:numId w:val="159"/>
        </w:numPr>
        <w:jc w:val="both"/>
        <w:rPr>
          <w:rFonts w:cs="Arial"/>
          <w:szCs w:val="22"/>
        </w:rPr>
      </w:pPr>
      <w:r>
        <w:rPr>
          <w:rFonts w:cs="Arial"/>
          <w:szCs w:val="22"/>
        </w:rPr>
        <w:t>en gardant toujours le souci de favoriser la concertation entre les différents acteurs,</w:t>
      </w:r>
    </w:p>
    <w:p>
      <w:pPr>
        <w:numPr>
          <w:ilvl w:val="0"/>
          <w:numId w:val="159"/>
        </w:numPr>
        <w:jc w:val="both"/>
        <w:rPr>
          <w:rFonts w:cs="Arial"/>
          <w:szCs w:val="22"/>
        </w:rPr>
      </w:pPr>
      <w:r>
        <w:rPr>
          <w:rFonts w:cs="Arial"/>
          <w:szCs w:val="22"/>
        </w:rPr>
        <w:t>en veillant à préciser le rôle de chacun, en fonction de ses compétences, de son rôle et de sa fonction dans le champ scolaire.</w:t>
      </w:r>
    </w:p>
    <w:p>
      <w:pPr>
        <w:jc w:val="both"/>
      </w:pPr>
    </w:p>
    <w:p>
      <w:pPr>
        <w:jc w:val="both"/>
      </w:pPr>
    </w:p>
    <w:p>
      <w:pPr>
        <w:jc w:val="both"/>
      </w:pPr>
      <w:r>
        <w:t xml:space="preserve">Dans chaque établissement, une démarche devra être adoptée en deux étapes: </w:t>
      </w:r>
    </w:p>
    <w:p>
      <w:pPr>
        <w:jc w:val="both"/>
      </w:pPr>
    </w:p>
    <w:p>
      <w:pPr>
        <w:jc w:val="both"/>
        <w:rPr>
          <w:b/>
        </w:rPr>
      </w:pPr>
      <w:r>
        <w:rPr>
          <w:b/>
        </w:rPr>
        <w:t>Première étape: choix d’une politique d’école</w:t>
      </w:r>
    </w:p>
    <w:p>
      <w:pPr>
        <w:jc w:val="both"/>
      </w:pPr>
    </w:p>
    <w:p>
      <w:pPr>
        <w:jc w:val="both"/>
      </w:pPr>
      <w:r>
        <w:t xml:space="preserve">Le chef d’établissement, l’équipe pédagogique et l’équipe tri-disciplinaire du Centre PMS sont invités à prendre position quant au principe d’une prise en charge par des spécialistes (en tout et/ou en partie) durant le temps scolaire, que ce soit dans ou hors les murs de l’établissement, ainsi que sur les conditions générales de son organisation, en tenant compte de leurs réalités locales. </w:t>
      </w:r>
    </w:p>
    <w:p>
      <w:pPr>
        <w:jc w:val="both"/>
      </w:pPr>
    </w:p>
    <w:p>
      <w:pPr>
        <w:jc w:val="both"/>
      </w:pPr>
      <w:r>
        <w:t>Cette prise de position, qui pourra être adaptée dans le temps, fera l’objet d’une information à l’ensemble des parents et lors de chaque nouvelle inscription.</w:t>
      </w:r>
    </w:p>
    <w:p>
      <w:pPr>
        <w:jc w:val="both"/>
      </w:pPr>
    </w:p>
    <w:p>
      <w:pPr>
        <w:jc w:val="both"/>
        <w:rPr>
          <w:b/>
        </w:rPr>
      </w:pPr>
      <w:r>
        <w:rPr>
          <w:b/>
        </w:rPr>
        <w:t>Deuxième étape: mise en place d’un suivi personnalisé</w:t>
      </w:r>
    </w:p>
    <w:p>
      <w:pPr>
        <w:jc w:val="both"/>
      </w:pPr>
    </w:p>
    <w:p>
      <w:pPr>
        <w:jc w:val="both"/>
      </w:pPr>
      <w:r>
        <w:t>Chaque situation individuelle sera ensuite traitée selon deux axes: le suivi pédagogique de l’enfant et son suivi administratif.</w:t>
      </w:r>
    </w:p>
    <w:p>
      <w:pPr>
        <w:jc w:val="both"/>
      </w:pPr>
    </w:p>
    <w:p>
      <w:pPr>
        <w:jc w:val="both"/>
      </w:pPr>
      <w:r>
        <w:rPr>
          <w:u w:val="single"/>
        </w:rPr>
        <w:t>Sur le plan pédagogique</w:t>
      </w:r>
      <w:r>
        <w:t xml:space="preserve">: </w:t>
      </w:r>
    </w:p>
    <w:p>
      <w:pPr>
        <w:jc w:val="both"/>
      </w:pPr>
    </w:p>
    <w:p>
      <w:pPr>
        <w:jc w:val="both"/>
      </w:pPr>
      <w:r>
        <w:t xml:space="preserve">Lorsque la nécessité d’une prise en charge exceptionnelle de l’élève par un spécialiste dans le temps scolaire est établie en concertation, il est essentiel d’articuler le travail de l’équipe pédagogique avec celui des spécialistes, comme cela se passe de manière naturelle dans de nombreux établissements. Pour ce faire, le chef d’établissement sera garant d’une concertation entre les enseignants, les membres du CPMS et le spécialiste afin, entre autres, de favoriser l’articulation du travail des différents acteurs et la traduction des stratégies de rééducation en aménagements pédagogiques. </w:t>
      </w:r>
    </w:p>
    <w:p>
      <w:pPr>
        <w:jc w:val="both"/>
      </w:pPr>
    </w:p>
    <w:p>
      <w:pPr>
        <w:jc w:val="both"/>
      </w:pPr>
    </w:p>
    <w:p>
      <w:pPr>
        <w:jc w:val="both"/>
      </w:pPr>
    </w:p>
    <w:p>
      <w:pPr>
        <w:jc w:val="both"/>
      </w:pPr>
      <w:r>
        <w:t xml:space="preserve">La direction, ainsi que tous les membres de cette concertation, veilleront à ce qu’y soit bien défini le rôle de chacun: </w:t>
      </w:r>
    </w:p>
    <w:p>
      <w:pPr>
        <w:jc w:val="both"/>
      </w:pPr>
    </w:p>
    <w:p>
      <w:pPr>
        <w:numPr>
          <w:ilvl w:val="0"/>
          <w:numId w:val="109"/>
        </w:numPr>
        <w:jc w:val="both"/>
      </w:pPr>
      <w:r>
        <w:t xml:space="preserve">le spécialiste se concentrera sur la prise en charge spécifique de l’élève; </w:t>
      </w:r>
    </w:p>
    <w:p>
      <w:pPr>
        <w:numPr>
          <w:ilvl w:val="0"/>
          <w:numId w:val="109"/>
        </w:numPr>
        <w:jc w:val="both"/>
      </w:pPr>
      <w:r>
        <w:t>les enseignants définiront les ajustements pédagogiques et matériels les plus appropriés aux besoins spécifiques de l’élève;</w:t>
      </w:r>
    </w:p>
    <w:p>
      <w:pPr>
        <w:numPr>
          <w:ilvl w:val="0"/>
          <w:numId w:val="109"/>
        </w:numPr>
        <w:jc w:val="both"/>
      </w:pPr>
      <w:r>
        <w:t xml:space="preserve">l’équipe du Centre PMS favorisera les échanges d’information entre les uns et les autres. Elle sera particulièrement à l’écoute du vécu de l’élève et de ses parents et veillera à ce que les informations utiles au sujet du dispositif mis en place leurs soient communiquées.  </w:t>
      </w:r>
    </w:p>
    <w:p>
      <w:pPr>
        <w:jc w:val="both"/>
      </w:pPr>
    </w:p>
    <w:p>
      <w:pPr>
        <w:jc w:val="both"/>
      </w:pPr>
      <w:r>
        <w:t>Tous veilleront également à favoriser l’échange d’informations entre eux, au bénéfice de l’élève et à celui de leur propre pratique.</w:t>
      </w:r>
    </w:p>
    <w:p>
      <w:pPr>
        <w:jc w:val="both"/>
      </w:pPr>
    </w:p>
    <w:p>
      <w:pPr>
        <w:jc w:val="both"/>
      </w:pPr>
      <w:r>
        <w:t>Concrètement, les modalités de l’articulation du travail entre les différents acteurs (direction, enseignant, membre du CPMS, spécialiste ou autres) ainsi que les aménagements pédagogiques et matériels seront consignés dans un document dont la forme est laissée libre à chaque établissement mais qui doit être joint au dossier pédagogique de l’élève. Ce document favorisera la transmission des informations de nature pédagogique lors du passage de l’élève dans l’année supérieure ou dans un autre établissement.</w:t>
      </w:r>
    </w:p>
    <w:p>
      <w:pPr>
        <w:jc w:val="both"/>
      </w:pPr>
    </w:p>
    <w:p>
      <w:pPr>
        <w:jc w:val="both"/>
      </w:pPr>
      <w:r>
        <w:rPr>
          <w:i/>
          <w:u w:val="single"/>
        </w:rPr>
        <w:t>Sur le plan administratif</w:t>
      </w:r>
      <w:r>
        <w:t>, la direction veillera à faire compléter l’</w:t>
      </w:r>
      <w:hyperlink w:anchor="Annexe_9" w:history="1">
        <w:r>
          <w:rPr>
            <w:rStyle w:val="Lienhypertexte"/>
          </w:rPr>
          <w:t>annexe 9</w:t>
        </w:r>
      </w:hyperlink>
      <w:r>
        <w:t xml:space="preserve"> afin de garantir le caractère régulier de l’absence de l’élève auprès des services de vérification lors d’une prise en charge par un spécialiste durant le temps scolaire mais hors des murs de l’établissement. Lorsque le chef d’établissement signe ce document, il atteste avoir organisé une concertation préalable avec les enseignants et le centre PMS ayant donné lieu à cette décision.</w:t>
      </w:r>
    </w:p>
    <w:p>
      <w:pPr>
        <w:pStyle w:val="MonTitre1"/>
      </w:pPr>
      <w:r>
        <w:br w:type="page"/>
      </w:r>
      <w:bookmarkStart w:id="1938" w:name="Titre11"/>
      <w:bookmarkStart w:id="1939" w:name="_Toc450645417"/>
      <w:bookmarkStart w:id="1940" w:name="_Toc453942655"/>
      <w:bookmarkStart w:id="1941" w:name="_Toc454888272"/>
      <w:bookmarkStart w:id="1942" w:name="_Toc486241893"/>
      <w:r>
        <w:t>Titre 1</w:t>
      </w:r>
      <w:bookmarkEnd w:id="1938"/>
      <w:r>
        <w:t xml:space="preserve">0. </w:t>
      </w:r>
      <w:r>
        <w:tab/>
        <w:t xml:space="preserve">Les applications informatiques et les formulaires électroniques développés par </w:t>
      </w:r>
      <w:smartTag w:uri="urn:schemas-microsoft-com:office:smarttags" w:element="PersonName">
        <w:smartTagPr>
          <w:attr w:name="ProductID" w:val="la DGEO"/>
        </w:smartTagPr>
        <w:r>
          <w:t>la DGEO</w:t>
        </w:r>
      </w:smartTag>
      <w:bookmarkEnd w:id="1939"/>
      <w:bookmarkEnd w:id="1940"/>
      <w:bookmarkEnd w:id="1941"/>
      <w:bookmarkEnd w:id="1942"/>
    </w:p>
    <w:p>
      <w:pPr>
        <w:jc w:val="both"/>
        <w:rPr>
          <w:highlight w:val="yellow"/>
        </w:rPr>
      </w:pPr>
    </w:p>
    <w:p>
      <w:pPr>
        <w:jc w:val="both"/>
      </w:pPr>
    </w:p>
    <w:p>
      <w:pPr>
        <w:jc w:val="both"/>
        <w:rPr>
          <w:rFonts w:cs="Arial"/>
          <w:szCs w:val="22"/>
        </w:rPr>
      </w:pPr>
      <w:r>
        <w:rPr>
          <w:rFonts w:cs="Arial"/>
          <w:szCs w:val="22"/>
        </w:rPr>
        <w:t xml:space="preserve">Progressivement, la gestion des divers dossiers s’est informatisée et les contacts entre les écoles et l’Administration se font de plus en plus par voie électronique. </w:t>
      </w:r>
    </w:p>
    <w:p>
      <w:pPr>
        <w:jc w:val="both"/>
        <w:rPr>
          <w:rFonts w:cs="Arial"/>
          <w:szCs w:val="22"/>
        </w:rPr>
      </w:pPr>
      <w:r>
        <w:rPr>
          <w:rFonts w:cs="Arial"/>
          <w:szCs w:val="22"/>
        </w:rPr>
        <w:t>L’utilisation des applications mises à disposition des établissements est généralement obligatoire. Dans le cas contraire, l’aspect facultatif ou informatif est mentionné.</w:t>
      </w:r>
    </w:p>
    <w:p>
      <w:pPr>
        <w:jc w:val="both"/>
        <w:rPr>
          <w:rFonts w:cs="Arial"/>
          <w:szCs w:val="22"/>
        </w:rPr>
      </w:pPr>
      <w:r>
        <w:rPr>
          <w:rFonts w:cs="Arial"/>
          <w:szCs w:val="22"/>
        </w:rPr>
        <w:t>En page d’accueil de chaque application figure le mode d’emploi.</w:t>
      </w:r>
    </w:p>
    <w:p>
      <w:pPr>
        <w:jc w:val="both"/>
        <w:rPr>
          <w:rFonts w:cs="Arial"/>
          <w:szCs w:val="22"/>
        </w:rPr>
      </w:pPr>
      <w:r>
        <w:rPr>
          <w:rFonts w:cs="Arial"/>
          <w:szCs w:val="22"/>
        </w:rPr>
        <w:t>En cas de souci dans une application, on prendra contact avec les personnes de référence dont les coordonnées sont accessibles à la rubrique  « contact » de chaque page de l’application.</w:t>
      </w:r>
    </w:p>
    <w:p>
      <w:pPr>
        <w:jc w:val="both"/>
        <w:rPr>
          <w:rFonts w:cs="Arial"/>
          <w:szCs w:val="22"/>
        </w:rPr>
      </w:pPr>
    </w:p>
    <w:p>
      <w:pPr>
        <w:ind w:firstLine="5670"/>
        <w:jc w:val="both"/>
        <w:rPr>
          <w:rFonts w:cs="Arial"/>
          <w:szCs w:val="22"/>
        </w:rPr>
      </w:pPr>
      <w:r>
        <w:rPr>
          <w:rFonts w:cs="Arial"/>
          <w:noProof/>
          <w:szCs w:val="22"/>
          <w:lang w:val="fr-BE" w:eastAsia="fr-BE"/>
        </w:rPr>
        <mc:AlternateContent>
          <mc:Choice Requires="wps">
            <w:drawing>
              <wp:anchor distT="0" distB="0" distL="114300" distR="114300" simplePos="0" relativeHeight="251661312" behindDoc="0" locked="0" layoutInCell="1" allowOverlap="1">
                <wp:simplePos x="0" y="0"/>
                <wp:positionH relativeFrom="column">
                  <wp:posOffset>-4445</wp:posOffset>
                </wp:positionH>
                <wp:positionV relativeFrom="paragraph">
                  <wp:posOffset>98425</wp:posOffset>
                </wp:positionV>
                <wp:extent cx="3556000" cy="244475"/>
                <wp:effectExtent l="635" t="3810" r="0" b="0"/>
                <wp:wrapNone/>
                <wp:docPr id="29"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56000" cy="244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pPr>
                              <w:rPr>
                                <w:rFonts w:ascii="Georgia" w:hAnsi="Georgia"/>
                              </w:rPr>
                            </w:pPr>
                            <w:r>
                              <w:rPr>
                                <w:rFonts w:cs="Arial"/>
                                <w:szCs w:val="22"/>
                              </w:rPr>
                              <w:t>Cette rubrique est située en haut à droite de</w:t>
                            </w:r>
                            <w:r>
                              <w:rPr>
                                <w:rFonts w:ascii="Georgia" w:hAnsi="Georgia"/>
                              </w:rPr>
                              <w:t xml:space="preserve"> l’écran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3" o:spid="_x0000_s1057" type="#_x0000_t202" style="position:absolute;left:0;text-align:left;margin-left:-.35pt;margin-top:7.75pt;width:280pt;height:19.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" stroked="f">
                <v:textbox>
                  <w:txbxContent>
                    <w:p>
                      <w:pPr>
                        <w:rPr>
                          <w:rFonts w:ascii="Georgia" w:hAnsi="Georgia"/>
                        </w:rPr>
                      </w:pPr>
                      <w:r>
                        <w:rPr>
                          <w:rFonts w:cs="Arial"/>
                          <w:szCs w:val="22"/>
                        </w:rPr>
                        <w:t>Cette rubrique est située en haut à droite de</w:t>
                      </w:r>
                      <w:r>
                        <w:rPr>
                          <w:rFonts w:ascii="Georgia" w:hAnsi="Georgia"/>
                        </w:rPr>
                        <w:t xml:space="preserve"> l’écran :</w:t>
                      </w:r>
                    </w:p>
                  </w:txbxContent>
                </v:textbox>
              </v:shape>
            </w:pict>
          </mc:Fallback>
        </mc:AlternateContent>
      </w:r>
      <w:r>
        <w:rPr>
          <w:rFonts w:cs="Arial"/>
          <w:noProof/>
          <w:szCs w:val="22"/>
          <w:lang w:val="fr-BE" w:eastAsia="fr-BE"/>
        </w:rPr>
        <w:drawing>
          <wp:inline distT="0" distB="0" distL="0" distR="0">
            <wp:extent cx="1857375" cy="447675"/>
            <wp:effectExtent l="0" t="0" r="9525" b="9525"/>
            <wp:docPr id="22" name="Image 22" descr="Contact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ontact AM"/>
                    <pic:cNvPicPr>
                      <a:picLocks noChangeAspect="1" noChangeArrowheads="1"/>
                    </pic:cNvPicPr>
                  </pic:nvPicPr>
                  <pic:blipFill>
                    <a:blip r:embed="rId149">
                      <a:extLst>
                        <a:ext uri="{28A0092B-C50C-407E-A947-70E740481C1C}">
                          <a14:useLocalDpi xmlns:a14="http://schemas.microsoft.com/office/drawing/2010/main" val="0"/>
                        </a:ext>
                      </a:extLst>
                    </a:blip>
                    <a:srcRect l="78477" t="6490" r="2980" b="85545"/>
                    <a:stretch>
                      <a:fillRect/>
                    </a:stretch>
                  </pic:blipFill>
                  <pic:spPr bwMode="auto">
                    <a:xfrm>
                      <a:off x="0" y="0"/>
                      <a:ext cx="1857375" cy="447675"/>
                    </a:xfrm>
                    <a:prstGeom prst="rect">
                      <a:avLst/>
                    </a:prstGeom>
                    <a:noFill/>
                    <a:ln>
                      <a:noFill/>
                    </a:ln>
                  </pic:spPr>
                </pic:pic>
              </a:graphicData>
            </a:graphic>
          </wp:inline>
        </w:drawing>
      </w:r>
    </w:p>
    <w:p>
      <w:pPr>
        <w:jc w:val="both"/>
        <w:rPr>
          <w:rFonts w:cs="Arial"/>
          <w:i/>
          <w:szCs w:val="22"/>
          <w:u w:val="single"/>
        </w:rPr>
      </w:pPr>
    </w:p>
    <w:p>
      <w:pPr>
        <w:jc w:val="both"/>
        <w:rPr>
          <w:rFonts w:cs="Arial"/>
          <w:i/>
          <w:szCs w:val="22"/>
          <w:u w:val="single"/>
        </w:rPr>
      </w:pPr>
      <w:r>
        <w:rPr>
          <w:rFonts w:cs="Arial"/>
          <w:i/>
          <w:szCs w:val="22"/>
          <w:u w:val="single"/>
        </w:rPr>
        <w:t xml:space="preserve">Accès sécurisé aux applications et formulaires électroniques.  </w:t>
      </w:r>
    </w:p>
    <w:p>
      <w:pPr>
        <w:spacing w:before="120"/>
        <w:jc w:val="both"/>
        <w:rPr>
          <w:rFonts w:cs="Arial"/>
          <w:szCs w:val="22"/>
        </w:rPr>
      </w:pPr>
      <w:r>
        <w:rPr>
          <w:rFonts w:cs="Arial"/>
          <w:szCs w:val="22"/>
        </w:rPr>
        <w:t>L’accès aux applications mises à disposition se fait via l’univers sécurisé CERBERE (</w:t>
      </w:r>
      <w:hyperlink r:id="rId150" w:history="1">
        <w:r>
          <w:rPr>
            <w:rStyle w:val="Lienhypertexte"/>
            <w:rFonts w:cs="Arial"/>
            <w:color w:val="auto"/>
            <w:szCs w:val="22"/>
          </w:rPr>
          <w:t>www.am.cfwb.be</w:t>
        </w:r>
      </w:hyperlink>
      <w:r>
        <w:rPr>
          <w:rFonts w:cs="Arial"/>
          <w:szCs w:val="22"/>
        </w:rPr>
        <w:t>) et le portail des applications métier.</w:t>
      </w:r>
    </w:p>
    <w:p>
      <w:pPr>
        <w:jc w:val="both"/>
        <w:rPr>
          <w:rFonts w:cs="Arial"/>
          <w:szCs w:val="22"/>
        </w:rPr>
      </w:pPr>
    </w:p>
    <w:p>
      <w:pPr>
        <w:jc w:val="both"/>
        <w:rPr>
          <w:rFonts w:cs="Arial"/>
          <w:szCs w:val="22"/>
        </w:rPr>
      </w:pPr>
    </w:p>
    <w:p>
      <w:pPr>
        <w:jc w:val="both"/>
        <w:rPr>
          <w:rFonts w:cs="Arial"/>
          <w:szCs w:val="22"/>
        </w:rPr>
      </w:pPr>
      <w:r>
        <w:rPr>
          <w:rFonts w:cs="Arial"/>
          <w:noProof/>
          <w:szCs w:val="22"/>
          <w:lang w:val="fr-BE" w:eastAsia="fr-BE"/>
        </w:rPr>
        <w:drawing>
          <wp:inline distT="0" distB="0" distL="0" distR="0">
            <wp:extent cx="5962650" cy="3438525"/>
            <wp:effectExtent l="0" t="0" r="0"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1">
                      <a:extLst>
                        <a:ext uri="{28A0092B-C50C-407E-A947-70E740481C1C}">
                          <a14:useLocalDpi xmlns:a14="http://schemas.microsoft.com/office/drawing/2010/main" val="0"/>
                        </a:ext>
                      </a:extLst>
                    </a:blip>
                    <a:srcRect l="25002" t="11580" r="25722" b="38445"/>
                    <a:stretch>
                      <a:fillRect/>
                    </a:stretch>
                  </pic:blipFill>
                  <pic:spPr bwMode="auto">
                    <a:xfrm>
                      <a:off x="0" y="0"/>
                      <a:ext cx="5962650" cy="3438525"/>
                    </a:xfrm>
                    <a:prstGeom prst="rect">
                      <a:avLst/>
                    </a:prstGeom>
                    <a:noFill/>
                    <a:ln>
                      <a:noFill/>
                    </a:ln>
                  </pic:spPr>
                </pic:pic>
              </a:graphicData>
            </a:graphic>
          </wp:inline>
        </w:drawing>
      </w:r>
    </w:p>
    <w:p>
      <w:pPr>
        <w:jc w:val="both"/>
        <w:rPr>
          <w:rFonts w:cs="Arial"/>
          <w:szCs w:val="22"/>
        </w:rPr>
      </w:pPr>
    </w:p>
    <w:p>
      <w:pPr>
        <w:jc w:val="both"/>
        <w:rPr>
          <w:rFonts w:cs="Arial"/>
          <w:i/>
          <w:szCs w:val="22"/>
          <w:u w:val="single"/>
        </w:rPr>
      </w:pPr>
      <w:r>
        <w:rPr>
          <w:rFonts w:cs="Arial"/>
          <w:i/>
          <w:szCs w:val="22"/>
          <w:u w:val="single"/>
        </w:rPr>
        <w:t>Création – Modification – Révocation d’un compte CERBERE</w:t>
      </w:r>
    </w:p>
    <w:p>
      <w:pPr>
        <w:spacing w:before="120"/>
        <w:jc w:val="both"/>
        <w:rPr>
          <w:rFonts w:cs="Arial"/>
          <w:szCs w:val="22"/>
        </w:rPr>
      </w:pPr>
      <w:r>
        <w:rPr>
          <w:rFonts w:cs="Arial"/>
          <w:szCs w:val="22"/>
        </w:rPr>
        <w:t xml:space="preserve">Les comptes «école » de type </w:t>
      </w:r>
      <w:hyperlink r:id="rId152" w:history="1">
        <w:r>
          <w:rPr>
            <w:rStyle w:val="Lienhypertexte"/>
            <w:szCs w:val="22"/>
          </w:rPr>
          <w:t>ec00xxxx@adm.cfwb.be</w:t>
        </w:r>
      </w:hyperlink>
      <w:r>
        <w:rPr>
          <w:rFonts w:cs="Arial"/>
          <w:szCs w:val="22"/>
        </w:rPr>
        <w:t xml:space="preserve"> ou « Po » </w:t>
      </w:r>
      <w:hyperlink r:id="rId153" w:history="1">
        <w:r>
          <w:rPr>
            <w:rStyle w:val="Lienhypertexte"/>
            <w:szCs w:val="22"/>
          </w:rPr>
          <w:t>po00xxxx@adm.cfwb.be</w:t>
        </w:r>
      </w:hyperlink>
      <w:r>
        <w:rPr>
          <w:rFonts w:cs="Arial"/>
          <w:szCs w:val="22"/>
        </w:rPr>
        <w:t xml:space="preserve"> ne permettent pas de garantir un niveau de sécurité suffisant, pour les applications faisant référence à des données à caractère personnel figurant dans le Registre national. </w:t>
      </w:r>
    </w:p>
    <w:p>
      <w:pPr>
        <w:jc w:val="both"/>
        <w:rPr>
          <w:rFonts w:cs="Arial"/>
          <w:szCs w:val="22"/>
        </w:rPr>
      </w:pPr>
    </w:p>
    <w:p>
      <w:pPr>
        <w:jc w:val="both"/>
        <w:rPr>
          <w:rFonts w:cs="Arial"/>
          <w:szCs w:val="22"/>
        </w:rPr>
      </w:pPr>
      <w:r>
        <w:rPr>
          <w:rFonts w:cs="Arial"/>
          <w:szCs w:val="22"/>
        </w:rPr>
        <w:t xml:space="preserve">Il est indispensable de disposer d’un compte personnel CERBERE pour utiliser les WebServices Siel. La </w:t>
      </w:r>
      <w:hyperlink r:id="rId154" w:history="1">
        <w:r>
          <w:rPr>
            <w:rStyle w:val="Lienhypertexte"/>
            <w:rFonts w:cs="Arial"/>
            <w:szCs w:val="22"/>
          </w:rPr>
          <w:t>circulaire 5681 du 12/04/2016</w:t>
        </w:r>
      </w:hyperlink>
      <w:r>
        <w:rPr>
          <w:rFonts w:cs="Arial"/>
          <w:szCs w:val="22"/>
        </w:rPr>
        <w:t xml:space="preserve"> explique la procédure à suivre pour créer ce compte personnalisé. </w:t>
      </w:r>
    </w:p>
    <w:p>
      <w:pPr>
        <w:pStyle w:val="Paragraphedeliste"/>
        <w:ind w:left="4320"/>
        <w:jc w:val="both"/>
        <w:rPr>
          <w:rFonts w:cs="Arial"/>
          <w:szCs w:val="22"/>
          <w:highlight w:val="yellow"/>
        </w:rPr>
      </w:pPr>
    </w:p>
    <w:p>
      <w:pPr>
        <w:jc w:val="both"/>
        <w:rPr>
          <w:rFonts w:cs="Arial"/>
          <w:szCs w:val="22"/>
        </w:rPr>
      </w:pPr>
    </w:p>
    <w:p>
      <w:pPr>
        <w:pStyle w:val="Titre2"/>
      </w:pPr>
      <w:bookmarkStart w:id="1943" w:name="_Toc450645418"/>
      <w:bookmarkStart w:id="1944" w:name="_Toc453942656"/>
      <w:bookmarkStart w:id="1945" w:name="_Toc454888273"/>
      <w:bookmarkStart w:id="1946" w:name="_Toc486241894"/>
      <w:r>
        <w:t xml:space="preserve">Chapitre 10.1. Les applications métier de </w:t>
      </w:r>
      <w:smartTag w:uri="urn:schemas-microsoft-com:office:smarttags" w:element="PersonName">
        <w:smartTagPr>
          <w:attr w:name="ProductID" w:val="la DGEO"/>
        </w:smartTagPr>
        <w:r>
          <w:t>la DGEO</w:t>
        </w:r>
      </w:smartTag>
      <w:bookmarkEnd w:id="1943"/>
      <w:bookmarkEnd w:id="1944"/>
      <w:bookmarkEnd w:id="1945"/>
      <w:bookmarkEnd w:id="1946"/>
    </w:p>
    <w:p>
      <w:pPr>
        <w:jc w:val="both"/>
        <w:rPr>
          <w:rFonts w:cs="Arial"/>
          <w:b/>
          <w:bCs/>
          <w:szCs w:val="22"/>
        </w:rPr>
      </w:pPr>
    </w:p>
    <w:p>
      <w:pPr>
        <w:jc w:val="both"/>
        <w:rPr>
          <w:rFonts w:cs="Arial"/>
          <w:b/>
          <w:bCs/>
          <w:szCs w:val="22"/>
        </w:rPr>
      </w:pPr>
      <w:r>
        <w:rPr>
          <w:rFonts w:cs="Arial"/>
          <w:b/>
          <w:bCs/>
          <w:szCs w:val="22"/>
        </w:rPr>
        <w:t>SIEL</w:t>
      </w:r>
    </w:p>
    <w:p>
      <w:pPr>
        <w:jc w:val="both"/>
        <w:rPr>
          <w:rFonts w:cs="Arial"/>
          <w:szCs w:val="22"/>
        </w:rPr>
      </w:pPr>
    </w:p>
    <w:p>
      <w:pPr>
        <w:jc w:val="both"/>
        <w:rPr>
          <w:rFonts w:cs="Arial"/>
          <w:szCs w:val="22"/>
        </w:rPr>
      </w:pPr>
      <w:r>
        <w:rPr>
          <w:rFonts w:cs="Arial"/>
          <w:szCs w:val="22"/>
        </w:rPr>
        <w:t xml:space="preserve">L’application SIEL est destinée à la gestion et à l’inscription des élèves. Ce sont les données de SIEL qui sont globalisées pour déterminer les moyens financiers et humains dont disposera l’établissement. Cette application est une </w:t>
      </w:r>
      <w:r>
        <w:rPr>
          <w:rFonts w:cs="Arial"/>
          <w:szCs w:val="22"/>
          <w:u w:val="single"/>
        </w:rPr>
        <w:t>base centrale commune à toutes les écoles</w:t>
      </w:r>
      <w:r>
        <w:rPr>
          <w:rFonts w:cs="Arial"/>
          <w:szCs w:val="22"/>
        </w:rPr>
        <w:t>. Il est donc impératif que les mises à jour y soient faites le plus régulièrement possible, voire en temps réel.</w:t>
      </w:r>
    </w:p>
    <w:p>
      <w:pPr>
        <w:jc w:val="both"/>
        <w:rPr>
          <w:rFonts w:cs="Arial"/>
          <w:szCs w:val="22"/>
        </w:rPr>
      </w:pPr>
    </w:p>
    <w:p>
      <w:pPr>
        <w:jc w:val="both"/>
        <w:rPr>
          <w:rFonts w:cs="Arial"/>
          <w:szCs w:val="22"/>
        </w:rPr>
      </w:pPr>
      <w:r>
        <w:rPr>
          <w:rFonts w:cs="Arial"/>
          <w:szCs w:val="22"/>
        </w:rPr>
        <w:t>Les utilisateurs ont accès à SIEL soit directement depuis le portail des applications métiers, soit par un système d’interfaçage accessible depuis leur application locale (type WinPage ou ProEco). La principale différence est qu’ils complètent ou corrigent directement dans l’application s’ils sont utilisateurs web tandis qu’ils envoient une fiche complète ou modifiée s’ils sont utilisateurs d’une application locale.</w:t>
      </w:r>
    </w:p>
    <w:p>
      <w:pPr>
        <w:jc w:val="both"/>
        <w:rPr>
          <w:rFonts w:cs="Arial"/>
          <w:szCs w:val="22"/>
        </w:rPr>
      </w:pPr>
    </w:p>
    <w:p>
      <w:pPr>
        <w:jc w:val="both"/>
        <w:rPr>
          <w:rFonts w:cs="Arial"/>
          <w:szCs w:val="22"/>
        </w:rPr>
      </w:pPr>
      <w:r>
        <w:rPr>
          <w:rFonts w:cs="Arial"/>
          <w:szCs w:val="22"/>
        </w:rPr>
        <w:t xml:space="preserve">On trouvera davantage de détails dans la circulaire </w:t>
      </w:r>
      <w:hyperlink r:id="rId155" w:history="1">
        <w:r>
          <w:rPr>
            <w:rStyle w:val="Lienhypertexte"/>
            <w:rFonts w:cs="Arial"/>
            <w:color w:val="auto"/>
            <w:szCs w:val="22"/>
          </w:rPr>
          <w:t>5527 du 14 décembre 2015</w:t>
        </w:r>
      </w:hyperlink>
      <w:r>
        <w:rPr>
          <w:rFonts w:cs="Arial"/>
          <w:szCs w:val="22"/>
        </w:rPr>
        <w:t>.</w:t>
      </w:r>
    </w:p>
    <w:p>
      <w:pPr>
        <w:jc w:val="both"/>
        <w:rPr>
          <w:rFonts w:cs="Arial"/>
          <w:i/>
          <w:szCs w:val="22"/>
        </w:rPr>
      </w:pPr>
    </w:p>
    <w:p>
      <w:pPr>
        <w:autoSpaceDE w:val="0"/>
        <w:autoSpaceDN w:val="0"/>
        <w:adjustRightInd w:val="0"/>
        <w:spacing w:after="120"/>
        <w:jc w:val="both"/>
        <w:rPr>
          <w:rFonts w:eastAsiaTheme="minorHAnsi" w:cs="Arial"/>
          <w:szCs w:val="22"/>
          <w:lang w:val="fr-BE" w:eastAsia="en-US"/>
        </w:rPr>
      </w:pPr>
      <w:r>
        <w:rPr>
          <w:rFonts w:eastAsiaTheme="minorHAnsi" w:cs="Arial"/>
          <w:szCs w:val="22"/>
          <w:lang w:val="fr-BE" w:eastAsia="en-US"/>
        </w:rPr>
        <w:t xml:space="preserve">Afin d’assurer le traitement optimal des demandes de Helpdesk à propos de SIEL (en direct ou via interface depuis ProEco ou WinPage), les différents services compétents mettent à votre disposition les accès suivants : </w:t>
      </w:r>
    </w:p>
    <w:tbl>
      <w:tblPr>
        <w:tblW w:w="95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7616"/>
      </w:tblGrid>
      <w:tr>
        <w:trPr>
          <w:trHeight w:val="760"/>
        </w:trPr>
        <w:tc>
          <w:tcPr>
            <w:tcW w:w="1946" w:type="dxa"/>
            <w:vAlign w:val="center"/>
          </w:tcPr>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Infodidac (ProEco) </w:t>
            </w:r>
          </w:p>
        </w:tc>
        <w:tc>
          <w:tcPr>
            <w:tcW w:w="7616" w:type="dxa"/>
          </w:tcPr>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Tél. : 02 256 72 00 </w:t>
            </w:r>
          </w:p>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Courriel : siel@infodidac.be </w:t>
            </w:r>
          </w:p>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Mode d’emploi pour l’interface : </w:t>
            </w:r>
            <w:hyperlink r:id="rId156" w:history="1">
              <w:r>
                <w:rPr>
                  <w:rStyle w:val="Lienhypertexte"/>
                  <w:rFonts w:eastAsiaTheme="minorHAnsi" w:cs="Arial"/>
                  <w:color w:val="auto"/>
                  <w:szCs w:val="22"/>
                  <w:lang w:val="fr-BE" w:eastAsia="en-US"/>
                </w:rPr>
                <w:t>http://www.infodidac.be/siel</w:t>
              </w:r>
            </w:hyperlink>
            <w:r>
              <w:rPr>
                <w:rFonts w:eastAsiaTheme="minorHAnsi" w:cs="Arial"/>
                <w:szCs w:val="22"/>
                <w:lang w:val="fr-BE" w:eastAsia="en-US"/>
              </w:rPr>
              <w:t xml:space="preserve"> </w:t>
            </w:r>
          </w:p>
        </w:tc>
      </w:tr>
      <w:tr>
        <w:trPr>
          <w:trHeight w:val="842"/>
        </w:trPr>
        <w:tc>
          <w:tcPr>
            <w:tcW w:w="1946" w:type="dxa"/>
            <w:vAlign w:val="center"/>
          </w:tcPr>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WinPage </w:t>
            </w:r>
          </w:p>
        </w:tc>
        <w:tc>
          <w:tcPr>
            <w:tcW w:w="7616" w:type="dxa"/>
          </w:tcPr>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Tél. : 04 226 93 97 </w:t>
            </w:r>
          </w:p>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Courriels : andre.hanussek@cecp.be / thien.khuc@cecp.be </w:t>
            </w:r>
          </w:p>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Mode d’emploi pour l’interface : </w:t>
            </w:r>
            <w:hyperlink r:id="rId157" w:history="1">
              <w:r>
                <w:rPr>
                  <w:rStyle w:val="Lienhypertexte"/>
                  <w:rFonts w:eastAsiaTheme="minorHAnsi" w:cs="Arial"/>
                  <w:color w:val="auto"/>
                  <w:szCs w:val="22"/>
                  <w:lang w:val="fr-BE" w:eastAsia="en-US"/>
                </w:rPr>
                <w:t>http://www.winpage.be/Pages/FAQSiel.html</w:t>
              </w:r>
            </w:hyperlink>
            <w:r>
              <w:rPr>
                <w:rFonts w:eastAsiaTheme="minorHAnsi" w:cs="Arial"/>
                <w:szCs w:val="22"/>
                <w:lang w:val="fr-BE" w:eastAsia="en-US"/>
              </w:rPr>
              <w:t xml:space="preserve"> </w:t>
            </w:r>
          </w:p>
        </w:tc>
      </w:tr>
      <w:tr>
        <w:trPr>
          <w:trHeight w:val="608"/>
        </w:trPr>
        <w:tc>
          <w:tcPr>
            <w:tcW w:w="1946" w:type="dxa"/>
            <w:vAlign w:val="center"/>
          </w:tcPr>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Etnic </w:t>
            </w:r>
          </w:p>
        </w:tc>
        <w:tc>
          <w:tcPr>
            <w:tcW w:w="7616" w:type="dxa"/>
          </w:tcPr>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Tél. : 02 800 10 10 </w:t>
            </w:r>
          </w:p>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Courriel : support@etnic.be </w:t>
            </w:r>
          </w:p>
        </w:tc>
      </w:tr>
      <w:tr>
        <w:trPr>
          <w:trHeight w:val="982"/>
        </w:trPr>
        <w:tc>
          <w:tcPr>
            <w:tcW w:w="1946" w:type="dxa"/>
            <w:vAlign w:val="center"/>
          </w:tcPr>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DGEO </w:t>
            </w:r>
          </w:p>
          <w:p>
            <w:pPr>
              <w:autoSpaceDE w:val="0"/>
              <w:autoSpaceDN w:val="0"/>
              <w:adjustRightInd w:val="0"/>
              <w:rPr>
                <w:rFonts w:eastAsiaTheme="minorHAnsi" w:cs="Arial"/>
                <w:szCs w:val="22"/>
                <w:lang w:val="fr-BE" w:eastAsia="en-US"/>
              </w:rPr>
            </w:pPr>
            <w:r>
              <w:rPr>
                <w:rFonts w:eastAsiaTheme="minorHAnsi" w:cs="Arial"/>
                <w:b/>
                <w:bCs/>
                <w:iCs/>
                <w:szCs w:val="22"/>
                <w:lang w:val="fr-BE" w:eastAsia="en-US"/>
              </w:rPr>
              <w:t xml:space="preserve"> </w:t>
            </w:r>
          </w:p>
        </w:tc>
        <w:tc>
          <w:tcPr>
            <w:tcW w:w="7616" w:type="dxa"/>
          </w:tcPr>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Tél. : 02 690 82 55 </w:t>
            </w:r>
          </w:p>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Ce numéro est accessible du lundi au vendredi de 8h30 à 16h30. </w:t>
            </w:r>
          </w:p>
          <w:p>
            <w:pPr>
              <w:autoSpaceDE w:val="0"/>
              <w:autoSpaceDN w:val="0"/>
              <w:adjustRightInd w:val="0"/>
              <w:rPr>
                <w:rFonts w:eastAsiaTheme="minorHAnsi" w:cs="Arial"/>
                <w:szCs w:val="22"/>
                <w:lang w:val="fr-BE" w:eastAsia="en-US"/>
              </w:rPr>
            </w:pPr>
            <w:r>
              <w:rPr>
                <w:rFonts w:eastAsiaTheme="minorHAnsi" w:cs="Arial"/>
                <w:szCs w:val="22"/>
                <w:lang w:val="fr-BE" w:eastAsia="en-US"/>
              </w:rPr>
              <w:t xml:space="preserve">Comme pour les autres services cités ci-dessus, la mise sur pied de ce numéro unique au sein de la DGEO garantira la prise en charge de vos appels et un suivi de vos demandes. </w:t>
            </w:r>
          </w:p>
        </w:tc>
      </w:tr>
    </w:tbl>
    <w:p>
      <w:pPr>
        <w:jc w:val="both"/>
        <w:rPr>
          <w:rFonts w:cs="Arial"/>
          <w:i/>
          <w:szCs w:val="22"/>
        </w:rPr>
      </w:pPr>
    </w:p>
    <w:p>
      <w:pPr>
        <w:jc w:val="both"/>
        <w:rPr>
          <w:rFonts w:cs="Arial"/>
          <w:szCs w:val="22"/>
        </w:rPr>
      </w:pPr>
      <w:r>
        <w:rPr>
          <w:rFonts w:cs="Arial"/>
          <w:b/>
          <w:bCs/>
          <w:szCs w:val="22"/>
        </w:rPr>
        <w:t>SM</w:t>
      </w:r>
    </w:p>
    <w:p>
      <w:pPr>
        <w:jc w:val="both"/>
        <w:rPr>
          <w:rFonts w:cs="Arial"/>
          <w:szCs w:val="22"/>
        </w:rPr>
      </w:pPr>
    </w:p>
    <w:p>
      <w:pPr>
        <w:jc w:val="both"/>
        <w:rPr>
          <w:rFonts w:cs="Arial"/>
          <w:szCs w:val="22"/>
        </w:rPr>
      </w:pPr>
      <w:r>
        <w:rPr>
          <w:rFonts w:cs="Arial"/>
          <w:szCs w:val="22"/>
        </w:rPr>
        <w:t xml:space="preserve">L’application SM gère les différents paramètres et calculs en vue d’obtenir la subvention/dotation relative aux surveillances de midi effectuées pendant l’année scolaire. Elle concerne les établissements qui organisent cette surveillance. L’application offre la possibilité d’introduire toutes les données nécessaires pour gérer les dossiers des surveillants et calculer le montant de la subvention/dotation. </w:t>
      </w:r>
    </w:p>
    <w:p>
      <w:pPr>
        <w:jc w:val="both"/>
        <w:rPr>
          <w:rFonts w:cs="Arial"/>
          <w:szCs w:val="22"/>
        </w:rPr>
      </w:pPr>
    </w:p>
    <w:p>
      <w:pPr>
        <w:jc w:val="both"/>
        <w:rPr>
          <w:rFonts w:cs="Arial"/>
          <w:szCs w:val="22"/>
        </w:rPr>
      </w:pPr>
      <w:r>
        <w:rPr>
          <w:rFonts w:cs="Arial"/>
          <w:szCs w:val="22"/>
        </w:rPr>
        <w:t>La possibilité est offerte, pour l’utilisateur qui en fait la demande, d’encoder durant toute l’année les différents surveillants ainsi que de générer l’état de prestation pour chacun.</w:t>
      </w:r>
    </w:p>
    <w:p>
      <w:pPr>
        <w:jc w:val="both"/>
        <w:rPr>
          <w:rFonts w:cs="Arial"/>
          <w:szCs w:val="22"/>
        </w:rPr>
      </w:pPr>
    </w:p>
    <w:p>
      <w:pPr>
        <w:jc w:val="both"/>
        <w:rPr>
          <w:rFonts w:cs="Arial"/>
          <w:b/>
          <w:szCs w:val="22"/>
        </w:rPr>
      </w:pPr>
      <w:r>
        <w:rPr>
          <w:rFonts w:cs="Arial"/>
          <w:b/>
          <w:szCs w:val="22"/>
        </w:rPr>
        <w:t>PRIMVER</w:t>
      </w:r>
    </w:p>
    <w:p>
      <w:pPr>
        <w:jc w:val="both"/>
        <w:rPr>
          <w:rFonts w:cs="Arial"/>
          <w:szCs w:val="22"/>
        </w:rPr>
      </w:pPr>
    </w:p>
    <w:p>
      <w:pPr>
        <w:jc w:val="both"/>
        <w:rPr>
          <w:rFonts w:cs="Arial"/>
          <w:szCs w:val="22"/>
        </w:rPr>
      </w:pPr>
      <w:r>
        <w:rPr>
          <w:rFonts w:cs="Arial"/>
          <w:szCs w:val="22"/>
        </w:rPr>
        <w:t xml:space="preserve">L’application PRIMVER collecte les populations scolaires et calcule l’encadrement, c’est-à-dire le nombre d’emplois qui sont subventionnés par </w:t>
      </w:r>
      <w:smartTag w:uri="urn:schemas-microsoft-com:office:smarttags" w:element="PersonName">
        <w:smartTagPr>
          <w:attr w:name="ProductID" w:val="la Communaut￩"/>
        </w:smartTagPr>
        <w:r>
          <w:rPr>
            <w:rFonts w:cs="Arial"/>
            <w:szCs w:val="22"/>
          </w:rPr>
          <w:t>la Communauté</w:t>
        </w:r>
      </w:smartTag>
      <w:r>
        <w:rPr>
          <w:rFonts w:cs="Arial"/>
          <w:szCs w:val="22"/>
        </w:rPr>
        <w:t xml:space="preserve"> française dans l’enseignement maternel et primaire. Les populations scolaires sont recensées dans chaque implantation et à différentes dates de comptage de l’année scolaire. Ces nombres d’élèves déterminent, selon différents modes de calculs, le nombre d’instituteurs maternels, primaires, maîtres d’éducation physique, maîtres de langues modernes et maîtres de cours philosophiques que les écoles peuvent engager.</w:t>
      </w:r>
    </w:p>
    <w:p>
      <w:pPr>
        <w:jc w:val="both"/>
        <w:rPr>
          <w:rFonts w:cs="Arial"/>
          <w:szCs w:val="22"/>
        </w:rPr>
      </w:pPr>
    </w:p>
    <w:p>
      <w:pPr>
        <w:jc w:val="both"/>
        <w:rPr>
          <w:rFonts w:cs="Arial"/>
          <w:szCs w:val="22"/>
        </w:rPr>
      </w:pPr>
    </w:p>
    <w:p>
      <w:pPr>
        <w:jc w:val="both"/>
        <w:rPr>
          <w:rFonts w:cs="Arial"/>
          <w:b/>
          <w:szCs w:val="22"/>
        </w:rPr>
      </w:pPr>
      <w:r>
        <w:rPr>
          <w:rFonts w:cs="Arial"/>
          <w:b/>
          <w:szCs w:val="22"/>
        </w:rPr>
        <w:t>PLAF</w:t>
      </w:r>
    </w:p>
    <w:p>
      <w:pPr>
        <w:jc w:val="both"/>
        <w:rPr>
          <w:rFonts w:cs="Arial"/>
          <w:szCs w:val="22"/>
        </w:rPr>
      </w:pPr>
    </w:p>
    <w:p>
      <w:pPr>
        <w:jc w:val="both"/>
        <w:rPr>
          <w:rFonts w:cs="Arial"/>
          <w:szCs w:val="22"/>
        </w:rPr>
      </w:pPr>
      <w:r>
        <w:rPr>
          <w:rFonts w:cs="Arial"/>
          <w:szCs w:val="22"/>
        </w:rPr>
        <w:t>L’application PLAF permet aux chefs d'établissement et à leur pouvoir organisateur d'encoder le nombre de places disponibles, par année d'études et par type, dans chacune de leurs implantations. Cette collecte d'informations permet d'effectuer une analyse continue de l'adéquation entre l'offre et la demande de places dans l'enseignement fondamental et d'informer plus adéquatement les parents en recherche d'une école pour leur enfant.</w:t>
      </w:r>
    </w:p>
    <w:p>
      <w:pPr>
        <w:pStyle w:val="Default"/>
        <w:jc w:val="both"/>
        <w:rPr>
          <w:rFonts w:ascii="Arial" w:hAnsi="Arial" w:cs="Arial"/>
          <w:color w:val="auto"/>
          <w:sz w:val="22"/>
          <w:szCs w:val="22"/>
        </w:rPr>
      </w:pPr>
      <w:r>
        <w:rPr>
          <w:rFonts w:ascii="Arial" w:hAnsi="Arial" w:cs="Arial"/>
          <w:color w:val="auto"/>
          <w:sz w:val="22"/>
          <w:szCs w:val="22"/>
        </w:rPr>
        <w:t>L'information doit être transmise à tout moment de l'année pour l'année scolaire en cours et à partir du mois de janvier pour l'année scolaire suivante.</w:t>
      </w:r>
    </w:p>
    <w:p>
      <w:pPr>
        <w:pStyle w:val="Default"/>
        <w:jc w:val="both"/>
        <w:rPr>
          <w:rFonts w:ascii="Arial" w:hAnsi="Arial" w:cs="Arial"/>
          <w:color w:val="auto"/>
          <w:sz w:val="22"/>
          <w:szCs w:val="22"/>
        </w:rPr>
      </w:pPr>
      <w:r>
        <w:rPr>
          <w:rFonts w:ascii="Arial" w:hAnsi="Arial" w:cs="Arial"/>
          <w:color w:val="auto"/>
          <w:sz w:val="22"/>
          <w:szCs w:val="22"/>
        </w:rPr>
        <w:t xml:space="preserve">Voir les circulaires </w:t>
      </w:r>
      <w:hyperlink r:id="rId158" w:history="1">
        <w:r>
          <w:rPr>
            <w:rStyle w:val="Lienhypertexte"/>
            <w:rFonts w:ascii="Arial" w:hAnsi="Arial" w:cs="Arial"/>
            <w:color w:val="auto"/>
            <w:sz w:val="22"/>
            <w:szCs w:val="22"/>
          </w:rPr>
          <w:t>4981 du 5/09/2014</w:t>
        </w:r>
      </w:hyperlink>
      <w:r>
        <w:rPr>
          <w:rFonts w:ascii="Arial" w:hAnsi="Arial" w:cs="Arial"/>
          <w:color w:val="auto"/>
          <w:sz w:val="22"/>
          <w:szCs w:val="22"/>
        </w:rPr>
        <w:t xml:space="preserve"> et </w:t>
      </w:r>
      <w:hyperlink r:id="rId159" w:history="1">
        <w:r>
          <w:rPr>
            <w:rStyle w:val="Lienhypertexte"/>
            <w:rFonts w:ascii="Arial" w:hAnsi="Arial" w:cs="Arial"/>
            <w:color w:val="auto"/>
            <w:sz w:val="22"/>
            <w:szCs w:val="22"/>
          </w:rPr>
          <w:t>5130 du 22/01/2015</w:t>
        </w:r>
      </w:hyperlink>
    </w:p>
    <w:p>
      <w:pPr>
        <w:pStyle w:val="Default"/>
        <w:jc w:val="both"/>
        <w:rPr>
          <w:rFonts w:ascii="Arial" w:hAnsi="Arial" w:cs="Arial"/>
          <w:b/>
          <w:i/>
          <w:color w:val="auto"/>
          <w:sz w:val="22"/>
          <w:szCs w:val="22"/>
          <w:u w:val="single"/>
        </w:rPr>
      </w:pPr>
    </w:p>
    <w:p>
      <w:pPr>
        <w:pStyle w:val="Default"/>
        <w:jc w:val="both"/>
        <w:rPr>
          <w:rFonts w:ascii="Arial" w:hAnsi="Arial" w:cs="Arial"/>
          <w:b/>
          <w:i/>
          <w:color w:val="auto"/>
          <w:sz w:val="22"/>
          <w:szCs w:val="22"/>
          <w:u w:val="single"/>
        </w:rPr>
      </w:pPr>
    </w:p>
    <w:p>
      <w:pPr>
        <w:pStyle w:val="Titre2"/>
      </w:pPr>
      <w:bookmarkStart w:id="1947" w:name="_Toc450645419"/>
      <w:bookmarkStart w:id="1948" w:name="_Toc453942657"/>
      <w:bookmarkStart w:id="1949" w:name="_Toc454888274"/>
      <w:bookmarkStart w:id="1950" w:name="_Toc486241895"/>
      <w:r>
        <w:t xml:space="preserve">Chapitre 10.2. Les formulaires électroniques de </w:t>
      </w:r>
      <w:smartTag w:uri="urn:schemas-microsoft-com:office:smarttags" w:element="PersonName">
        <w:smartTagPr>
          <w:attr w:name="ProductID" w:val="la DGEO"/>
        </w:smartTagPr>
        <w:r>
          <w:t>la DGEO</w:t>
        </w:r>
      </w:smartTag>
      <w:bookmarkEnd w:id="1947"/>
      <w:bookmarkEnd w:id="1948"/>
      <w:bookmarkEnd w:id="1949"/>
      <w:bookmarkEnd w:id="1950"/>
    </w:p>
    <w:p>
      <w:pPr>
        <w:pStyle w:val="Default"/>
        <w:spacing w:before="120" w:after="120"/>
        <w:jc w:val="both"/>
        <w:rPr>
          <w:rFonts w:ascii="Arial" w:hAnsi="Arial" w:cs="Arial"/>
          <w:b/>
          <w:color w:val="auto"/>
          <w:sz w:val="22"/>
          <w:szCs w:val="22"/>
        </w:rPr>
      </w:pPr>
    </w:p>
    <w:p>
      <w:pPr>
        <w:pStyle w:val="Default"/>
        <w:jc w:val="both"/>
        <w:rPr>
          <w:rFonts w:ascii="Arial" w:hAnsi="Arial" w:cs="Arial"/>
          <w:b/>
          <w:color w:val="auto"/>
          <w:sz w:val="22"/>
          <w:szCs w:val="22"/>
        </w:rPr>
      </w:pPr>
      <w:r>
        <w:rPr>
          <w:rFonts w:ascii="Arial" w:hAnsi="Arial" w:cs="Arial"/>
          <w:b/>
          <w:color w:val="auto"/>
          <w:sz w:val="22"/>
          <w:szCs w:val="22"/>
        </w:rPr>
        <w:t>OBLISCOL</w:t>
      </w:r>
    </w:p>
    <w:p>
      <w:pPr>
        <w:pStyle w:val="Corpsdetexte2"/>
        <w:rPr>
          <w:szCs w:val="22"/>
        </w:rPr>
      </w:pPr>
    </w:p>
    <w:p>
      <w:pPr>
        <w:pStyle w:val="Corpsdetexte2"/>
        <w:rPr>
          <w:szCs w:val="22"/>
        </w:rPr>
      </w:pPr>
      <w:r>
        <w:rPr>
          <w:szCs w:val="22"/>
        </w:rPr>
        <w:t xml:space="preserve">ObliScol est un formulaire électronique de signalement des absences injustifiées au Service du contrôle de l’obligation scolaire. Il est interactif, car il offre des fonctions d’aide au remplissage en lien avec Fase (exemples : pré-remplissage des zones, liste de choix multiples, réponses préenregistrées, contrôle de la vraisemblance des réponses, lien avec SIEL pour les coordonnées de l’élève et des responsables...). </w:t>
      </w:r>
      <w:r>
        <w:rPr>
          <w:bCs/>
          <w:szCs w:val="22"/>
        </w:rPr>
        <w:t>Dès</w:t>
      </w:r>
      <w:r>
        <w:rPr>
          <w:b/>
          <w:bCs/>
          <w:szCs w:val="22"/>
        </w:rPr>
        <w:t xml:space="preserve"> </w:t>
      </w:r>
      <w:r>
        <w:rPr>
          <w:bCs/>
          <w:szCs w:val="22"/>
        </w:rPr>
        <w:t>que l’élève compte plus de 9 demi-journées d’absence injustifiée</w:t>
      </w:r>
      <w:r>
        <w:rPr>
          <w:szCs w:val="22"/>
        </w:rPr>
        <w:t>, le chef d’établissement le signale afin de permettre à l’administration d’opérer un suivi dans les plus brefs délais.</w:t>
      </w:r>
    </w:p>
    <w:p>
      <w:pPr>
        <w:pStyle w:val="Corpsdetexte2"/>
        <w:rPr>
          <w:szCs w:val="22"/>
        </w:rPr>
      </w:pPr>
    </w:p>
    <w:p>
      <w:pPr>
        <w:pStyle w:val="Default"/>
        <w:jc w:val="both"/>
        <w:rPr>
          <w:rFonts w:ascii="Arial" w:hAnsi="Arial" w:cs="Arial"/>
          <w:b/>
          <w:color w:val="auto"/>
          <w:sz w:val="22"/>
          <w:szCs w:val="22"/>
        </w:rPr>
      </w:pPr>
      <w:r>
        <w:rPr>
          <w:rFonts w:ascii="Arial" w:hAnsi="Arial" w:cs="Arial"/>
          <w:b/>
          <w:color w:val="auto"/>
          <w:sz w:val="22"/>
          <w:szCs w:val="22"/>
        </w:rPr>
        <w:t>EXCLUSION</w:t>
      </w:r>
    </w:p>
    <w:p>
      <w:pPr>
        <w:pStyle w:val="Corpsdetexte2"/>
        <w:rPr>
          <w:szCs w:val="22"/>
        </w:rPr>
      </w:pPr>
    </w:p>
    <w:p>
      <w:pPr>
        <w:pStyle w:val="Corpsdetexte2"/>
        <w:rPr>
          <w:szCs w:val="22"/>
        </w:rPr>
      </w:pPr>
      <w:r>
        <w:rPr>
          <w:szCs w:val="22"/>
        </w:rPr>
        <w:t>Ce formulaire permet de signaler l’exclusion définitive ou le refus de réinscription d’un élève.</w:t>
      </w:r>
    </w:p>
    <w:p>
      <w:pPr>
        <w:pStyle w:val="Corpsdetexte2"/>
        <w:rPr>
          <w:szCs w:val="22"/>
        </w:rPr>
      </w:pPr>
    </w:p>
    <w:p>
      <w:pPr>
        <w:pStyle w:val="Default"/>
        <w:jc w:val="both"/>
        <w:rPr>
          <w:rFonts w:ascii="Arial" w:hAnsi="Arial" w:cs="Arial"/>
          <w:b/>
          <w:color w:val="auto"/>
          <w:sz w:val="22"/>
          <w:szCs w:val="22"/>
        </w:rPr>
      </w:pPr>
      <w:r>
        <w:rPr>
          <w:rFonts w:ascii="Arial" w:hAnsi="Arial" w:cs="Arial"/>
          <w:b/>
          <w:color w:val="auto"/>
          <w:sz w:val="22"/>
          <w:szCs w:val="22"/>
        </w:rPr>
        <w:t>INSCR-EXCLU</w:t>
      </w:r>
      <w:bookmarkStart w:id="1951" w:name="zonePresentation"/>
      <w:bookmarkEnd w:id="1951"/>
    </w:p>
    <w:p>
      <w:pPr>
        <w:pStyle w:val="Default"/>
        <w:jc w:val="both"/>
        <w:rPr>
          <w:rFonts w:ascii="Arial" w:hAnsi="Arial" w:cs="Arial"/>
          <w:color w:val="auto"/>
          <w:sz w:val="22"/>
          <w:szCs w:val="22"/>
        </w:rPr>
      </w:pPr>
    </w:p>
    <w:p>
      <w:pPr>
        <w:pStyle w:val="Default"/>
        <w:jc w:val="both"/>
        <w:rPr>
          <w:rFonts w:ascii="Arial" w:hAnsi="Arial" w:cs="Arial"/>
          <w:b/>
          <w:color w:val="auto"/>
          <w:sz w:val="22"/>
          <w:szCs w:val="22"/>
        </w:rPr>
      </w:pPr>
      <w:r>
        <w:rPr>
          <w:rFonts w:ascii="Arial" w:hAnsi="Arial" w:cs="Arial"/>
          <w:color w:val="auto"/>
          <w:sz w:val="22"/>
          <w:szCs w:val="22"/>
        </w:rPr>
        <w:t xml:space="preserve">Ce formulaire permet aux chefs d’établissement scolaire de signaler l’inscription d’un élève exclu d’un autre établissement scolaire. Le chef d’établissement signale à </w:t>
      </w:r>
      <w:smartTag w:uri="urn:schemas-microsoft-com:office:smarttags" w:element="PersonName">
        <w:smartTagPr>
          <w:attr w:name="ProductID" w:val="la Direction"/>
        </w:smartTagPr>
        <w:r>
          <w:rPr>
            <w:rFonts w:ascii="Arial" w:hAnsi="Arial" w:cs="Arial"/>
            <w:color w:val="auto"/>
            <w:sz w:val="22"/>
            <w:szCs w:val="22"/>
          </w:rPr>
          <w:t>la Direction</w:t>
        </w:r>
      </w:smartTag>
      <w:r>
        <w:rPr>
          <w:rFonts w:ascii="Arial" w:hAnsi="Arial" w:cs="Arial"/>
          <w:color w:val="auto"/>
          <w:sz w:val="22"/>
          <w:szCs w:val="22"/>
        </w:rPr>
        <w:t xml:space="preserve"> générale de l’Enseignement obligatoire l’inscription d’un élève exclu. L’objectif étant de veiller à la rescolarisation de l’élève exclu dans les meilleurs délais, le formulaire doit être complété dès que l’acte administratif est posé.</w:t>
      </w:r>
    </w:p>
    <w:p>
      <w:pPr>
        <w:pStyle w:val="Corpsdetexte2"/>
        <w:rPr>
          <w:szCs w:val="22"/>
        </w:rPr>
      </w:pPr>
    </w:p>
    <w:p>
      <w:pPr>
        <w:pStyle w:val="Corpsdetexte2"/>
        <w:rPr>
          <w:szCs w:val="22"/>
        </w:rPr>
      </w:pPr>
      <w:r>
        <w:rPr>
          <w:szCs w:val="22"/>
        </w:rPr>
        <w:t xml:space="preserve">D’autres éléments d’information relatifs à ces trois formulaires électronique se trouvent dans la circulaire </w:t>
      </w:r>
      <w:hyperlink r:id="rId160" w:history="1">
        <w:r>
          <w:rPr>
            <w:rStyle w:val="Lienhypertexte"/>
            <w:color w:val="auto"/>
            <w:szCs w:val="22"/>
          </w:rPr>
          <w:t>3783 du 28/10/2011</w:t>
        </w:r>
      </w:hyperlink>
    </w:p>
    <w:p>
      <w:pPr>
        <w:pStyle w:val="Corpsdetexte2"/>
        <w:rPr>
          <w:szCs w:val="22"/>
        </w:rPr>
      </w:pPr>
    </w:p>
    <w:p>
      <w:pPr>
        <w:jc w:val="both"/>
      </w:pPr>
    </w:p>
    <w:p>
      <w:pPr>
        <w:jc w:val="both"/>
      </w:pPr>
    </w:p>
    <w:p>
      <w:pPr>
        <w:jc w:val="both"/>
      </w:pPr>
    </w:p>
    <w:p>
      <w:pPr>
        <w:pStyle w:val="MonTitre1"/>
      </w:pPr>
      <w:bookmarkStart w:id="1952" w:name="_Toc295913853"/>
      <w:bookmarkStart w:id="1953" w:name="_Toc295992210"/>
      <w:r>
        <w:br w:type="page"/>
      </w:r>
      <w:bookmarkStart w:id="1954" w:name="_Toc388277645"/>
      <w:bookmarkStart w:id="1955" w:name="_Toc423420171"/>
      <w:bookmarkStart w:id="1956" w:name="_Toc450645420"/>
      <w:bookmarkStart w:id="1957" w:name="_Toc453942658"/>
      <w:bookmarkStart w:id="1958" w:name="_Toc454888275"/>
      <w:bookmarkStart w:id="1959" w:name="_Toc486241896"/>
      <w:bookmarkEnd w:id="1952"/>
      <w:bookmarkEnd w:id="1953"/>
      <w:r>
        <w:t xml:space="preserve">Titre 11. </w:t>
      </w:r>
      <w:r>
        <w:tab/>
        <w:t>Matières traitées dans d'autres circulaires</w:t>
      </w:r>
      <w:bookmarkEnd w:id="1954"/>
      <w:bookmarkEnd w:id="1955"/>
      <w:bookmarkEnd w:id="1956"/>
      <w:bookmarkEnd w:id="1957"/>
      <w:bookmarkEnd w:id="1958"/>
      <w:bookmarkEnd w:id="1959"/>
    </w:p>
    <w:p>
      <w:pPr>
        <w:spacing w:before="20" w:after="20"/>
        <w:rPr>
          <w:lang w:val="fr-BE"/>
        </w:rPr>
      </w:pPr>
      <w:r>
        <w:rPr>
          <w:lang w:val="fr-BE"/>
        </w:rPr>
        <w:t xml:space="preserve">Liste non exhaustive arrêtée en date du 20 juin 2017, donnée à titre indicatif. </w:t>
      </w:r>
    </w:p>
    <w:p>
      <w:pPr>
        <w:spacing w:before="20" w:after="20"/>
        <w:rPr>
          <w:lang w:val="fr-BE"/>
        </w:rPr>
      </w:pPr>
    </w:p>
    <w:p>
      <w:pPr>
        <w:spacing w:after="120"/>
        <w:rPr>
          <w:b/>
          <w:i/>
          <w:u w:val="single"/>
          <w:lang w:val="fr-BE"/>
        </w:rPr>
      </w:pPr>
      <w:r>
        <w:rPr>
          <w:b/>
          <w:i/>
          <w:u w:val="single"/>
          <w:lang w:val="fr-BE"/>
        </w:rPr>
        <w:t>Circulaires relatives aux applications informatiques</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66"/>
        <w:gridCol w:w="1260"/>
        <w:gridCol w:w="1125"/>
        <w:gridCol w:w="1519"/>
      </w:tblGrid>
      <w:tr>
        <w:trPr>
          <w:trHeight w:hRule="exact" w:val="567"/>
          <w:tblHeader/>
          <w:jc w:val="center"/>
        </w:trPr>
        <w:tc>
          <w:tcPr>
            <w:tcW w:w="7166"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lang w:val="fr-BE"/>
              </w:rPr>
            </w:pPr>
            <w:r>
              <w:rPr>
                <w:b/>
                <w:lang w:val="fr-BE"/>
              </w:rPr>
              <w:t>Matière</w:t>
            </w:r>
          </w:p>
        </w:tc>
        <w:tc>
          <w:tcPr>
            <w:tcW w:w="1260"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rPr>
            </w:pPr>
            <w:r>
              <w:rPr>
                <w:b/>
              </w:rPr>
              <w:t>Réseaux</w:t>
            </w:r>
            <w:r>
              <w:rPr>
                <w:b/>
              </w:rPr>
              <w:br/>
              <w:t>concernés</w:t>
            </w:r>
          </w:p>
        </w:tc>
        <w:tc>
          <w:tcPr>
            <w:tcW w:w="1125"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rPr>
            </w:pPr>
            <w:r>
              <w:rPr>
                <w:b/>
              </w:rPr>
              <w:t xml:space="preserve">N° </w:t>
            </w:r>
            <w:r>
              <w:rPr>
                <w:b/>
              </w:rPr>
              <w:br/>
              <w:t>circulaire</w:t>
            </w:r>
          </w:p>
        </w:tc>
        <w:tc>
          <w:tcPr>
            <w:tcW w:w="1519" w:type="dxa"/>
            <w:tcBorders>
              <w:top w:val="single" w:sz="12" w:space="0" w:color="auto"/>
              <w:left w:val="nil"/>
              <w:bottom w:val="single" w:sz="12" w:space="0" w:color="auto"/>
              <w:right w:val="single" w:sz="12" w:space="0" w:color="auto"/>
            </w:tcBorders>
            <w:vAlign w:val="center"/>
          </w:tcPr>
          <w:p>
            <w:pPr>
              <w:spacing w:before="40" w:after="40"/>
              <w:jc w:val="center"/>
              <w:rPr>
                <w:b/>
              </w:rPr>
            </w:pPr>
            <w:r>
              <w:rPr>
                <w:b/>
              </w:rPr>
              <w:t xml:space="preserve">Date </w:t>
            </w:r>
            <w:r>
              <w:rPr>
                <w:b/>
              </w:rPr>
              <w:br/>
              <w:t>circulaire</w:t>
            </w:r>
          </w:p>
        </w:tc>
      </w:tr>
      <w:tr>
        <w:trPr>
          <w:trHeight w:hRule="exact" w:val="624"/>
          <w:jc w:val="center"/>
        </w:trPr>
        <w:tc>
          <w:tcPr>
            <w:tcW w:w="7166"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Adresse mail administrative des écoles et pouvoirs organisateurs</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4274</w:t>
            </w:r>
          </w:p>
          <w:p>
            <w:pPr>
              <w:spacing w:before="20" w:after="20"/>
              <w:jc w:val="center"/>
              <w:rPr>
                <w:lang w:val="fr-BE"/>
              </w:rPr>
            </w:pPr>
            <w:r>
              <w:rPr>
                <w:lang w:val="fr-BE"/>
              </w:rPr>
              <w:t>4363</w:t>
            </w:r>
          </w:p>
        </w:tc>
        <w:tc>
          <w:tcPr>
            <w:tcW w:w="1519"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21/01/2013</w:t>
            </w:r>
          </w:p>
          <w:p>
            <w:pPr>
              <w:spacing w:before="20" w:after="20"/>
              <w:jc w:val="center"/>
              <w:rPr>
                <w:lang w:val="fr-BE"/>
              </w:rPr>
            </w:pPr>
            <w:r>
              <w:rPr>
                <w:lang w:val="fr-BE"/>
              </w:rPr>
              <w:t>20/03/2013</w:t>
            </w:r>
          </w:p>
        </w:tc>
      </w:tr>
      <w:tr>
        <w:trPr>
          <w:trHeight w:hRule="exact" w:val="454"/>
          <w:jc w:val="center"/>
        </w:trPr>
        <w:tc>
          <w:tcPr>
            <w:tcW w:w="7166"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Application </w:t>
            </w:r>
            <w:r>
              <w:rPr>
                <w:b/>
                <w:u w:val="single"/>
                <w:lang w:val="fr-BE"/>
              </w:rPr>
              <w:t>Siel</w:t>
            </w:r>
            <w:r>
              <w:rPr>
                <w:lang w:val="fr-BE"/>
              </w:rPr>
              <w:t xml:space="preserve"> - Principe, déploiement et WebServices</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4058</w:t>
            </w:r>
          </w:p>
        </w:tc>
        <w:tc>
          <w:tcPr>
            <w:tcW w:w="1519"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18/06/2012</w:t>
            </w:r>
          </w:p>
        </w:tc>
      </w:tr>
      <w:tr>
        <w:trPr>
          <w:trHeight w:hRule="exact" w:val="454"/>
          <w:jc w:val="center"/>
        </w:trPr>
        <w:tc>
          <w:tcPr>
            <w:tcW w:w="7166"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Envoi des données des élèves vers la base centrale </w:t>
            </w:r>
            <w:r>
              <w:rPr>
                <w:b/>
                <w:u w:val="single"/>
                <w:lang w:val="fr-BE"/>
              </w:rPr>
              <w:t>Siel</w:t>
            </w:r>
            <w:r>
              <w:rPr>
                <w:lang w:val="fr-BE"/>
              </w:rPr>
              <w:t xml:space="preserve"> - Procédures</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ind w:left="-70" w:right="-25"/>
              <w:jc w:val="center"/>
              <w:rPr>
                <w:lang w:val="fr-BE"/>
              </w:rPr>
            </w:pPr>
            <w:r>
              <w:rPr>
                <w:lang w:val="fr-BE"/>
              </w:rPr>
              <w:t>5527</w:t>
            </w:r>
          </w:p>
        </w:tc>
        <w:tc>
          <w:tcPr>
            <w:tcW w:w="1519"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14/12/2015</w:t>
            </w:r>
          </w:p>
        </w:tc>
      </w:tr>
      <w:tr>
        <w:trPr>
          <w:trHeight w:hRule="exact" w:val="587"/>
          <w:jc w:val="center"/>
        </w:trPr>
        <w:tc>
          <w:tcPr>
            <w:tcW w:w="7166"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Envoi électronique des fiches fiscales et formulaire de demande de prime syndicale du personnel de l’enseignement</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ind w:left="-70" w:right="-25"/>
              <w:jc w:val="center"/>
              <w:rPr>
                <w:lang w:val="fr-BE"/>
              </w:rPr>
            </w:pPr>
            <w:r>
              <w:rPr>
                <w:lang w:val="fr-BE"/>
              </w:rPr>
              <w:t>6109</w:t>
            </w:r>
          </w:p>
        </w:tc>
        <w:tc>
          <w:tcPr>
            <w:tcW w:w="1519"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13/03/2017</w:t>
            </w:r>
          </w:p>
        </w:tc>
      </w:tr>
      <w:tr>
        <w:trPr>
          <w:trHeight w:hRule="exact" w:val="587"/>
          <w:jc w:val="center"/>
        </w:trPr>
        <w:tc>
          <w:tcPr>
            <w:tcW w:w="7166"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Helpdesk Siel</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 xml:space="preserve">Tous </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ind w:left="-70" w:right="-25"/>
              <w:jc w:val="center"/>
              <w:rPr>
                <w:lang w:val="fr-BE"/>
              </w:rPr>
            </w:pPr>
            <w:r>
              <w:rPr>
                <w:lang w:val="fr-BE"/>
              </w:rPr>
              <w:t>6016</w:t>
            </w:r>
          </w:p>
        </w:tc>
        <w:tc>
          <w:tcPr>
            <w:tcW w:w="1519"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10/01/2017</w:t>
            </w:r>
          </w:p>
        </w:tc>
      </w:tr>
      <w:tr>
        <w:trPr>
          <w:trHeight w:hRule="exact" w:val="454"/>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Portail des applications métier (DGEO) - </w:t>
            </w:r>
            <w:r>
              <w:rPr>
                <w:b/>
                <w:u w:val="single"/>
                <w:lang w:val="fr-BE"/>
              </w:rPr>
              <w:t>Cerbere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6022</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16/01/2017</w:t>
            </w:r>
          </w:p>
        </w:tc>
      </w:tr>
      <w:tr>
        <w:trPr>
          <w:trHeight w:hRule="exact" w:val="454"/>
          <w:jc w:val="center"/>
        </w:trPr>
        <w:tc>
          <w:tcPr>
            <w:tcW w:w="7166" w:type="dxa"/>
            <w:tcBorders>
              <w:top w:val="single" w:sz="6" w:space="0" w:color="auto"/>
              <w:left w:val="single" w:sz="12" w:space="0" w:color="auto"/>
              <w:bottom w:val="single" w:sz="12" w:space="0" w:color="auto"/>
              <w:right w:val="single" w:sz="12" w:space="0" w:color="auto"/>
            </w:tcBorders>
            <w:vAlign w:val="center"/>
          </w:tcPr>
          <w:p>
            <w:pPr>
              <w:spacing w:before="20" w:after="20"/>
              <w:rPr>
                <w:lang w:val="fr-BE"/>
              </w:rPr>
            </w:pPr>
            <w:r>
              <w:rPr>
                <w:lang w:val="fr-BE"/>
              </w:rPr>
              <w:t xml:space="preserve">Surveillances de midi - </w:t>
            </w:r>
            <w:r>
              <w:rPr>
                <w:b/>
                <w:u w:val="single"/>
                <w:lang w:val="fr-BE"/>
              </w:rPr>
              <w:t>SM</w:t>
            </w:r>
            <w:r>
              <w:rPr>
                <w:lang w:val="fr-BE"/>
              </w:rPr>
              <w:t xml:space="preserve"> - Réglementation </w:t>
            </w:r>
          </w:p>
        </w:tc>
        <w:tc>
          <w:tcPr>
            <w:tcW w:w="1260"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fr-BE"/>
              </w:rPr>
            </w:pPr>
            <w:r>
              <w:rPr>
                <w:lang w:val="fr-BE"/>
              </w:rPr>
              <w:t>5500</w:t>
            </w:r>
          </w:p>
        </w:tc>
        <w:tc>
          <w:tcPr>
            <w:tcW w:w="1519" w:type="dxa"/>
            <w:tcBorders>
              <w:top w:val="single" w:sz="6" w:space="0" w:color="auto"/>
              <w:left w:val="single" w:sz="4" w:space="0" w:color="auto"/>
              <w:bottom w:val="single" w:sz="12" w:space="0" w:color="auto"/>
              <w:right w:val="single" w:sz="12" w:space="0" w:color="auto"/>
            </w:tcBorders>
            <w:vAlign w:val="center"/>
          </w:tcPr>
          <w:p>
            <w:pPr>
              <w:spacing w:before="20" w:after="20"/>
              <w:jc w:val="center"/>
              <w:rPr>
                <w:lang w:val="fr-BE"/>
              </w:rPr>
            </w:pPr>
            <w:r>
              <w:rPr>
                <w:lang w:val="fr-BE"/>
              </w:rPr>
              <w:t>27/11/2015</w:t>
            </w:r>
          </w:p>
        </w:tc>
      </w:tr>
    </w:tbl>
    <w:p>
      <w:pPr>
        <w:spacing w:before="20" w:after="20"/>
        <w:rPr>
          <w:lang w:val="fr-BE"/>
        </w:rPr>
      </w:pPr>
    </w:p>
    <w:p>
      <w:pPr>
        <w:spacing w:after="120"/>
        <w:rPr>
          <w:b/>
          <w:i/>
          <w:u w:val="single"/>
          <w:lang w:val="fr-BE"/>
        </w:rPr>
      </w:pPr>
      <w:r>
        <w:rPr>
          <w:b/>
          <w:i/>
          <w:u w:val="single"/>
          <w:lang w:val="fr-BE"/>
        </w:rPr>
        <w:t>Autres circulaires</w:t>
      </w:r>
    </w:p>
    <w:tbl>
      <w:tblPr>
        <w:tblW w:w="11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166"/>
        <w:gridCol w:w="1260"/>
        <w:gridCol w:w="1125"/>
        <w:gridCol w:w="1519"/>
      </w:tblGrid>
      <w:tr>
        <w:trPr>
          <w:trHeight w:hRule="exact" w:val="567"/>
          <w:tblHeader/>
          <w:jc w:val="center"/>
        </w:trPr>
        <w:tc>
          <w:tcPr>
            <w:tcW w:w="7166"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lang w:val="fr-BE"/>
              </w:rPr>
            </w:pPr>
            <w:r>
              <w:rPr>
                <w:b/>
                <w:lang w:val="fr-BE"/>
              </w:rPr>
              <w:t>Matière</w:t>
            </w:r>
          </w:p>
        </w:tc>
        <w:tc>
          <w:tcPr>
            <w:tcW w:w="1260"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rPr>
            </w:pPr>
            <w:r>
              <w:rPr>
                <w:b/>
              </w:rPr>
              <w:t>Réseaux</w:t>
            </w:r>
            <w:r>
              <w:rPr>
                <w:b/>
              </w:rPr>
              <w:br/>
              <w:t>concernés</w:t>
            </w:r>
          </w:p>
        </w:tc>
        <w:tc>
          <w:tcPr>
            <w:tcW w:w="1125" w:type="dxa"/>
            <w:tcBorders>
              <w:top w:val="single" w:sz="12" w:space="0" w:color="auto"/>
              <w:left w:val="single" w:sz="12" w:space="0" w:color="auto"/>
              <w:bottom w:val="single" w:sz="12" w:space="0" w:color="auto"/>
              <w:right w:val="single" w:sz="12" w:space="0" w:color="auto"/>
            </w:tcBorders>
            <w:vAlign w:val="center"/>
          </w:tcPr>
          <w:p>
            <w:pPr>
              <w:spacing w:before="40" w:after="40"/>
              <w:jc w:val="center"/>
              <w:rPr>
                <w:b/>
              </w:rPr>
            </w:pPr>
            <w:r>
              <w:rPr>
                <w:b/>
              </w:rPr>
              <w:t xml:space="preserve">N° </w:t>
            </w:r>
            <w:r>
              <w:rPr>
                <w:b/>
              </w:rPr>
              <w:br/>
              <w:t>circulaire</w:t>
            </w:r>
          </w:p>
        </w:tc>
        <w:tc>
          <w:tcPr>
            <w:tcW w:w="1519" w:type="dxa"/>
            <w:tcBorders>
              <w:top w:val="single" w:sz="12" w:space="0" w:color="auto"/>
              <w:left w:val="nil"/>
              <w:bottom w:val="single" w:sz="12" w:space="0" w:color="auto"/>
              <w:right w:val="single" w:sz="12" w:space="0" w:color="auto"/>
            </w:tcBorders>
            <w:vAlign w:val="center"/>
          </w:tcPr>
          <w:p>
            <w:pPr>
              <w:spacing w:before="40" w:after="40"/>
              <w:jc w:val="center"/>
              <w:rPr>
                <w:b/>
              </w:rPr>
            </w:pPr>
            <w:r>
              <w:rPr>
                <w:b/>
              </w:rPr>
              <w:t xml:space="preserve">Date </w:t>
            </w:r>
            <w:r>
              <w:rPr>
                <w:b/>
              </w:rPr>
              <w:br/>
              <w:t>circulaire</w:t>
            </w:r>
          </w:p>
        </w:tc>
      </w:tr>
      <w:tr>
        <w:trPr>
          <w:trHeight w:hRule="exact" w:val="454"/>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A la conquête des réseaux sociaux dans l’enseignement</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5433</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5/10/2015</w:t>
            </w:r>
          </w:p>
        </w:tc>
      </w:tr>
      <w:tr>
        <w:trPr>
          <w:trHeight w:hRule="exact" w:val="657"/>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Appel à projets pour la création de nouvelles places dans les zones ou parties de zone en tension démographique </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6156</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27/04/2017</w:t>
            </w:r>
          </w:p>
        </w:tc>
      </w:tr>
      <w:tr>
        <w:trPr>
          <w:trHeight w:hRule="exact" w:val="454"/>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Autorité parentale en matière scolaire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90</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19/03/2002</w:t>
            </w:r>
          </w:p>
        </w:tc>
      </w:tr>
      <w:tr>
        <w:trPr>
          <w:trHeight w:hRule="exact" w:val="454"/>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Conseils de participation </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4809</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24/04/2014</w:t>
            </w:r>
          </w:p>
        </w:tc>
      </w:tr>
      <w:tr>
        <w:trPr>
          <w:trHeight w:hRule="exact" w:val="454"/>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Demande d’admission aux subventions des établissements scolaires</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5997</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21/12/2016</w:t>
            </w:r>
          </w:p>
        </w:tc>
      </w:tr>
      <w:tr>
        <w:trPr>
          <w:trHeight w:hRule="exact" w:val="454"/>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Dérogations d’âge dans l’enseignement maternel et primaire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en-GB"/>
              </w:rPr>
            </w:pPr>
            <w:r>
              <w:rPr>
                <w:lang w:val="en-GB"/>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6159</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28/04/2017</w:t>
            </w:r>
          </w:p>
        </w:tc>
      </w:tr>
      <w:tr>
        <w:trPr>
          <w:trHeight w:hRule="exact" w:val="454"/>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Enfants malades – Matériel informatique pour rester en contact</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5468</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26/10/2015</w:t>
            </w:r>
          </w:p>
        </w:tc>
      </w:tr>
      <w:tr>
        <w:trPr>
          <w:trHeight w:val="397"/>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Equipes mobiles et médiation scolaire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4961</w:t>
            </w:r>
          </w:p>
          <w:p>
            <w:pPr>
              <w:spacing w:before="20" w:after="20"/>
              <w:jc w:val="center"/>
              <w:rPr>
                <w:lang w:val="fr-BE"/>
              </w:rPr>
            </w:pPr>
            <w:r>
              <w:rPr>
                <w:lang w:val="fr-BE"/>
              </w:rPr>
              <w:t>5051</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26/08/2014</w:t>
            </w:r>
          </w:p>
          <w:p>
            <w:pPr>
              <w:spacing w:before="20" w:after="20"/>
              <w:jc w:val="center"/>
              <w:rPr>
                <w:lang w:val="fr-BE"/>
              </w:rPr>
            </w:pPr>
            <w:r>
              <w:rPr>
                <w:lang w:val="fr-BE"/>
              </w:rPr>
              <w:t>04/11/2014</w:t>
            </w:r>
          </w:p>
        </w:tc>
      </w:tr>
      <w:tr>
        <w:trPr>
          <w:trHeight w:val="397"/>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Encadrement différencié – dispositions en matière d’octroi et d’utilisation des moyens et de rédaction du PGAED</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6224</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13/06/2017</w:t>
            </w:r>
          </w:p>
        </w:tc>
      </w:tr>
      <w:tr>
        <w:trPr>
          <w:trHeight w:val="530"/>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Formation en cours de carrière – demande de dérogation pour demi-jours de formation supplémentaire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4943</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1/08/2014</w:t>
            </w:r>
          </w:p>
        </w:tc>
      </w:tr>
      <w:tr>
        <w:trPr>
          <w:trHeight w:val="530"/>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Formulaire électronique de signalement des absences injustifiées</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3783</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28/10/2011</w:t>
            </w:r>
          </w:p>
        </w:tc>
      </w:tr>
      <w:tr>
        <w:trPr>
          <w:trHeight w:val="530"/>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Formulaire électronique relatif au signalement des intégrations ainsi qu’aux demandes de dérogation(s) – FE Intégration</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 xml:space="preserve">Tous </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5948</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07/11/2016</w:t>
            </w:r>
          </w:p>
        </w:tc>
      </w:tr>
      <w:tr>
        <w:trPr>
          <w:trHeight w:hRule="exact" w:val="567"/>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rFonts w:cs="Arial"/>
                <w:szCs w:val="20"/>
                <w:lang w:val="fr-BE"/>
              </w:rPr>
            </w:pPr>
            <w:r>
              <w:rPr>
                <w:rFonts w:cs="Arial"/>
                <w:szCs w:val="20"/>
                <w:lang w:val="fr-BE"/>
              </w:rPr>
              <w:t>Gratuité de l’enseignement obligatoire et l’égalité des chances: coût de la scolarité à charge des familles</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rFonts w:cs="Arial"/>
                <w:szCs w:val="20"/>
                <w:lang w:val="fr-BE"/>
              </w:rPr>
            </w:pPr>
            <w:r>
              <w:rPr>
                <w:rFonts w:cs="Arial"/>
                <w:szCs w:val="20"/>
                <w:lang w:val="fr-BE"/>
              </w:rPr>
              <w:t xml:space="preserve">Tous </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rFonts w:cs="Arial"/>
                <w:szCs w:val="20"/>
                <w:lang w:val="fr-BE"/>
              </w:rPr>
            </w:pPr>
            <w:r>
              <w:rPr>
                <w:rFonts w:cs="Arial"/>
                <w:szCs w:val="20"/>
                <w:lang w:val="fr-BE"/>
              </w:rPr>
              <w:t>4516</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rFonts w:cs="Arial"/>
                <w:szCs w:val="20"/>
                <w:lang w:val="fr-BE"/>
              </w:rPr>
            </w:pPr>
            <w:r>
              <w:rPr>
                <w:rFonts w:cs="Arial"/>
                <w:szCs w:val="20"/>
                <w:lang w:val="fr-BE"/>
              </w:rPr>
              <w:t>29/08/2013</w:t>
            </w:r>
          </w:p>
        </w:tc>
      </w:tr>
      <w:tr>
        <w:trPr>
          <w:trHeight w:val="454"/>
          <w:jc w:val="center"/>
        </w:trPr>
        <w:tc>
          <w:tcPr>
            <w:tcW w:w="7166" w:type="dxa"/>
            <w:tcBorders>
              <w:top w:val="nil"/>
              <w:left w:val="single" w:sz="12" w:space="0" w:color="auto"/>
              <w:bottom w:val="single" w:sz="4" w:space="0" w:color="auto"/>
              <w:right w:val="single" w:sz="12" w:space="0" w:color="auto"/>
            </w:tcBorders>
            <w:vAlign w:val="center"/>
          </w:tcPr>
          <w:p>
            <w:pPr>
              <w:spacing w:before="20" w:after="60"/>
              <w:rPr>
                <w:lang w:val="fr-BE"/>
              </w:rPr>
            </w:pPr>
            <w:r>
              <w:rPr>
                <w:lang w:val="fr-BE"/>
              </w:rPr>
              <w:t>Inspection - Missions du service d’inspection</w:t>
            </w:r>
          </w:p>
        </w:tc>
        <w:tc>
          <w:tcPr>
            <w:tcW w:w="1260" w:type="dxa"/>
            <w:tcBorders>
              <w:top w:val="nil"/>
              <w:left w:val="single" w:sz="12" w:space="0" w:color="auto"/>
              <w:bottom w:val="single" w:sz="4" w:space="0" w:color="auto"/>
              <w:right w:val="single" w:sz="12" w:space="0" w:color="auto"/>
            </w:tcBorders>
            <w:vAlign w:val="center"/>
          </w:tcPr>
          <w:p>
            <w:pPr>
              <w:spacing w:before="20" w:after="20"/>
              <w:jc w:val="center"/>
              <w:rPr>
                <w:lang w:val="fr-BE"/>
              </w:rPr>
            </w:pPr>
            <w:r>
              <w:rPr>
                <w:lang w:val="fr-BE"/>
              </w:rPr>
              <w:t>Tous</w:t>
            </w:r>
          </w:p>
        </w:tc>
        <w:tc>
          <w:tcPr>
            <w:tcW w:w="1125" w:type="dxa"/>
            <w:tcBorders>
              <w:top w:val="nil"/>
              <w:left w:val="single" w:sz="12" w:space="0" w:color="auto"/>
              <w:bottom w:val="single" w:sz="4" w:space="0" w:color="auto"/>
              <w:right w:val="single" w:sz="12" w:space="0" w:color="auto"/>
            </w:tcBorders>
            <w:vAlign w:val="center"/>
          </w:tcPr>
          <w:p>
            <w:pPr>
              <w:spacing w:before="20" w:after="20"/>
              <w:jc w:val="center"/>
              <w:rPr>
                <w:lang w:val="fr-BE"/>
              </w:rPr>
            </w:pPr>
            <w:r>
              <w:rPr>
                <w:lang w:val="fr-BE"/>
              </w:rPr>
              <w:t>2018</w:t>
            </w:r>
          </w:p>
        </w:tc>
        <w:tc>
          <w:tcPr>
            <w:tcW w:w="1519" w:type="dxa"/>
            <w:tcBorders>
              <w:top w:val="nil"/>
              <w:left w:val="single" w:sz="4" w:space="0" w:color="auto"/>
              <w:bottom w:val="single" w:sz="4" w:space="0" w:color="auto"/>
              <w:right w:val="single" w:sz="12" w:space="0" w:color="auto"/>
            </w:tcBorders>
            <w:vAlign w:val="center"/>
          </w:tcPr>
          <w:p>
            <w:pPr>
              <w:spacing w:before="20" w:after="20"/>
              <w:jc w:val="center"/>
              <w:rPr>
                <w:lang w:val="fr-BE"/>
              </w:rPr>
            </w:pPr>
            <w:r>
              <w:rPr>
                <w:lang w:val="fr-BE"/>
              </w:rPr>
              <w:t>3/09/2007</w:t>
            </w:r>
          </w:p>
        </w:tc>
      </w:tr>
      <w:tr>
        <w:trPr>
          <w:trHeight w:val="454"/>
          <w:jc w:val="center"/>
        </w:trPr>
        <w:tc>
          <w:tcPr>
            <w:tcW w:w="7166" w:type="dxa"/>
            <w:tcBorders>
              <w:top w:val="single" w:sz="4"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 xml:space="preserve">Inspection des cours de religion – </w:t>
            </w:r>
            <w:r>
              <w:rPr>
                <w:szCs w:val="22"/>
                <w:lang w:val="fr-BE"/>
              </w:rPr>
              <w:t>Attributions et coordonnées</w:t>
            </w:r>
            <w:r>
              <w:rPr>
                <w:lang w:val="fr-BE"/>
              </w:rPr>
              <w:t xml:space="preserve"> </w:t>
            </w:r>
          </w:p>
        </w:tc>
        <w:tc>
          <w:tcPr>
            <w:tcW w:w="1260"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4"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2897</w:t>
            </w:r>
          </w:p>
        </w:tc>
        <w:tc>
          <w:tcPr>
            <w:tcW w:w="1519" w:type="dxa"/>
            <w:tcBorders>
              <w:top w:val="single" w:sz="4"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5/10/2009</w:t>
            </w:r>
          </w:p>
        </w:tc>
      </w:tr>
      <w:tr>
        <w:trPr>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t>Intervention de l’employeur dans les frais de déplacement en commun public et/ou dans l’utilisation de la bicyclette des membres du personnel.</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6083</w:t>
            </w:r>
          </w:p>
        </w:tc>
        <w:tc>
          <w:tcPr>
            <w:tcW w:w="1519" w:type="dxa"/>
            <w:tcBorders>
              <w:top w:val="single" w:sz="6" w:space="0" w:color="auto"/>
              <w:left w:val="single" w:sz="4" w:space="0" w:color="auto"/>
              <w:bottom w:val="single" w:sz="6" w:space="0" w:color="auto"/>
              <w:right w:val="single" w:sz="12" w:space="0" w:color="auto"/>
            </w:tcBorders>
            <w:vAlign w:val="center"/>
          </w:tcPr>
          <w:p>
            <w:pPr>
              <w:spacing w:before="20" w:after="20"/>
              <w:jc w:val="center"/>
              <w:rPr>
                <w:lang w:val="fr-BE"/>
              </w:rPr>
            </w:pPr>
            <w:r>
              <w:rPr>
                <w:lang w:val="fr-BE"/>
              </w:rPr>
              <w:t>23/02/2017</w:t>
            </w:r>
          </w:p>
        </w:tc>
      </w:tr>
      <w:tr>
        <w:trPr>
          <w:jc w:val="center"/>
        </w:trPr>
        <w:tc>
          <w:tcPr>
            <w:tcW w:w="7166" w:type="dxa"/>
            <w:tcBorders>
              <w:top w:val="single" w:sz="6" w:space="0" w:color="auto"/>
              <w:left w:val="single" w:sz="12" w:space="0" w:color="auto"/>
              <w:bottom w:val="single" w:sz="8" w:space="0" w:color="auto"/>
              <w:right w:val="single" w:sz="12" w:space="0" w:color="auto"/>
            </w:tcBorders>
            <w:vAlign w:val="center"/>
          </w:tcPr>
          <w:p>
            <w:pPr>
              <w:spacing w:before="20" w:after="20"/>
              <w:ind w:right="-70"/>
              <w:rPr>
                <w:spacing w:val="-2"/>
                <w:lang w:val="fr-BE"/>
              </w:rPr>
            </w:pPr>
            <w:r>
              <w:rPr>
                <w:spacing w:val="-2"/>
                <w:lang w:val="fr-BE"/>
              </w:rPr>
              <w:t>Intrusions commerciales et politiques au sein des établissements et sur la concurrence déloyale entre établissements – Commission créée à l’article 42 de la loi du 29 mai 1959 (Pacte scolaire)</w:t>
            </w:r>
          </w:p>
          <w:p>
            <w:pPr>
              <w:spacing w:before="20" w:after="20"/>
              <w:ind w:right="-70"/>
              <w:rPr>
                <w:spacing w:val="-2"/>
                <w:lang w:val="fr-BE"/>
              </w:rPr>
            </w:pPr>
          </w:p>
          <w:p>
            <w:pPr>
              <w:spacing w:before="20" w:after="20"/>
              <w:ind w:right="-70"/>
              <w:rPr>
                <w:spacing w:val="-2"/>
                <w:lang w:val="fr-BE"/>
              </w:rPr>
            </w:pPr>
          </w:p>
        </w:tc>
        <w:tc>
          <w:tcPr>
            <w:tcW w:w="1260" w:type="dxa"/>
            <w:tcBorders>
              <w:top w:val="single" w:sz="6"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4002</w:t>
            </w:r>
          </w:p>
        </w:tc>
        <w:tc>
          <w:tcPr>
            <w:tcW w:w="1519" w:type="dxa"/>
            <w:tcBorders>
              <w:top w:val="single" w:sz="6" w:space="0" w:color="auto"/>
              <w:left w:val="single" w:sz="4" w:space="0" w:color="auto"/>
              <w:bottom w:val="single" w:sz="8" w:space="0" w:color="auto"/>
              <w:right w:val="single" w:sz="12" w:space="0" w:color="auto"/>
            </w:tcBorders>
            <w:vAlign w:val="center"/>
          </w:tcPr>
          <w:p>
            <w:pPr>
              <w:spacing w:before="20" w:after="20"/>
              <w:jc w:val="center"/>
              <w:rPr>
                <w:lang w:val="fr-BE"/>
              </w:rPr>
            </w:pPr>
            <w:r>
              <w:rPr>
                <w:lang w:val="fr-BE"/>
              </w:rPr>
              <w:t>22/05/2012</w:t>
            </w:r>
          </w:p>
        </w:tc>
      </w:tr>
      <w:tr>
        <w:trPr>
          <w:trHeight w:val="751"/>
          <w:jc w:val="center"/>
        </w:trPr>
        <w:tc>
          <w:tcPr>
            <w:tcW w:w="7166" w:type="dxa"/>
            <w:tcBorders>
              <w:top w:val="single" w:sz="8" w:space="0" w:color="auto"/>
              <w:left w:val="single" w:sz="12" w:space="0" w:color="auto"/>
              <w:bottom w:val="single" w:sz="8" w:space="0" w:color="auto"/>
              <w:right w:val="single" w:sz="12" w:space="0" w:color="auto"/>
            </w:tcBorders>
            <w:vAlign w:val="center"/>
          </w:tcPr>
          <w:p>
            <w:pPr>
              <w:spacing w:before="20" w:after="20"/>
              <w:ind w:right="-70"/>
              <w:rPr>
                <w:spacing w:val="-2"/>
                <w:lang w:val="fr-BE"/>
              </w:rPr>
            </w:pPr>
            <w:r>
              <w:rPr>
                <w:lang w:val="fr-BE"/>
              </w:rPr>
              <w:t>Neutralité de l'enseignement</w:t>
            </w:r>
          </w:p>
        </w:tc>
        <w:tc>
          <w:tcPr>
            <w:tcW w:w="1260"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lang w:val="fr-BE"/>
              </w:rPr>
            </w:pPr>
            <w:r>
              <w:rPr>
                <w:szCs w:val="22"/>
                <w:lang w:val="fr-BE"/>
              </w:rPr>
              <w:t>Tous</w:t>
            </w:r>
          </w:p>
        </w:tc>
        <w:tc>
          <w:tcPr>
            <w:tcW w:w="1125"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1059</w:t>
            </w:r>
          </w:p>
          <w:p>
            <w:pPr>
              <w:spacing w:before="20" w:after="20"/>
              <w:jc w:val="center"/>
              <w:rPr>
                <w:lang w:val="fr-BE"/>
              </w:rPr>
            </w:pPr>
            <w:r>
              <w:rPr>
                <w:lang w:val="fr-BE"/>
              </w:rPr>
              <w:t>2198</w:t>
            </w:r>
          </w:p>
          <w:p>
            <w:pPr>
              <w:spacing w:before="20" w:after="20"/>
              <w:jc w:val="center"/>
              <w:rPr>
                <w:lang w:val="fr-BE"/>
              </w:rPr>
            </w:pPr>
            <w:r>
              <w:rPr>
                <w:lang w:val="fr-BE"/>
              </w:rPr>
              <w:t>3399</w:t>
            </w:r>
          </w:p>
        </w:tc>
        <w:tc>
          <w:tcPr>
            <w:tcW w:w="1519" w:type="dxa"/>
            <w:tcBorders>
              <w:top w:val="single" w:sz="8" w:space="0" w:color="auto"/>
              <w:left w:val="single" w:sz="4" w:space="0" w:color="auto"/>
              <w:bottom w:val="single" w:sz="8" w:space="0" w:color="auto"/>
              <w:right w:val="single" w:sz="12" w:space="0" w:color="auto"/>
            </w:tcBorders>
            <w:vAlign w:val="center"/>
          </w:tcPr>
          <w:p>
            <w:pPr>
              <w:spacing w:before="20" w:after="20"/>
              <w:jc w:val="center"/>
              <w:rPr>
                <w:lang w:val="fr-BE"/>
              </w:rPr>
            </w:pPr>
            <w:r>
              <w:rPr>
                <w:lang w:val="fr-BE"/>
              </w:rPr>
              <w:t>18/02/2005</w:t>
            </w:r>
          </w:p>
          <w:p>
            <w:pPr>
              <w:spacing w:before="20" w:after="20"/>
              <w:jc w:val="center"/>
              <w:rPr>
                <w:lang w:val="fr-BE"/>
              </w:rPr>
            </w:pPr>
            <w:r>
              <w:rPr>
                <w:lang w:val="fr-BE"/>
              </w:rPr>
              <w:t>18/02/2008</w:t>
            </w:r>
          </w:p>
          <w:p>
            <w:pPr>
              <w:spacing w:before="20" w:after="20"/>
              <w:jc w:val="center"/>
              <w:rPr>
                <w:lang w:val="fr-BE"/>
              </w:rPr>
            </w:pPr>
            <w:r>
              <w:rPr>
                <w:lang w:val="fr-BE"/>
              </w:rPr>
              <w:t>6/01/2011</w:t>
            </w:r>
          </w:p>
        </w:tc>
      </w:tr>
      <w:tr>
        <w:trPr>
          <w:jc w:val="center"/>
        </w:trPr>
        <w:tc>
          <w:tcPr>
            <w:tcW w:w="7166" w:type="dxa"/>
            <w:tcBorders>
              <w:top w:val="single" w:sz="8" w:space="0" w:color="auto"/>
              <w:left w:val="single" w:sz="12" w:space="0" w:color="auto"/>
              <w:bottom w:val="single" w:sz="8" w:space="0" w:color="auto"/>
              <w:right w:val="single" w:sz="12" w:space="0" w:color="auto"/>
            </w:tcBorders>
            <w:vAlign w:val="center"/>
          </w:tcPr>
          <w:p>
            <w:pPr>
              <w:spacing w:before="20" w:after="20"/>
              <w:ind w:right="-70"/>
              <w:rPr>
                <w:lang w:val="fr-BE"/>
              </w:rPr>
            </w:pPr>
            <w:r>
              <w:rPr>
                <w:lang w:val="fr-BE"/>
              </w:rPr>
              <w:t>Organisation des établissements d’enseignement spécialisé – année scolaire 2017-2018</w:t>
            </w:r>
          </w:p>
        </w:tc>
        <w:tc>
          <w:tcPr>
            <w:tcW w:w="1260"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szCs w:val="22"/>
                <w:lang w:val="fr-BE"/>
              </w:rPr>
            </w:pPr>
            <w:r>
              <w:rPr>
                <w:szCs w:val="22"/>
                <w:lang w:val="fr-BE"/>
              </w:rPr>
              <w:t>Tous</w:t>
            </w:r>
          </w:p>
        </w:tc>
        <w:tc>
          <w:tcPr>
            <w:tcW w:w="1125"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6194</w:t>
            </w:r>
          </w:p>
        </w:tc>
        <w:tc>
          <w:tcPr>
            <w:tcW w:w="1519" w:type="dxa"/>
            <w:tcBorders>
              <w:top w:val="single" w:sz="8" w:space="0" w:color="auto"/>
              <w:left w:val="single" w:sz="4" w:space="0" w:color="auto"/>
              <w:bottom w:val="single" w:sz="8" w:space="0" w:color="auto"/>
              <w:right w:val="single" w:sz="12" w:space="0" w:color="auto"/>
            </w:tcBorders>
            <w:vAlign w:val="center"/>
          </w:tcPr>
          <w:p>
            <w:pPr>
              <w:spacing w:before="20" w:after="20"/>
              <w:jc w:val="center"/>
              <w:rPr>
                <w:lang w:val="fr-BE"/>
              </w:rPr>
            </w:pPr>
            <w:r>
              <w:rPr>
                <w:lang w:val="fr-BE"/>
              </w:rPr>
              <w:t>22/05/2017</w:t>
            </w:r>
          </w:p>
        </w:tc>
      </w:tr>
      <w:tr>
        <w:trPr>
          <w:trHeight w:val="454"/>
          <w:jc w:val="center"/>
        </w:trPr>
        <w:tc>
          <w:tcPr>
            <w:tcW w:w="7166" w:type="dxa"/>
            <w:tcBorders>
              <w:top w:val="single" w:sz="8" w:space="0" w:color="auto"/>
              <w:left w:val="single" w:sz="12" w:space="0" w:color="auto"/>
              <w:bottom w:val="single" w:sz="8" w:space="0" w:color="auto"/>
              <w:right w:val="single" w:sz="12" w:space="0" w:color="auto"/>
            </w:tcBorders>
            <w:vAlign w:val="center"/>
          </w:tcPr>
          <w:p>
            <w:pPr>
              <w:spacing w:before="20" w:after="20"/>
              <w:ind w:right="-70"/>
              <w:rPr>
                <w:lang w:val="fr-BE"/>
              </w:rPr>
            </w:pPr>
            <w:r>
              <w:rPr>
                <w:lang w:val="fr-BE"/>
              </w:rPr>
              <w:t>Préparation des cours (documents relatifs à …)</w:t>
            </w:r>
          </w:p>
        </w:tc>
        <w:tc>
          <w:tcPr>
            <w:tcW w:w="1260"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szCs w:val="22"/>
                <w:lang w:val="fr-BE"/>
              </w:rPr>
            </w:pPr>
            <w:r>
              <w:rPr>
                <w:lang w:val="fr-BE"/>
              </w:rPr>
              <w:t>Tous</w:t>
            </w:r>
          </w:p>
        </w:tc>
        <w:tc>
          <w:tcPr>
            <w:tcW w:w="1125" w:type="dxa"/>
            <w:tcBorders>
              <w:top w:val="single" w:sz="8" w:space="0" w:color="auto"/>
              <w:left w:val="single" w:sz="12" w:space="0" w:color="auto"/>
              <w:bottom w:val="single" w:sz="8" w:space="0" w:color="auto"/>
              <w:right w:val="single" w:sz="12" w:space="0" w:color="auto"/>
            </w:tcBorders>
            <w:vAlign w:val="center"/>
          </w:tcPr>
          <w:p>
            <w:pPr>
              <w:spacing w:before="20" w:after="20"/>
              <w:jc w:val="center"/>
              <w:rPr>
                <w:lang w:val="fr-BE"/>
              </w:rPr>
            </w:pPr>
            <w:r>
              <w:rPr>
                <w:lang w:val="fr-BE"/>
              </w:rPr>
              <w:t>871</w:t>
            </w:r>
          </w:p>
        </w:tc>
        <w:tc>
          <w:tcPr>
            <w:tcW w:w="1519" w:type="dxa"/>
            <w:tcBorders>
              <w:top w:val="single" w:sz="8" w:space="0" w:color="auto"/>
              <w:left w:val="single" w:sz="4" w:space="0" w:color="auto"/>
              <w:bottom w:val="single" w:sz="8" w:space="0" w:color="auto"/>
              <w:right w:val="single" w:sz="12" w:space="0" w:color="auto"/>
            </w:tcBorders>
            <w:vAlign w:val="center"/>
          </w:tcPr>
          <w:p>
            <w:pPr>
              <w:spacing w:before="20" w:after="20"/>
              <w:jc w:val="center"/>
              <w:rPr>
                <w:lang w:val="fr-BE"/>
              </w:rPr>
            </w:pPr>
            <w:r>
              <w:rPr>
                <w:lang w:val="fr-BE"/>
              </w:rPr>
              <w:t>27/05/2014</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cantSplit/>
          <w:trHeight w:hRule="exact" w:val="567"/>
          <w:jc w:val="center"/>
        </w:trPr>
        <w:tc>
          <w:tcPr>
            <w:tcW w:w="7166" w:type="dxa"/>
            <w:tcBorders>
              <w:top w:val="single" w:sz="6" w:space="0" w:color="auto"/>
              <w:left w:val="single" w:sz="12" w:space="0" w:color="auto"/>
              <w:bottom w:val="single" w:sz="6" w:space="0" w:color="auto"/>
              <w:right w:val="single" w:sz="12" w:space="0" w:color="auto"/>
            </w:tcBorders>
            <w:vAlign w:val="center"/>
          </w:tcPr>
          <w:p>
            <w:pPr>
              <w:rPr>
                <w:lang w:val="fr-BE"/>
              </w:rPr>
            </w:pPr>
            <w:r>
              <w:rPr>
                <w:lang w:val="fr-BE"/>
              </w:rPr>
              <w:t>Protection de la vie privée - Sécurité des données personnelles</w:t>
            </w:r>
          </w:p>
        </w:tc>
        <w:tc>
          <w:tcPr>
            <w:tcW w:w="1260" w:type="dxa"/>
            <w:tcBorders>
              <w:top w:val="single" w:sz="6" w:space="0" w:color="auto"/>
              <w:left w:val="single" w:sz="12" w:space="0" w:color="auto"/>
              <w:bottom w:val="single" w:sz="6" w:space="0" w:color="auto"/>
              <w:right w:val="single" w:sz="12" w:space="0" w:color="auto"/>
            </w:tcBorders>
            <w:vAlign w:val="center"/>
          </w:tcPr>
          <w:p>
            <w:pPr>
              <w:jc w:val="center"/>
              <w:rPr>
                <w:lang w:val="fr-BE"/>
              </w:rPr>
            </w:pPr>
            <w:r>
              <w:rPr>
                <w:lang w:val="fr-BE"/>
              </w:rPr>
              <w:t>CF</w:t>
            </w:r>
          </w:p>
          <w:p>
            <w:pPr>
              <w:jc w:val="center"/>
              <w:rPr>
                <w:lang w:val="fr-BE"/>
              </w:rPr>
            </w:pPr>
            <w:r>
              <w:rPr>
                <w:lang w:val="fr-BE"/>
              </w:rPr>
              <w:t>OS</w:t>
            </w:r>
          </w:p>
        </w:tc>
        <w:tc>
          <w:tcPr>
            <w:tcW w:w="1125" w:type="dxa"/>
            <w:tcBorders>
              <w:top w:val="single" w:sz="6" w:space="0" w:color="auto"/>
              <w:left w:val="single" w:sz="12" w:space="0" w:color="auto"/>
              <w:bottom w:val="single" w:sz="6" w:space="0" w:color="auto"/>
              <w:right w:val="single" w:sz="12" w:space="0" w:color="auto"/>
            </w:tcBorders>
            <w:vAlign w:val="center"/>
          </w:tcPr>
          <w:p>
            <w:pPr>
              <w:jc w:val="center"/>
              <w:rPr>
                <w:lang w:val="fr-BE"/>
              </w:rPr>
            </w:pPr>
            <w:r>
              <w:rPr>
                <w:lang w:val="fr-BE"/>
              </w:rPr>
              <w:t>3444</w:t>
            </w:r>
          </w:p>
          <w:p>
            <w:pPr>
              <w:jc w:val="center"/>
              <w:rPr>
                <w:lang w:val="fr-BE"/>
              </w:rPr>
            </w:pPr>
            <w:r>
              <w:rPr>
                <w:lang w:val="fr-BE"/>
              </w:rPr>
              <w:t>4577</w:t>
            </w:r>
          </w:p>
        </w:tc>
        <w:tc>
          <w:tcPr>
            <w:tcW w:w="1519" w:type="dxa"/>
            <w:tcBorders>
              <w:top w:val="single" w:sz="6" w:space="0" w:color="auto"/>
              <w:left w:val="single" w:sz="12" w:space="0" w:color="auto"/>
              <w:bottom w:val="single" w:sz="6" w:space="0" w:color="auto"/>
              <w:right w:val="single" w:sz="12" w:space="0" w:color="auto"/>
            </w:tcBorders>
            <w:vAlign w:val="center"/>
          </w:tcPr>
          <w:p>
            <w:pPr>
              <w:jc w:val="center"/>
              <w:rPr>
                <w:lang w:val="fr-BE"/>
              </w:rPr>
            </w:pPr>
            <w:r>
              <w:rPr>
                <w:lang w:val="fr-BE"/>
              </w:rPr>
              <w:t>01/02/2011</w:t>
            </w:r>
          </w:p>
          <w:p>
            <w:pPr>
              <w:jc w:val="center"/>
              <w:rPr>
                <w:lang w:val="fr-BE"/>
              </w:rPr>
            </w:pPr>
            <w:r>
              <w:rPr>
                <w:lang w:val="fr-BE"/>
              </w:rPr>
              <w:t>23/09/2013</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trHeight w:val="397"/>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Psychomotricité  - Achat de matériel sportif</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3535</w:t>
            </w:r>
          </w:p>
        </w:tc>
        <w:tc>
          <w:tcPr>
            <w:tcW w:w="1519"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27/04/2011</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trHeight w:val="397"/>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Régulation des travaux à domicile</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108</w:t>
            </w:r>
          </w:p>
        </w:tc>
        <w:tc>
          <w:tcPr>
            <w:tcW w:w="1519"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13/05/2002</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trHeight w:val="397"/>
          <w:jc w:val="center"/>
        </w:trPr>
        <w:tc>
          <w:tcPr>
            <w:tcW w:w="7166" w:type="dxa"/>
            <w:tcBorders>
              <w:top w:val="single" w:sz="6" w:space="0" w:color="auto"/>
              <w:left w:val="single" w:sz="12" w:space="0" w:color="auto"/>
              <w:bottom w:val="single" w:sz="6" w:space="0" w:color="auto"/>
              <w:right w:val="single" w:sz="12" w:space="0" w:color="auto"/>
            </w:tcBorders>
            <w:vAlign w:val="center"/>
          </w:tcPr>
          <w:p>
            <w:pPr>
              <w:spacing w:before="20" w:after="20"/>
              <w:rPr>
                <w:lang w:val="fr-BE"/>
              </w:rPr>
            </w:pPr>
            <w:r>
              <w:rPr>
                <w:lang w:val="fr-BE"/>
              </w:rPr>
              <w:t>Soins et prises de médicaments</w:t>
            </w:r>
          </w:p>
        </w:tc>
        <w:tc>
          <w:tcPr>
            <w:tcW w:w="1260"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4888</w:t>
            </w:r>
          </w:p>
        </w:tc>
        <w:tc>
          <w:tcPr>
            <w:tcW w:w="1519" w:type="dxa"/>
            <w:tcBorders>
              <w:top w:val="single" w:sz="6" w:space="0" w:color="auto"/>
              <w:left w:val="single" w:sz="12" w:space="0" w:color="auto"/>
              <w:bottom w:val="single" w:sz="6" w:space="0" w:color="auto"/>
              <w:right w:val="single" w:sz="12" w:space="0" w:color="auto"/>
            </w:tcBorders>
            <w:vAlign w:val="center"/>
          </w:tcPr>
          <w:p>
            <w:pPr>
              <w:spacing w:before="20" w:after="20"/>
              <w:jc w:val="center"/>
              <w:rPr>
                <w:lang w:val="fr-BE"/>
              </w:rPr>
            </w:pPr>
            <w:r>
              <w:rPr>
                <w:lang w:val="fr-BE"/>
              </w:rPr>
              <w:t>20/06/2014</w:t>
            </w:r>
          </w:p>
        </w:tc>
      </w:tr>
      <w:tr>
        <w:tblPrEx>
          <w:tblBorders>
            <w:top w:val="single" w:sz="12" w:space="0" w:color="auto"/>
            <w:left w:val="single" w:sz="12" w:space="0" w:color="auto"/>
            <w:bottom w:val="single" w:sz="6" w:space="0" w:color="auto"/>
            <w:right w:val="single" w:sz="12" w:space="0" w:color="auto"/>
            <w:insideH w:val="single" w:sz="6" w:space="0" w:color="auto"/>
            <w:insideV w:val="single" w:sz="12" w:space="0" w:color="auto"/>
          </w:tblBorders>
        </w:tblPrEx>
        <w:trPr>
          <w:trHeight w:val="60"/>
          <w:jc w:val="center"/>
        </w:trPr>
        <w:tc>
          <w:tcPr>
            <w:tcW w:w="7166" w:type="dxa"/>
            <w:tcBorders>
              <w:top w:val="single" w:sz="4" w:space="0" w:color="auto"/>
              <w:left w:val="single" w:sz="12" w:space="0" w:color="auto"/>
              <w:bottom w:val="single" w:sz="12" w:space="0" w:color="auto"/>
              <w:right w:val="single" w:sz="12" w:space="0" w:color="auto"/>
            </w:tcBorders>
            <w:vAlign w:val="center"/>
          </w:tcPr>
          <w:p>
            <w:pPr>
              <w:spacing w:before="20" w:after="20"/>
              <w:rPr>
                <w:lang w:val="fr-BE"/>
              </w:rPr>
            </w:pPr>
            <w:r>
              <w:rPr>
                <w:lang w:val="fr-BE"/>
              </w:rPr>
              <w:t>Transport scolaire des élèves âgés de moins de 12 ans</w:t>
            </w:r>
          </w:p>
        </w:tc>
        <w:tc>
          <w:tcPr>
            <w:tcW w:w="1260"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fr-BE"/>
              </w:rPr>
            </w:pPr>
            <w:r>
              <w:rPr>
                <w:lang w:val="fr-BE"/>
              </w:rPr>
              <w:t>Tous</w:t>
            </w:r>
          </w:p>
        </w:tc>
        <w:tc>
          <w:tcPr>
            <w:tcW w:w="1125"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fr-BE"/>
              </w:rPr>
            </w:pPr>
            <w:r>
              <w:rPr>
                <w:lang w:val="fr-BE"/>
              </w:rPr>
              <w:t>851</w:t>
            </w:r>
          </w:p>
          <w:p>
            <w:pPr>
              <w:spacing w:before="20" w:after="20"/>
              <w:jc w:val="center"/>
              <w:rPr>
                <w:lang w:val="fr-BE"/>
              </w:rPr>
            </w:pPr>
            <w:r>
              <w:rPr>
                <w:lang w:val="fr-BE"/>
              </w:rPr>
              <w:t>919</w:t>
            </w:r>
          </w:p>
        </w:tc>
        <w:tc>
          <w:tcPr>
            <w:tcW w:w="1519" w:type="dxa"/>
            <w:tcBorders>
              <w:top w:val="single" w:sz="6" w:space="0" w:color="auto"/>
              <w:left w:val="single" w:sz="12" w:space="0" w:color="auto"/>
              <w:bottom w:val="single" w:sz="12" w:space="0" w:color="auto"/>
              <w:right w:val="single" w:sz="12" w:space="0" w:color="auto"/>
            </w:tcBorders>
            <w:vAlign w:val="center"/>
          </w:tcPr>
          <w:p>
            <w:pPr>
              <w:spacing w:before="20" w:after="20"/>
              <w:jc w:val="center"/>
              <w:rPr>
                <w:lang w:val="fr-BE"/>
              </w:rPr>
            </w:pPr>
            <w:r>
              <w:rPr>
                <w:lang w:val="fr-BE"/>
              </w:rPr>
              <w:t>17/05/2004</w:t>
            </w:r>
          </w:p>
          <w:p>
            <w:pPr>
              <w:spacing w:before="20" w:after="20"/>
              <w:jc w:val="center"/>
              <w:rPr>
                <w:lang w:val="fr-BE"/>
              </w:rPr>
            </w:pPr>
            <w:r>
              <w:rPr>
                <w:lang w:val="fr-BE"/>
              </w:rPr>
              <w:t>09/07/2004</w:t>
            </w:r>
          </w:p>
        </w:tc>
      </w:tr>
    </w:tbl>
    <w:p/>
    <w:p/>
    <w:p>
      <w:pPr>
        <w:pStyle w:val="MonTitre1"/>
      </w:pPr>
      <w:r>
        <w:br w:type="page"/>
      </w:r>
      <w:bookmarkStart w:id="1960" w:name="Titre13"/>
      <w:bookmarkStart w:id="1961" w:name="_Toc453942659"/>
      <w:bookmarkStart w:id="1962" w:name="_Toc454888276"/>
      <w:bookmarkStart w:id="1963" w:name="_Toc486241897"/>
      <w:r>
        <w:t>Titre 1</w:t>
      </w:r>
      <w:bookmarkEnd w:id="1960"/>
      <w:r>
        <w:t>2. Calendrier des opérations</w:t>
      </w:r>
      <w:bookmarkEnd w:id="1961"/>
      <w:bookmarkEnd w:id="1962"/>
      <w:bookmarkEnd w:id="1963"/>
      <w:r>
        <w:t xml:space="preserve"> </w:t>
      </w:r>
    </w:p>
    <w:p/>
    <w:p>
      <w:pPr>
        <w:spacing w:before="120"/>
        <w:rPr>
          <w:i/>
          <w:sz w:val="20"/>
        </w:rPr>
      </w:pPr>
      <w:r>
        <w:rPr>
          <w:i/>
          <w:sz w:val="20"/>
        </w:rPr>
        <w:t xml:space="preserve">Pour les matières relatives aux membres du personnel, voir les circulaires ad hoc éditées par l’Administration générale des Personnels de l’Enseignement. </w:t>
      </w:r>
    </w:p>
    <w:p>
      <w:pPr>
        <w:pStyle w:val="Textedebulles"/>
        <w:rPr>
          <w:rFonts w:ascii="Arial" w:hAnsi="Arial" w:cs="Times New Roman"/>
          <w:szCs w:val="24"/>
        </w:rPr>
      </w:pPr>
    </w:p>
    <w:p>
      <w:pPr>
        <w:pStyle w:val="Textedebulles"/>
        <w:rPr>
          <w:rFonts w:ascii="Arial" w:hAnsi="Arial" w:cs="Times New Roman"/>
          <w:b/>
          <w:sz w:val="24"/>
          <w:szCs w:val="24"/>
        </w:rPr>
      </w:pPr>
    </w:p>
    <w:p>
      <w:pPr>
        <w:pStyle w:val="Textedebulles"/>
        <w:spacing w:after="120"/>
        <w:rPr>
          <w:rFonts w:ascii="Arial" w:hAnsi="Arial" w:cs="Times New Roman"/>
          <w:b/>
          <w:sz w:val="24"/>
          <w:szCs w:val="24"/>
        </w:rPr>
      </w:pPr>
      <w:r>
        <w:rPr>
          <w:rFonts w:ascii="Arial" w:hAnsi="Arial" w:cs="Times New Roman"/>
          <w:b/>
          <w:sz w:val="24"/>
          <w:szCs w:val="24"/>
        </w:rPr>
        <w:t>Calendrier des opérations des applications Siel, Primver et SM</w:t>
      </w:r>
    </w:p>
    <w:tbl>
      <w:tblPr>
        <w:tblW w:w="10005" w:type="dxa"/>
        <w:tblInd w:w="-38"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1E0" w:firstRow="1" w:lastRow="1" w:firstColumn="1" w:lastColumn="1" w:noHBand="0" w:noVBand="0"/>
      </w:tblPr>
      <w:tblGrid>
        <w:gridCol w:w="2660"/>
        <w:gridCol w:w="1768"/>
        <w:gridCol w:w="5577"/>
      </w:tblGrid>
      <w:tr>
        <w:tc>
          <w:tcPr>
            <w:tcW w:w="2660" w:type="dxa"/>
            <w:tcBorders>
              <w:top w:val="single" w:sz="12" w:space="0" w:color="auto"/>
              <w:bottom w:val="single" w:sz="12" w:space="0" w:color="auto"/>
              <w:right w:val="single" w:sz="8" w:space="0" w:color="auto"/>
            </w:tcBorders>
          </w:tcPr>
          <w:p>
            <w:pPr>
              <w:spacing w:before="48" w:after="48"/>
              <w:jc w:val="center"/>
              <w:rPr>
                <w:b/>
              </w:rPr>
            </w:pPr>
            <w:r>
              <w:rPr>
                <w:b/>
              </w:rPr>
              <w:t>Date</w:t>
            </w:r>
          </w:p>
        </w:tc>
        <w:tc>
          <w:tcPr>
            <w:tcW w:w="1768" w:type="dxa"/>
            <w:tcBorders>
              <w:top w:val="single" w:sz="12" w:space="0" w:color="auto"/>
              <w:left w:val="single" w:sz="8" w:space="0" w:color="auto"/>
              <w:bottom w:val="single" w:sz="12" w:space="0" w:color="auto"/>
              <w:right w:val="single" w:sz="8" w:space="0" w:color="auto"/>
            </w:tcBorders>
          </w:tcPr>
          <w:p>
            <w:pPr>
              <w:spacing w:before="48" w:after="48"/>
              <w:jc w:val="center"/>
              <w:rPr>
                <w:b/>
              </w:rPr>
            </w:pPr>
            <w:r>
              <w:rPr>
                <w:b/>
              </w:rPr>
              <w:t>Application</w:t>
            </w:r>
          </w:p>
        </w:tc>
        <w:tc>
          <w:tcPr>
            <w:tcW w:w="5577" w:type="dxa"/>
            <w:tcBorders>
              <w:top w:val="single" w:sz="12" w:space="0" w:color="auto"/>
              <w:left w:val="single" w:sz="8" w:space="0" w:color="auto"/>
              <w:bottom w:val="single" w:sz="12" w:space="0" w:color="auto"/>
            </w:tcBorders>
          </w:tcPr>
          <w:p>
            <w:pPr>
              <w:spacing w:before="48" w:after="48"/>
              <w:jc w:val="center"/>
              <w:rPr>
                <w:b/>
              </w:rPr>
            </w:pPr>
            <w:r>
              <w:rPr>
                <w:b/>
              </w:rPr>
              <w:t>Opération</w:t>
            </w:r>
          </w:p>
        </w:tc>
      </w:tr>
      <w:tr>
        <w:tc>
          <w:tcPr>
            <w:tcW w:w="2660" w:type="dxa"/>
            <w:tcBorders>
              <w:top w:val="single" w:sz="6" w:space="0" w:color="auto"/>
              <w:bottom w:val="single" w:sz="6" w:space="0" w:color="auto"/>
              <w:right w:val="single" w:sz="8" w:space="0" w:color="auto"/>
            </w:tcBorders>
            <w:vAlign w:val="center"/>
          </w:tcPr>
          <w:p>
            <w:pPr>
              <w:spacing w:before="20" w:after="48"/>
              <w:jc w:val="center"/>
            </w:pPr>
            <w:r>
              <w:t>Tout au long de l’année, chaque fois que nécessaire</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SIEL</w:t>
            </w:r>
          </w:p>
        </w:tc>
        <w:tc>
          <w:tcPr>
            <w:tcW w:w="5577" w:type="dxa"/>
            <w:tcBorders>
              <w:top w:val="single" w:sz="6" w:space="0" w:color="auto"/>
              <w:left w:val="single" w:sz="8" w:space="0" w:color="auto"/>
              <w:bottom w:val="single" w:sz="6" w:space="0" w:color="auto"/>
            </w:tcBorders>
            <w:vAlign w:val="center"/>
          </w:tcPr>
          <w:p>
            <w:pPr>
              <w:spacing w:before="20" w:after="48"/>
            </w:pPr>
            <w:r>
              <w:rPr>
                <w:szCs w:val="22"/>
              </w:rPr>
              <w:t>Il est obligatoire de mettre à jour régulièrement la base SIEL depuis son application locale par l’envoi de toute modification ou depuis les écrans Web par les encodages des inscriptions, clôtures et modifications des caractéristiques de l’élève.</w:t>
            </w:r>
          </w:p>
        </w:tc>
      </w:tr>
      <w:tr>
        <w:tc>
          <w:tcPr>
            <w:tcW w:w="2660" w:type="dxa"/>
            <w:tcBorders>
              <w:top w:val="single" w:sz="6" w:space="0" w:color="auto"/>
              <w:bottom w:val="single" w:sz="4" w:space="0" w:color="auto"/>
              <w:right w:val="single" w:sz="8" w:space="0" w:color="auto"/>
            </w:tcBorders>
            <w:vAlign w:val="center"/>
          </w:tcPr>
          <w:p>
            <w:pPr>
              <w:spacing w:before="20" w:after="20"/>
              <w:ind w:right="-108"/>
              <w:jc w:val="center"/>
            </w:pPr>
            <w:r>
              <w:t>1/09/2017</w:t>
            </w:r>
          </w:p>
        </w:tc>
        <w:tc>
          <w:tcPr>
            <w:tcW w:w="1768" w:type="dxa"/>
            <w:tcBorders>
              <w:top w:val="single" w:sz="6" w:space="0" w:color="auto"/>
              <w:left w:val="single" w:sz="8" w:space="0" w:color="auto"/>
              <w:bottom w:val="single" w:sz="4" w:space="0" w:color="auto"/>
              <w:right w:val="single" w:sz="8" w:space="0" w:color="auto"/>
            </w:tcBorders>
            <w:vAlign w:val="center"/>
          </w:tcPr>
          <w:p>
            <w:pPr>
              <w:spacing w:before="20" w:after="20"/>
              <w:jc w:val="center"/>
            </w:pPr>
            <w:r>
              <w:t>PRIMVER</w:t>
            </w:r>
          </w:p>
        </w:tc>
        <w:tc>
          <w:tcPr>
            <w:tcW w:w="5577" w:type="dxa"/>
            <w:tcBorders>
              <w:top w:val="single" w:sz="6" w:space="0" w:color="auto"/>
              <w:left w:val="single" w:sz="8" w:space="0" w:color="auto"/>
              <w:bottom w:val="single" w:sz="4" w:space="0" w:color="auto"/>
            </w:tcBorders>
            <w:vAlign w:val="center"/>
          </w:tcPr>
          <w:p>
            <w:pPr>
              <w:spacing w:before="20" w:after="20"/>
            </w:pPr>
            <w:r>
              <w:t xml:space="preserve">Encodage et transfert des dossiers « structure » et « encadrement » du 1/09/2017. </w:t>
            </w:r>
          </w:p>
        </w:tc>
      </w:tr>
      <w:tr>
        <w:tc>
          <w:tcPr>
            <w:tcW w:w="2660" w:type="dxa"/>
            <w:tcBorders>
              <w:top w:val="single" w:sz="6" w:space="0" w:color="auto"/>
              <w:bottom w:val="single" w:sz="6" w:space="0" w:color="auto"/>
              <w:right w:val="single" w:sz="8" w:space="0" w:color="auto"/>
            </w:tcBorders>
            <w:vAlign w:val="center"/>
          </w:tcPr>
          <w:p>
            <w:pPr>
              <w:spacing w:before="20" w:after="20"/>
              <w:ind w:right="-108"/>
              <w:jc w:val="center"/>
            </w:pPr>
            <w:r>
              <w:t>30/09/2017</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77" w:type="dxa"/>
            <w:tcBorders>
              <w:top w:val="single" w:sz="6" w:space="0" w:color="auto"/>
              <w:left w:val="single" w:sz="8" w:space="0" w:color="auto"/>
              <w:bottom w:val="single" w:sz="6" w:space="0" w:color="auto"/>
            </w:tcBorders>
            <w:vAlign w:val="center"/>
          </w:tcPr>
          <w:p>
            <w:pPr>
              <w:spacing w:before="20" w:after="20"/>
            </w:pPr>
            <w:r>
              <w:t>Encodage du dossier « structure » et transfert du dossier « population scolaire » du 30/09/2017</w:t>
            </w:r>
            <w:r>
              <w:rPr>
                <w:rStyle w:val="Appelnotedebasdep"/>
              </w:rPr>
              <w:footnoteReference w:id="89"/>
            </w:r>
          </w:p>
        </w:tc>
      </w:tr>
      <w:tr>
        <w:tc>
          <w:tcPr>
            <w:tcW w:w="2660" w:type="dxa"/>
            <w:tcBorders>
              <w:top w:val="single" w:sz="6" w:space="0" w:color="auto"/>
              <w:bottom w:val="single" w:sz="6" w:space="0" w:color="auto"/>
              <w:right w:val="single" w:sz="8" w:space="0" w:color="auto"/>
            </w:tcBorders>
            <w:vAlign w:val="center"/>
          </w:tcPr>
          <w:p>
            <w:pPr>
              <w:spacing w:before="20" w:after="20"/>
              <w:ind w:right="-108"/>
              <w:jc w:val="center"/>
            </w:pPr>
            <w:r>
              <w:t>1/10/2017</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77" w:type="dxa"/>
            <w:tcBorders>
              <w:top w:val="single" w:sz="6" w:space="0" w:color="auto"/>
              <w:left w:val="single" w:sz="8" w:space="0" w:color="auto"/>
              <w:bottom w:val="single" w:sz="6" w:space="0" w:color="auto"/>
            </w:tcBorders>
            <w:vAlign w:val="center"/>
          </w:tcPr>
          <w:p>
            <w:pPr>
              <w:spacing w:before="20" w:after="20"/>
            </w:pPr>
            <w:r>
              <w:t xml:space="preserve">Encodage et transfert du dossier « encadrement » du 1/10/2017. </w:t>
            </w:r>
          </w:p>
        </w:tc>
      </w:tr>
      <w:tr>
        <w:trPr>
          <w:trHeight w:val="567"/>
        </w:trPr>
        <w:tc>
          <w:tcPr>
            <w:tcW w:w="2660" w:type="dxa"/>
            <w:tcBorders>
              <w:top w:val="single" w:sz="6" w:space="0" w:color="auto"/>
              <w:bottom w:val="single" w:sz="6" w:space="0" w:color="auto"/>
              <w:right w:val="single" w:sz="8" w:space="0" w:color="auto"/>
            </w:tcBorders>
            <w:vAlign w:val="center"/>
          </w:tcPr>
          <w:p>
            <w:pPr>
              <w:spacing w:before="20" w:after="20"/>
              <w:ind w:right="-108"/>
              <w:jc w:val="center"/>
            </w:pPr>
            <w:r>
              <w:t>20/11/2017</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77" w:type="dxa"/>
            <w:tcBorders>
              <w:top w:val="single" w:sz="6" w:space="0" w:color="auto"/>
              <w:left w:val="single" w:sz="8" w:space="0" w:color="auto"/>
              <w:bottom w:val="single" w:sz="6" w:space="0" w:color="auto"/>
            </w:tcBorders>
            <w:vAlign w:val="center"/>
          </w:tcPr>
          <w:p>
            <w:pPr>
              <w:spacing w:before="20" w:after="20"/>
            </w:pPr>
            <w:r>
              <w:t xml:space="preserve">Encodage et transfert du dossier « Augmentation du cadre maternel 1 » du 20/11/2017. </w:t>
            </w:r>
          </w:p>
        </w:tc>
      </w:tr>
      <w:tr>
        <w:tc>
          <w:tcPr>
            <w:tcW w:w="2660" w:type="dxa"/>
            <w:tcBorders>
              <w:top w:val="single" w:sz="6" w:space="0" w:color="auto"/>
              <w:bottom w:val="single" w:sz="6" w:space="0" w:color="auto"/>
              <w:right w:val="single" w:sz="8" w:space="0" w:color="auto"/>
            </w:tcBorders>
            <w:vAlign w:val="center"/>
          </w:tcPr>
          <w:p>
            <w:pPr>
              <w:spacing w:before="20" w:after="20"/>
              <w:ind w:right="-108"/>
              <w:jc w:val="center"/>
            </w:pPr>
            <w:r>
              <w:t>15/01/2018</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77" w:type="dxa"/>
            <w:tcBorders>
              <w:top w:val="single" w:sz="6" w:space="0" w:color="auto"/>
              <w:left w:val="single" w:sz="8" w:space="0" w:color="auto"/>
              <w:bottom w:val="single" w:sz="6" w:space="0" w:color="auto"/>
            </w:tcBorders>
            <w:vAlign w:val="center"/>
          </w:tcPr>
          <w:p>
            <w:pPr>
              <w:spacing w:before="20" w:after="20"/>
            </w:pPr>
            <w:r>
              <w:t>Transfert du dossier « population scolaire » du 15/01/2018</w:t>
            </w:r>
            <w:r>
              <w:rPr>
                <w:rStyle w:val="Appelnotedebasdep"/>
              </w:rPr>
              <w:t>1</w:t>
            </w:r>
            <w:r>
              <w:t>.</w:t>
            </w:r>
          </w:p>
        </w:tc>
      </w:tr>
      <w:tr>
        <w:tc>
          <w:tcPr>
            <w:tcW w:w="2660" w:type="dxa"/>
            <w:tcBorders>
              <w:top w:val="single" w:sz="6" w:space="0" w:color="auto"/>
              <w:bottom w:val="single" w:sz="6" w:space="0" w:color="auto"/>
              <w:right w:val="single" w:sz="8" w:space="0" w:color="auto"/>
            </w:tcBorders>
            <w:vAlign w:val="center"/>
          </w:tcPr>
          <w:p>
            <w:pPr>
              <w:spacing w:before="20" w:after="20"/>
              <w:ind w:right="-108"/>
              <w:jc w:val="center"/>
            </w:pPr>
            <w:r>
              <w:t>22/01/2018</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77" w:type="dxa"/>
            <w:tcBorders>
              <w:top w:val="single" w:sz="6" w:space="0" w:color="auto"/>
              <w:left w:val="single" w:sz="8" w:space="0" w:color="auto"/>
              <w:bottom w:val="single" w:sz="6" w:space="0" w:color="auto"/>
            </w:tcBorders>
            <w:vAlign w:val="center"/>
          </w:tcPr>
          <w:p>
            <w:pPr>
              <w:spacing w:before="20" w:after="20"/>
            </w:pPr>
            <w:r>
              <w:t xml:space="preserve">Encodage et transfert du dossier « Augmentation du cadre maternel 2 » du 22/01/2018. </w:t>
            </w:r>
          </w:p>
        </w:tc>
      </w:tr>
      <w:tr>
        <w:tc>
          <w:tcPr>
            <w:tcW w:w="2660" w:type="dxa"/>
            <w:tcBorders>
              <w:top w:val="single" w:sz="6" w:space="0" w:color="auto"/>
              <w:bottom w:val="single" w:sz="6" w:space="0" w:color="auto"/>
              <w:right w:val="single" w:sz="8" w:space="0" w:color="auto"/>
            </w:tcBorders>
            <w:vAlign w:val="center"/>
          </w:tcPr>
          <w:p>
            <w:pPr>
              <w:spacing w:before="20" w:after="20"/>
              <w:ind w:right="-108"/>
              <w:jc w:val="center"/>
            </w:pPr>
            <w:r>
              <w:t>05/03/2018</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77" w:type="dxa"/>
            <w:tcBorders>
              <w:top w:val="single" w:sz="6" w:space="0" w:color="auto"/>
              <w:left w:val="single" w:sz="8" w:space="0" w:color="auto"/>
              <w:bottom w:val="single" w:sz="6" w:space="0" w:color="auto"/>
            </w:tcBorders>
            <w:vAlign w:val="center"/>
          </w:tcPr>
          <w:p>
            <w:pPr>
              <w:spacing w:before="20" w:after="20"/>
            </w:pPr>
            <w:r>
              <w:t xml:space="preserve">Encodage et transfert du dossier « Augmentation du cadre maternel 3 » du 05/03/2018. </w:t>
            </w:r>
          </w:p>
        </w:tc>
      </w:tr>
      <w:tr>
        <w:tc>
          <w:tcPr>
            <w:tcW w:w="2660" w:type="dxa"/>
            <w:tcBorders>
              <w:top w:val="single" w:sz="6" w:space="0" w:color="auto"/>
              <w:bottom w:val="single" w:sz="6" w:space="0" w:color="auto"/>
              <w:right w:val="single" w:sz="8" w:space="0" w:color="auto"/>
            </w:tcBorders>
            <w:vAlign w:val="center"/>
          </w:tcPr>
          <w:p>
            <w:pPr>
              <w:spacing w:before="20" w:after="20"/>
              <w:ind w:right="-108"/>
              <w:jc w:val="center"/>
            </w:pPr>
            <w:r>
              <w:t>30/04/2018</w:t>
            </w:r>
          </w:p>
        </w:tc>
        <w:tc>
          <w:tcPr>
            <w:tcW w:w="1768" w:type="dxa"/>
            <w:tcBorders>
              <w:top w:val="single" w:sz="6" w:space="0" w:color="auto"/>
              <w:left w:val="single" w:sz="8" w:space="0" w:color="auto"/>
              <w:bottom w:val="single" w:sz="6" w:space="0" w:color="auto"/>
              <w:right w:val="single" w:sz="8" w:space="0" w:color="auto"/>
            </w:tcBorders>
            <w:vAlign w:val="center"/>
          </w:tcPr>
          <w:p>
            <w:pPr>
              <w:spacing w:before="20" w:after="20"/>
              <w:jc w:val="center"/>
            </w:pPr>
            <w:r>
              <w:t>PRIMVER</w:t>
            </w:r>
          </w:p>
        </w:tc>
        <w:tc>
          <w:tcPr>
            <w:tcW w:w="5577" w:type="dxa"/>
            <w:tcBorders>
              <w:top w:val="single" w:sz="6" w:space="0" w:color="auto"/>
              <w:left w:val="single" w:sz="8" w:space="0" w:color="auto"/>
              <w:bottom w:val="single" w:sz="6" w:space="0" w:color="auto"/>
            </w:tcBorders>
            <w:vAlign w:val="center"/>
          </w:tcPr>
          <w:p>
            <w:pPr>
              <w:spacing w:before="20" w:after="20"/>
            </w:pPr>
            <w:r>
              <w:t xml:space="preserve">Encodage et transfert du dossier « Augmentation du cadre maternel 4 » du 30/04/2018. </w:t>
            </w:r>
          </w:p>
        </w:tc>
      </w:tr>
      <w:tr>
        <w:tc>
          <w:tcPr>
            <w:tcW w:w="2660" w:type="dxa"/>
            <w:tcBorders>
              <w:top w:val="single" w:sz="6" w:space="0" w:color="auto"/>
              <w:bottom w:val="single" w:sz="12" w:space="0" w:color="auto"/>
              <w:right w:val="single" w:sz="8" w:space="0" w:color="auto"/>
            </w:tcBorders>
            <w:vAlign w:val="center"/>
          </w:tcPr>
          <w:p>
            <w:pPr>
              <w:spacing w:before="20" w:after="48"/>
              <w:jc w:val="center"/>
            </w:pPr>
            <w:r>
              <w:t>Pour le 30/08/2017</w:t>
            </w:r>
          </w:p>
        </w:tc>
        <w:tc>
          <w:tcPr>
            <w:tcW w:w="1768" w:type="dxa"/>
            <w:tcBorders>
              <w:top w:val="single" w:sz="6" w:space="0" w:color="auto"/>
              <w:left w:val="single" w:sz="8" w:space="0" w:color="auto"/>
              <w:bottom w:val="single" w:sz="12" w:space="0" w:color="auto"/>
              <w:right w:val="single" w:sz="8" w:space="0" w:color="auto"/>
            </w:tcBorders>
            <w:vAlign w:val="center"/>
          </w:tcPr>
          <w:p>
            <w:pPr>
              <w:spacing w:before="20" w:after="48"/>
              <w:jc w:val="center"/>
            </w:pPr>
            <w:r>
              <w:t>SM</w:t>
            </w:r>
          </w:p>
        </w:tc>
        <w:tc>
          <w:tcPr>
            <w:tcW w:w="5577" w:type="dxa"/>
            <w:tcBorders>
              <w:top w:val="single" w:sz="6" w:space="0" w:color="auto"/>
              <w:left w:val="single" w:sz="8" w:space="0" w:color="auto"/>
              <w:bottom w:val="single" w:sz="12" w:space="0" w:color="auto"/>
            </w:tcBorders>
            <w:vAlign w:val="center"/>
          </w:tcPr>
          <w:p>
            <w:pPr>
              <w:spacing w:before="20" w:after="48"/>
              <w:rPr>
                <w:szCs w:val="22"/>
              </w:rPr>
            </w:pPr>
            <w:r>
              <w:rPr>
                <w:szCs w:val="22"/>
              </w:rPr>
              <w:t>Encodage et transfert du dossier des surveillances de midi.</w:t>
            </w:r>
          </w:p>
        </w:tc>
      </w:tr>
    </w:tbl>
    <w:p>
      <w:pPr>
        <w:pStyle w:val="Textedebulles"/>
        <w:rPr>
          <w:rFonts w:ascii="Arial" w:hAnsi="Arial" w:cs="Times New Roman"/>
          <w:szCs w:val="24"/>
        </w:rPr>
      </w:pPr>
    </w:p>
    <w:p>
      <w:pPr>
        <w:pStyle w:val="Textedebulles"/>
        <w:rPr>
          <w:rFonts w:ascii="Arial" w:hAnsi="Arial" w:cs="Times New Roman"/>
          <w:szCs w:val="24"/>
        </w:rPr>
      </w:pPr>
    </w:p>
    <w:p>
      <w:pPr>
        <w:pStyle w:val="Textedebulles"/>
        <w:spacing w:after="120"/>
        <w:rPr>
          <w:rFonts w:ascii="Arial" w:hAnsi="Arial" w:cs="Times New Roman"/>
          <w:b/>
          <w:sz w:val="24"/>
          <w:szCs w:val="24"/>
        </w:rPr>
      </w:pPr>
      <w:r>
        <w:rPr>
          <w:rFonts w:ascii="Arial" w:hAnsi="Arial" w:cs="Times New Roman"/>
          <w:b/>
          <w:sz w:val="24"/>
          <w:szCs w:val="24"/>
        </w:rPr>
        <w:t xml:space="preserve">Calendrier des autres applications informatiques de </w:t>
      </w:r>
      <w:smartTag w:uri="urn:schemas-microsoft-com:office:smarttags" w:element="PersonName">
        <w:smartTagPr>
          <w:attr w:name="ProductID" w:val="la DGEO"/>
        </w:smartTagPr>
        <w:r>
          <w:rPr>
            <w:rFonts w:ascii="Arial" w:hAnsi="Arial" w:cs="Times New Roman"/>
            <w:b/>
            <w:sz w:val="24"/>
            <w:szCs w:val="24"/>
          </w:rPr>
          <w:t>la DGEO</w:t>
        </w:r>
      </w:smartTag>
    </w:p>
    <w:tbl>
      <w:tblPr>
        <w:tblW w:w="9991" w:type="dxa"/>
        <w:tblInd w:w="-38"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1E0" w:firstRow="1" w:lastRow="1" w:firstColumn="1" w:lastColumn="1" w:noHBand="0" w:noVBand="0"/>
      </w:tblPr>
      <w:tblGrid>
        <w:gridCol w:w="2660"/>
        <w:gridCol w:w="1754"/>
        <w:gridCol w:w="5577"/>
      </w:tblGrid>
      <w:tr>
        <w:tc>
          <w:tcPr>
            <w:tcW w:w="2660" w:type="dxa"/>
            <w:tcBorders>
              <w:top w:val="single" w:sz="12" w:space="0" w:color="auto"/>
              <w:bottom w:val="single" w:sz="12" w:space="0" w:color="auto"/>
              <w:right w:val="single" w:sz="8" w:space="0" w:color="auto"/>
            </w:tcBorders>
          </w:tcPr>
          <w:p>
            <w:pPr>
              <w:spacing w:before="48" w:after="48"/>
              <w:jc w:val="center"/>
              <w:rPr>
                <w:b/>
              </w:rPr>
            </w:pPr>
            <w:r>
              <w:rPr>
                <w:b/>
              </w:rPr>
              <w:t>Date</w:t>
            </w:r>
          </w:p>
        </w:tc>
        <w:tc>
          <w:tcPr>
            <w:tcW w:w="1754" w:type="dxa"/>
            <w:tcBorders>
              <w:top w:val="single" w:sz="12" w:space="0" w:color="auto"/>
              <w:left w:val="single" w:sz="8" w:space="0" w:color="auto"/>
              <w:bottom w:val="single" w:sz="12" w:space="0" w:color="auto"/>
              <w:right w:val="single" w:sz="8" w:space="0" w:color="auto"/>
            </w:tcBorders>
          </w:tcPr>
          <w:p>
            <w:pPr>
              <w:spacing w:before="48" w:after="48"/>
              <w:jc w:val="center"/>
              <w:rPr>
                <w:b/>
              </w:rPr>
            </w:pPr>
            <w:r>
              <w:rPr>
                <w:b/>
              </w:rPr>
              <w:t>Application</w:t>
            </w:r>
          </w:p>
        </w:tc>
        <w:tc>
          <w:tcPr>
            <w:tcW w:w="5577" w:type="dxa"/>
            <w:tcBorders>
              <w:top w:val="single" w:sz="12" w:space="0" w:color="auto"/>
              <w:left w:val="single" w:sz="8" w:space="0" w:color="auto"/>
              <w:bottom w:val="single" w:sz="12" w:space="0" w:color="auto"/>
            </w:tcBorders>
          </w:tcPr>
          <w:p>
            <w:pPr>
              <w:spacing w:before="48" w:after="48"/>
              <w:jc w:val="center"/>
              <w:rPr>
                <w:b/>
              </w:rPr>
            </w:pPr>
            <w:r>
              <w:rPr>
                <w:b/>
              </w:rPr>
              <w:t>Opération</w:t>
            </w:r>
          </w:p>
        </w:tc>
      </w:tr>
      <w:tr>
        <w:tc>
          <w:tcPr>
            <w:tcW w:w="2660" w:type="dxa"/>
            <w:tcBorders>
              <w:top w:val="single" w:sz="6" w:space="0" w:color="auto"/>
              <w:bottom w:val="single" w:sz="6" w:space="0" w:color="auto"/>
              <w:right w:val="single" w:sz="8" w:space="0" w:color="auto"/>
            </w:tcBorders>
            <w:vAlign w:val="center"/>
          </w:tcPr>
          <w:p>
            <w:pPr>
              <w:spacing w:before="20" w:after="48"/>
              <w:jc w:val="center"/>
            </w:pPr>
            <w:r>
              <w:t>Tout au long de l’année, chaque fois que nécessaire</w:t>
            </w:r>
          </w:p>
        </w:tc>
        <w:tc>
          <w:tcPr>
            <w:tcW w:w="1754"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PLAF</w:t>
            </w:r>
          </w:p>
        </w:tc>
        <w:tc>
          <w:tcPr>
            <w:tcW w:w="5577" w:type="dxa"/>
            <w:tcBorders>
              <w:top w:val="single" w:sz="6" w:space="0" w:color="auto"/>
              <w:left w:val="single" w:sz="8" w:space="0" w:color="auto"/>
              <w:bottom w:val="single" w:sz="6" w:space="0" w:color="auto"/>
            </w:tcBorders>
            <w:vAlign w:val="center"/>
          </w:tcPr>
          <w:p>
            <w:pPr>
              <w:spacing w:before="20" w:after="48"/>
              <w:ind w:right="-111"/>
            </w:pPr>
            <w:r>
              <w:t xml:space="preserve">L’école doit transmettre à tout moment de l’année scolaire en cours le nombre de places disponibles pour chacune de ses implantations. </w:t>
            </w:r>
          </w:p>
        </w:tc>
      </w:tr>
      <w:tr>
        <w:tc>
          <w:tcPr>
            <w:tcW w:w="2660" w:type="dxa"/>
            <w:tcBorders>
              <w:top w:val="single" w:sz="6" w:space="0" w:color="auto"/>
              <w:bottom w:val="single" w:sz="6" w:space="0" w:color="auto"/>
              <w:right w:val="single" w:sz="8" w:space="0" w:color="auto"/>
            </w:tcBorders>
            <w:vAlign w:val="center"/>
          </w:tcPr>
          <w:p>
            <w:pPr>
              <w:spacing w:before="20" w:after="48"/>
              <w:jc w:val="center"/>
            </w:pPr>
            <w:r>
              <w:t>A partir du mois de janvier et puis chaque fois que nécessaire</w:t>
            </w:r>
          </w:p>
        </w:tc>
        <w:tc>
          <w:tcPr>
            <w:tcW w:w="1754"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PLAF</w:t>
            </w:r>
          </w:p>
        </w:tc>
        <w:tc>
          <w:tcPr>
            <w:tcW w:w="5577" w:type="dxa"/>
            <w:tcBorders>
              <w:top w:val="single" w:sz="6" w:space="0" w:color="auto"/>
              <w:left w:val="single" w:sz="8" w:space="0" w:color="auto"/>
              <w:bottom w:val="single" w:sz="6" w:space="0" w:color="auto"/>
            </w:tcBorders>
            <w:vAlign w:val="center"/>
          </w:tcPr>
          <w:p>
            <w:pPr>
              <w:spacing w:before="20" w:after="48"/>
              <w:ind w:right="-111"/>
            </w:pPr>
            <w:r>
              <w:t>L’école doit transmettre à partir du mois de janvier pour l’année scolaire suivante, le nombre de places disponibles pour chacune de ses implantations.</w:t>
            </w:r>
          </w:p>
        </w:tc>
      </w:tr>
      <w:tr>
        <w:trPr>
          <w:cantSplit/>
        </w:trPr>
        <w:tc>
          <w:tcPr>
            <w:tcW w:w="2660" w:type="dxa"/>
            <w:tcBorders>
              <w:top w:val="single" w:sz="6" w:space="0" w:color="auto"/>
              <w:bottom w:val="single" w:sz="6" w:space="0" w:color="auto"/>
              <w:right w:val="single" w:sz="8" w:space="0" w:color="auto"/>
            </w:tcBorders>
            <w:vAlign w:val="center"/>
          </w:tcPr>
          <w:p>
            <w:pPr>
              <w:spacing w:before="20" w:after="48"/>
              <w:jc w:val="center"/>
            </w:pPr>
            <w:r>
              <w:t>A l’événement</w:t>
            </w:r>
          </w:p>
        </w:tc>
        <w:tc>
          <w:tcPr>
            <w:tcW w:w="1754"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EXCLUSION</w:t>
            </w:r>
          </w:p>
        </w:tc>
        <w:tc>
          <w:tcPr>
            <w:tcW w:w="5577" w:type="dxa"/>
            <w:tcBorders>
              <w:top w:val="single" w:sz="6" w:space="0" w:color="auto"/>
              <w:left w:val="single" w:sz="8" w:space="0" w:color="auto"/>
              <w:bottom w:val="single" w:sz="6" w:space="0" w:color="auto"/>
            </w:tcBorders>
            <w:vAlign w:val="center"/>
          </w:tcPr>
          <w:p>
            <w:pPr>
              <w:pStyle w:val="En-tte"/>
              <w:tabs>
                <w:tab w:val="clear" w:pos="4536"/>
                <w:tab w:val="clear" w:pos="9072"/>
              </w:tabs>
              <w:spacing w:before="20" w:after="48"/>
            </w:pPr>
            <w:r>
              <w:t>Signalement des élèves faisant l’objet d’une procédure d’exclusion définitive.</w:t>
            </w:r>
          </w:p>
        </w:tc>
      </w:tr>
      <w:tr>
        <w:trPr>
          <w:cantSplit/>
        </w:trPr>
        <w:tc>
          <w:tcPr>
            <w:tcW w:w="2660" w:type="dxa"/>
            <w:tcBorders>
              <w:top w:val="single" w:sz="6" w:space="0" w:color="auto"/>
              <w:bottom w:val="single" w:sz="6" w:space="0" w:color="auto"/>
              <w:right w:val="single" w:sz="8" w:space="0" w:color="auto"/>
            </w:tcBorders>
            <w:vAlign w:val="center"/>
          </w:tcPr>
          <w:p>
            <w:pPr>
              <w:spacing w:before="20" w:after="48"/>
              <w:jc w:val="center"/>
            </w:pPr>
            <w:r>
              <w:t>A l’événement</w:t>
            </w:r>
          </w:p>
        </w:tc>
        <w:tc>
          <w:tcPr>
            <w:tcW w:w="1754" w:type="dxa"/>
            <w:tcBorders>
              <w:top w:val="single" w:sz="6" w:space="0" w:color="auto"/>
              <w:left w:val="single" w:sz="8" w:space="0" w:color="auto"/>
              <w:bottom w:val="single" w:sz="6" w:space="0" w:color="auto"/>
              <w:right w:val="single" w:sz="8" w:space="0" w:color="auto"/>
            </w:tcBorders>
            <w:vAlign w:val="center"/>
          </w:tcPr>
          <w:p>
            <w:pPr>
              <w:spacing w:before="20" w:after="48"/>
              <w:jc w:val="center"/>
            </w:pPr>
            <w:r>
              <w:t>INSCR-EXCLU</w:t>
            </w:r>
          </w:p>
        </w:tc>
        <w:tc>
          <w:tcPr>
            <w:tcW w:w="5577" w:type="dxa"/>
            <w:tcBorders>
              <w:top w:val="single" w:sz="6" w:space="0" w:color="auto"/>
              <w:left w:val="single" w:sz="8" w:space="0" w:color="auto"/>
              <w:bottom w:val="single" w:sz="6" w:space="0" w:color="auto"/>
            </w:tcBorders>
            <w:vAlign w:val="center"/>
          </w:tcPr>
          <w:p>
            <w:pPr>
              <w:pStyle w:val="En-tte"/>
              <w:tabs>
                <w:tab w:val="clear" w:pos="4536"/>
                <w:tab w:val="clear" w:pos="9072"/>
              </w:tabs>
              <w:spacing w:before="20" w:after="48"/>
            </w:pPr>
            <w:r>
              <w:t xml:space="preserve">Signalement de l’inscription d’un élève exclu.  </w:t>
            </w:r>
          </w:p>
        </w:tc>
      </w:tr>
      <w:tr>
        <w:tc>
          <w:tcPr>
            <w:tcW w:w="2660" w:type="dxa"/>
            <w:tcBorders>
              <w:top w:val="single" w:sz="4" w:space="0" w:color="auto"/>
              <w:bottom w:val="single" w:sz="12" w:space="0" w:color="auto"/>
              <w:right w:val="single" w:sz="8" w:space="0" w:color="auto"/>
            </w:tcBorders>
            <w:vAlign w:val="center"/>
          </w:tcPr>
          <w:p>
            <w:pPr>
              <w:spacing w:before="20" w:after="20"/>
              <w:ind w:right="-108"/>
              <w:jc w:val="center"/>
            </w:pPr>
            <w:r>
              <w:t>Tout au long de l’année, chaque fois que nécessaire</w:t>
            </w:r>
          </w:p>
        </w:tc>
        <w:tc>
          <w:tcPr>
            <w:tcW w:w="1754" w:type="dxa"/>
            <w:tcBorders>
              <w:top w:val="single" w:sz="4" w:space="0" w:color="auto"/>
              <w:left w:val="single" w:sz="8" w:space="0" w:color="auto"/>
              <w:bottom w:val="single" w:sz="12" w:space="0" w:color="auto"/>
              <w:right w:val="single" w:sz="8" w:space="0" w:color="auto"/>
            </w:tcBorders>
            <w:vAlign w:val="center"/>
          </w:tcPr>
          <w:p>
            <w:pPr>
              <w:spacing w:before="20" w:after="20"/>
              <w:jc w:val="center"/>
            </w:pPr>
            <w:r>
              <w:t>OBLISCOL</w:t>
            </w:r>
          </w:p>
        </w:tc>
        <w:tc>
          <w:tcPr>
            <w:tcW w:w="5577" w:type="dxa"/>
            <w:tcBorders>
              <w:top w:val="single" w:sz="4" w:space="0" w:color="auto"/>
              <w:left w:val="single" w:sz="8" w:space="0" w:color="auto"/>
              <w:bottom w:val="single" w:sz="12" w:space="0" w:color="auto"/>
            </w:tcBorders>
            <w:vAlign w:val="center"/>
          </w:tcPr>
          <w:p>
            <w:pPr>
              <w:spacing w:before="20" w:after="20"/>
            </w:pPr>
            <w:r>
              <w:t xml:space="preserve">Signalement des élèves qui se sont absentés au moins 9 demi-jours de manière injustifiée. </w:t>
            </w:r>
          </w:p>
        </w:tc>
      </w:tr>
    </w:tbl>
    <w:p>
      <w:pPr>
        <w:rPr>
          <w:b/>
          <w:sz w:val="24"/>
        </w:rPr>
      </w:pPr>
      <w:bookmarkStart w:id="1964" w:name="_Contacts_utiles"/>
      <w:bookmarkEnd w:id="1964"/>
    </w:p>
    <w:p>
      <w:pPr>
        <w:spacing w:after="120"/>
        <w:rPr>
          <w:b/>
          <w:sz w:val="24"/>
        </w:rPr>
      </w:pPr>
      <w:r>
        <w:rPr>
          <w:b/>
          <w:sz w:val="24"/>
        </w:rPr>
        <w:t>Date limite</w:t>
      </w:r>
    </w:p>
    <w:tbl>
      <w:tblPr>
        <w:tblW w:w="10005" w:type="dxa"/>
        <w:tblInd w:w="-38"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1E0" w:firstRow="1" w:lastRow="1" w:firstColumn="1" w:lastColumn="1" w:noHBand="0" w:noVBand="0"/>
      </w:tblPr>
      <w:tblGrid>
        <w:gridCol w:w="1728"/>
        <w:gridCol w:w="2700"/>
        <w:gridCol w:w="5577"/>
      </w:tblGrid>
      <w:tr>
        <w:tc>
          <w:tcPr>
            <w:tcW w:w="1728" w:type="dxa"/>
            <w:tcBorders>
              <w:top w:val="single" w:sz="12" w:space="0" w:color="auto"/>
              <w:bottom w:val="single" w:sz="12" w:space="0" w:color="auto"/>
              <w:right w:val="single" w:sz="8" w:space="0" w:color="auto"/>
            </w:tcBorders>
          </w:tcPr>
          <w:p>
            <w:pPr>
              <w:spacing w:before="48" w:after="48"/>
              <w:jc w:val="center"/>
              <w:rPr>
                <w:b/>
              </w:rPr>
            </w:pPr>
            <w:r>
              <w:rPr>
                <w:b/>
              </w:rPr>
              <w:t>Date</w:t>
            </w:r>
          </w:p>
        </w:tc>
        <w:tc>
          <w:tcPr>
            <w:tcW w:w="2700" w:type="dxa"/>
            <w:tcBorders>
              <w:top w:val="single" w:sz="12" w:space="0" w:color="auto"/>
              <w:left w:val="single" w:sz="8" w:space="0" w:color="auto"/>
              <w:bottom w:val="single" w:sz="12" w:space="0" w:color="auto"/>
              <w:right w:val="single" w:sz="8" w:space="0" w:color="auto"/>
            </w:tcBorders>
          </w:tcPr>
          <w:p>
            <w:pPr>
              <w:spacing w:before="48" w:after="48"/>
              <w:jc w:val="center"/>
              <w:rPr>
                <w:b/>
              </w:rPr>
            </w:pPr>
            <w:r>
              <w:rPr>
                <w:b/>
              </w:rPr>
              <w:t>Concerne</w:t>
            </w:r>
          </w:p>
        </w:tc>
        <w:tc>
          <w:tcPr>
            <w:tcW w:w="5577" w:type="dxa"/>
            <w:tcBorders>
              <w:top w:val="single" w:sz="12" w:space="0" w:color="auto"/>
              <w:left w:val="single" w:sz="8" w:space="0" w:color="auto"/>
              <w:bottom w:val="single" w:sz="12" w:space="0" w:color="auto"/>
            </w:tcBorders>
          </w:tcPr>
          <w:p>
            <w:pPr>
              <w:spacing w:before="48" w:after="48"/>
              <w:jc w:val="center"/>
              <w:rPr>
                <w:b/>
              </w:rPr>
            </w:pPr>
            <w:r>
              <w:rPr>
                <w:b/>
              </w:rPr>
              <w:t>Opération</w:t>
            </w:r>
          </w:p>
        </w:tc>
      </w:tr>
      <w:tr>
        <w:tc>
          <w:tcPr>
            <w:tcW w:w="1728" w:type="dxa"/>
            <w:tcBorders>
              <w:top w:val="single" w:sz="6" w:space="0" w:color="auto"/>
              <w:bottom w:val="single" w:sz="6" w:space="0" w:color="auto"/>
              <w:right w:val="single" w:sz="8" w:space="0" w:color="auto"/>
            </w:tcBorders>
            <w:vAlign w:val="center"/>
          </w:tcPr>
          <w:p>
            <w:pPr>
              <w:spacing w:before="20" w:after="48"/>
              <w:jc w:val="center"/>
            </w:pPr>
            <w:r>
              <w:t>1/09/2017</w:t>
            </w:r>
          </w:p>
        </w:tc>
        <w:tc>
          <w:tcPr>
            <w:tcW w:w="2700" w:type="dxa"/>
            <w:tcBorders>
              <w:top w:val="single" w:sz="6" w:space="0" w:color="auto"/>
              <w:left w:val="single" w:sz="8" w:space="0" w:color="auto"/>
              <w:bottom w:val="single" w:sz="6" w:space="0" w:color="auto"/>
              <w:right w:val="single" w:sz="8" w:space="0" w:color="auto"/>
            </w:tcBorders>
            <w:vAlign w:val="center"/>
          </w:tcPr>
          <w:p>
            <w:pPr>
              <w:spacing w:before="20" w:after="48"/>
            </w:pPr>
            <w:r>
              <w:t>Inscriptions</w:t>
            </w:r>
          </w:p>
        </w:tc>
        <w:tc>
          <w:tcPr>
            <w:tcW w:w="5577" w:type="dxa"/>
            <w:tcBorders>
              <w:top w:val="single" w:sz="6" w:space="0" w:color="auto"/>
              <w:left w:val="single" w:sz="8" w:space="0" w:color="auto"/>
              <w:bottom w:val="single" w:sz="6" w:space="0" w:color="auto"/>
            </w:tcBorders>
            <w:vAlign w:val="center"/>
          </w:tcPr>
          <w:p>
            <w:pPr>
              <w:spacing w:before="20" w:after="48"/>
            </w:pPr>
            <w:r>
              <w:t>Date limite pour les inscriptions (règle générale).</w:t>
            </w:r>
          </w:p>
        </w:tc>
      </w:tr>
      <w:tr>
        <w:tc>
          <w:tcPr>
            <w:tcW w:w="1728" w:type="dxa"/>
            <w:tcBorders>
              <w:top w:val="single" w:sz="6" w:space="0" w:color="auto"/>
              <w:bottom w:val="single" w:sz="6" w:space="0" w:color="auto"/>
              <w:right w:val="single" w:sz="8" w:space="0" w:color="auto"/>
            </w:tcBorders>
            <w:vAlign w:val="center"/>
          </w:tcPr>
          <w:p>
            <w:pPr>
              <w:spacing w:before="20" w:after="48"/>
              <w:jc w:val="center"/>
            </w:pPr>
            <w:r>
              <w:t>15/09/2017</w:t>
            </w:r>
          </w:p>
        </w:tc>
        <w:tc>
          <w:tcPr>
            <w:tcW w:w="2700" w:type="dxa"/>
            <w:tcBorders>
              <w:top w:val="single" w:sz="6" w:space="0" w:color="auto"/>
              <w:left w:val="single" w:sz="8" w:space="0" w:color="auto"/>
              <w:bottom w:val="single" w:sz="6" w:space="0" w:color="auto"/>
              <w:right w:val="single" w:sz="8" w:space="0" w:color="auto"/>
            </w:tcBorders>
            <w:vAlign w:val="center"/>
          </w:tcPr>
          <w:p>
            <w:pPr>
              <w:spacing w:before="20" w:after="48"/>
            </w:pPr>
            <w:r>
              <w:t>Changement d’école</w:t>
            </w:r>
          </w:p>
        </w:tc>
        <w:tc>
          <w:tcPr>
            <w:tcW w:w="5577" w:type="dxa"/>
            <w:tcBorders>
              <w:top w:val="single" w:sz="6" w:space="0" w:color="auto"/>
              <w:left w:val="single" w:sz="8" w:space="0" w:color="auto"/>
              <w:bottom w:val="single" w:sz="6" w:space="0" w:color="auto"/>
            </w:tcBorders>
            <w:vAlign w:val="center"/>
          </w:tcPr>
          <w:p>
            <w:pPr>
              <w:spacing w:before="20" w:after="48"/>
              <w:ind w:right="-111"/>
            </w:pPr>
            <w:r>
              <w:t xml:space="preserve">Date limite pour changer d’école ou d’implantation sans justification particulière (valable uniquement pour un changement en début de cycle). Au-delà de cette date, il faut se conformer aux dispositions du chapitre 2.3.  </w:t>
            </w:r>
          </w:p>
        </w:tc>
      </w:tr>
      <w:tr>
        <w:tc>
          <w:tcPr>
            <w:tcW w:w="1728" w:type="dxa"/>
            <w:tcBorders>
              <w:top w:val="single" w:sz="6" w:space="0" w:color="auto"/>
              <w:bottom w:val="single" w:sz="6" w:space="0" w:color="auto"/>
              <w:right w:val="single" w:sz="8" w:space="0" w:color="auto"/>
            </w:tcBorders>
            <w:vAlign w:val="center"/>
          </w:tcPr>
          <w:p>
            <w:pPr>
              <w:spacing w:before="20" w:after="48"/>
              <w:jc w:val="center"/>
            </w:pPr>
            <w:r>
              <w:t>31/03/2018</w:t>
            </w:r>
          </w:p>
        </w:tc>
        <w:tc>
          <w:tcPr>
            <w:tcW w:w="2700" w:type="dxa"/>
            <w:tcBorders>
              <w:top w:val="single" w:sz="6" w:space="0" w:color="auto"/>
              <w:left w:val="single" w:sz="8" w:space="0" w:color="auto"/>
              <w:bottom w:val="single" w:sz="6" w:space="0" w:color="auto"/>
              <w:right w:val="single" w:sz="8" w:space="0" w:color="auto"/>
            </w:tcBorders>
            <w:vAlign w:val="center"/>
          </w:tcPr>
          <w:p>
            <w:pPr>
              <w:spacing w:before="20" w:after="48"/>
            </w:pPr>
            <w:r>
              <w:t>Immersion linguistique</w:t>
            </w:r>
          </w:p>
        </w:tc>
        <w:tc>
          <w:tcPr>
            <w:tcW w:w="5577" w:type="dxa"/>
            <w:tcBorders>
              <w:top w:val="single" w:sz="6" w:space="0" w:color="auto"/>
              <w:left w:val="single" w:sz="8" w:space="0" w:color="auto"/>
              <w:bottom w:val="single" w:sz="6" w:space="0" w:color="auto"/>
            </w:tcBorders>
            <w:vAlign w:val="center"/>
          </w:tcPr>
          <w:p>
            <w:pPr>
              <w:spacing w:before="20" w:after="48"/>
              <w:rPr>
                <w:szCs w:val="22"/>
              </w:rPr>
            </w:pPr>
            <w:r>
              <w:rPr>
                <w:szCs w:val="22"/>
              </w:rPr>
              <w:t>Date limite pour l’envoi des déclarations (subv.) ou demandes (CF) d’immersion à partir de 2018-2019</w:t>
            </w:r>
          </w:p>
        </w:tc>
      </w:tr>
      <w:tr>
        <w:tc>
          <w:tcPr>
            <w:tcW w:w="1728" w:type="dxa"/>
            <w:tcBorders>
              <w:top w:val="single" w:sz="6" w:space="0" w:color="auto"/>
              <w:bottom w:val="single" w:sz="6" w:space="0" w:color="auto"/>
              <w:right w:val="single" w:sz="8" w:space="0" w:color="auto"/>
            </w:tcBorders>
            <w:vAlign w:val="center"/>
          </w:tcPr>
          <w:p>
            <w:pPr>
              <w:spacing w:before="20" w:after="48"/>
              <w:jc w:val="center"/>
            </w:pPr>
            <w:r>
              <w:t>Entre le 01/05/2017 et le 15/05/2017</w:t>
            </w:r>
          </w:p>
        </w:tc>
        <w:tc>
          <w:tcPr>
            <w:tcW w:w="2700" w:type="dxa"/>
            <w:tcBorders>
              <w:top w:val="single" w:sz="6" w:space="0" w:color="auto"/>
              <w:left w:val="single" w:sz="8" w:space="0" w:color="auto"/>
              <w:bottom w:val="single" w:sz="6" w:space="0" w:color="auto"/>
              <w:right w:val="single" w:sz="8" w:space="0" w:color="auto"/>
            </w:tcBorders>
            <w:vAlign w:val="center"/>
          </w:tcPr>
          <w:p>
            <w:pPr>
              <w:spacing w:before="20" w:after="48"/>
            </w:pPr>
            <w:r>
              <w:t>Formulaire de choix du cours philosophique</w:t>
            </w:r>
          </w:p>
        </w:tc>
        <w:tc>
          <w:tcPr>
            <w:tcW w:w="5577" w:type="dxa"/>
            <w:tcBorders>
              <w:top w:val="single" w:sz="6" w:space="0" w:color="auto"/>
              <w:left w:val="single" w:sz="8" w:space="0" w:color="auto"/>
              <w:bottom w:val="single" w:sz="6" w:space="0" w:color="auto"/>
            </w:tcBorders>
            <w:vAlign w:val="center"/>
          </w:tcPr>
          <w:p>
            <w:pPr>
              <w:spacing w:before="20" w:after="48"/>
              <w:rPr>
                <w:szCs w:val="22"/>
              </w:rPr>
            </w:pPr>
            <w:r>
              <w:rPr>
                <w:szCs w:val="22"/>
              </w:rPr>
              <w:t xml:space="preserve">Distribution du formulaire aux parents </w:t>
            </w:r>
          </w:p>
        </w:tc>
      </w:tr>
      <w:tr>
        <w:tc>
          <w:tcPr>
            <w:tcW w:w="1728" w:type="dxa"/>
            <w:tcBorders>
              <w:top w:val="single" w:sz="6" w:space="0" w:color="auto"/>
              <w:bottom w:val="single" w:sz="12" w:space="0" w:color="auto"/>
              <w:right w:val="single" w:sz="8" w:space="0" w:color="auto"/>
            </w:tcBorders>
            <w:vAlign w:val="center"/>
          </w:tcPr>
          <w:p>
            <w:pPr>
              <w:spacing w:before="20" w:after="48"/>
              <w:jc w:val="center"/>
            </w:pPr>
            <w:r>
              <w:t>15/09/2018</w:t>
            </w:r>
          </w:p>
        </w:tc>
        <w:tc>
          <w:tcPr>
            <w:tcW w:w="2700" w:type="dxa"/>
            <w:tcBorders>
              <w:top w:val="single" w:sz="6" w:space="0" w:color="auto"/>
              <w:left w:val="single" w:sz="8" w:space="0" w:color="auto"/>
              <w:bottom w:val="single" w:sz="12" w:space="0" w:color="auto"/>
              <w:right w:val="single" w:sz="8" w:space="0" w:color="auto"/>
            </w:tcBorders>
            <w:vAlign w:val="center"/>
          </w:tcPr>
          <w:p>
            <w:pPr>
              <w:spacing w:before="20" w:after="48"/>
            </w:pPr>
            <w:r>
              <w:t>Intégration</w:t>
            </w:r>
          </w:p>
        </w:tc>
        <w:tc>
          <w:tcPr>
            <w:tcW w:w="5577" w:type="dxa"/>
            <w:tcBorders>
              <w:top w:val="single" w:sz="6" w:space="0" w:color="auto"/>
              <w:left w:val="single" w:sz="8" w:space="0" w:color="auto"/>
              <w:bottom w:val="single" w:sz="12" w:space="0" w:color="auto"/>
            </w:tcBorders>
            <w:vAlign w:val="center"/>
          </w:tcPr>
          <w:p>
            <w:pPr>
              <w:pStyle w:val="En-tte"/>
              <w:tabs>
                <w:tab w:val="clear" w:pos="4536"/>
                <w:tab w:val="clear" w:pos="9072"/>
              </w:tabs>
              <w:spacing w:before="20" w:after="48"/>
            </w:pPr>
            <w:r>
              <w:t>Date limite d’introduction des dossiers d’intégration permanente totale pour 2018-2019</w:t>
            </w:r>
          </w:p>
        </w:tc>
      </w:tr>
    </w:tbl>
    <w:p/>
    <w:p/>
    <w:p/>
    <w:p>
      <w:pPr>
        <w:pStyle w:val="MonTitre1"/>
      </w:pPr>
      <w:bookmarkStart w:id="1965" w:name="_Toc265141658"/>
      <w:bookmarkStart w:id="1966" w:name="_Toc295913856"/>
      <w:bookmarkStart w:id="1967" w:name="_Toc295992213"/>
      <w:r>
        <w:br w:type="page"/>
      </w:r>
      <w:bookmarkStart w:id="1968" w:name="_Toc423420172"/>
      <w:bookmarkStart w:id="1969" w:name="_Toc450645421"/>
      <w:bookmarkStart w:id="1970" w:name="_Toc453942660"/>
      <w:bookmarkStart w:id="1971" w:name="_Toc454888277"/>
      <w:bookmarkStart w:id="1972" w:name="_Toc486241898"/>
      <w:r>
        <w:t xml:space="preserve">Titre 13. </w:t>
      </w:r>
      <w:r>
        <w:tab/>
        <w:t>Annexes (Formulaires)</w:t>
      </w:r>
      <w:bookmarkEnd w:id="1965"/>
      <w:bookmarkEnd w:id="1966"/>
      <w:bookmarkEnd w:id="1967"/>
      <w:bookmarkEnd w:id="1968"/>
      <w:bookmarkEnd w:id="1969"/>
      <w:bookmarkEnd w:id="1970"/>
      <w:bookmarkEnd w:id="1971"/>
      <w:bookmarkEnd w:id="1972"/>
    </w:p>
    <w:p>
      <w:pPr>
        <w:pStyle w:val="Notedebasdepage"/>
        <w:rPr>
          <w:rStyle w:val="Lienhypertexte"/>
          <w:color w:val="auto"/>
          <w:u w:val="none"/>
          <w:lang w:val="fr-BE"/>
        </w:rPr>
      </w:pPr>
    </w:p>
    <w:p>
      <w:pPr>
        <w:pStyle w:val="Notedebasdepage"/>
        <w:tabs>
          <w:tab w:val="left" w:pos="1620"/>
        </w:tabs>
        <w:spacing w:after="60"/>
        <w:rPr>
          <w:rStyle w:val="Lienhypertexte"/>
          <w:b/>
          <w:color w:val="auto"/>
          <w:sz w:val="24"/>
          <w:u w:val="none"/>
        </w:rPr>
      </w:pPr>
      <w:r>
        <w:rPr>
          <w:rStyle w:val="Lienhypertexte"/>
          <w:b/>
          <w:color w:val="auto"/>
          <w:sz w:val="24"/>
          <w:u w:val="none"/>
        </w:rPr>
        <w:t>Inscriptions</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rStyle w:val="Lienhypertexte"/>
                <w:color w:val="auto"/>
                <w:sz w:val="22"/>
                <w:u w:val="none"/>
              </w:rPr>
            </w:pPr>
            <w:r>
              <w:rPr>
                <w:rStyle w:val="Lienhypertexte"/>
                <w:color w:val="auto"/>
                <w:sz w:val="22"/>
                <w:u w:val="none"/>
              </w:rPr>
              <w:t>Annexe 2.1.1.</w:t>
            </w:r>
          </w:p>
        </w:tc>
        <w:tc>
          <w:tcPr>
            <w:tcW w:w="8173" w:type="dxa"/>
          </w:tcPr>
          <w:p>
            <w:pPr>
              <w:pStyle w:val="Notedebasdepage"/>
              <w:rPr>
                <w:rStyle w:val="Lienhypertexte"/>
                <w:color w:val="auto"/>
                <w:sz w:val="22"/>
                <w:u w:val="none"/>
              </w:rPr>
            </w:pPr>
            <w:r>
              <w:rPr>
                <w:rStyle w:val="Lienhypertexte"/>
                <w:color w:val="auto"/>
                <w:sz w:val="22"/>
                <w:u w:val="none"/>
              </w:rPr>
              <w:t>Convention de scolarisation à temps partiel</w:t>
            </w:r>
          </w:p>
        </w:tc>
      </w:tr>
      <w:tr>
        <w:tc>
          <w:tcPr>
            <w:tcW w:w="1800" w:type="dxa"/>
          </w:tcPr>
          <w:p>
            <w:pPr>
              <w:pStyle w:val="Notedebasdepage"/>
              <w:rPr>
                <w:sz w:val="22"/>
              </w:rPr>
            </w:pPr>
            <w:r>
              <w:rPr>
                <w:rStyle w:val="Lienhypertexte"/>
                <w:color w:val="auto"/>
                <w:sz w:val="22"/>
                <w:u w:val="none"/>
              </w:rPr>
              <w:t>Annexe 2.2.3.</w:t>
            </w:r>
            <w:r>
              <w:rPr>
                <w:sz w:val="22"/>
              </w:rPr>
              <w:t xml:space="preserve"> </w:t>
            </w:r>
          </w:p>
        </w:tc>
        <w:tc>
          <w:tcPr>
            <w:tcW w:w="8173" w:type="dxa"/>
          </w:tcPr>
          <w:p>
            <w:pPr>
              <w:pStyle w:val="Notedebasdepage"/>
              <w:rPr>
                <w:rStyle w:val="Lienhypertexte"/>
                <w:color w:val="auto"/>
                <w:sz w:val="22"/>
                <w:u w:val="none"/>
              </w:rPr>
            </w:pPr>
            <w:r>
              <w:rPr>
                <w:rStyle w:val="Lienhypertexte"/>
                <w:color w:val="auto"/>
                <w:sz w:val="22"/>
                <w:u w:val="none"/>
              </w:rPr>
              <w:t>Demande de dérogation pour inscription tardive dans l'enseignement primaire, à partir du 1</w:t>
            </w:r>
            <w:r>
              <w:rPr>
                <w:rStyle w:val="Lienhypertexte"/>
                <w:color w:val="auto"/>
                <w:sz w:val="22"/>
                <w:u w:val="none"/>
                <w:vertAlign w:val="superscript"/>
              </w:rPr>
              <w:t>er</w:t>
            </w:r>
            <w:r>
              <w:rPr>
                <w:rStyle w:val="Lienhypertexte"/>
                <w:color w:val="auto"/>
                <w:sz w:val="22"/>
                <w:u w:val="none"/>
              </w:rPr>
              <w:t xml:space="preserve"> octobre</w:t>
            </w:r>
          </w:p>
        </w:tc>
      </w:tr>
      <w:tr>
        <w:tc>
          <w:tcPr>
            <w:tcW w:w="1800" w:type="dxa"/>
          </w:tcPr>
          <w:p>
            <w:pPr>
              <w:pStyle w:val="Notedebasdepage"/>
              <w:rPr>
                <w:sz w:val="22"/>
              </w:rPr>
            </w:pPr>
            <w:r>
              <w:rPr>
                <w:rStyle w:val="Lienhypertexte"/>
                <w:color w:val="auto"/>
                <w:sz w:val="22"/>
                <w:u w:val="none"/>
              </w:rPr>
              <w:t>Annexe 2.2.4.A.</w:t>
            </w:r>
            <w:r>
              <w:rPr>
                <w:sz w:val="22"/>
              </w:rPr>
              <w:t xml:space="preserve"> </w:t>
            </w:r>
          </w:p>
        </w:tc>
        <w:tc>
          <w:tcPr>
            <w:tcW w:w="8173" w:type="dxa"/>
          </w:tcPr>
          <w:p>
            <w:pPr>
              <w:pStyle w:val="Notedebasdepage"/>
              <w:rPr>
                <w:sz w:val="22"/>
              </w:rPr>
            </w:pPr>
            <w:r>
              <w:rPr>
                <w:sz w:val="22"/>
              </w:rPr>
              <w:t>Attestation de demande d’inscription dans l'enseignement maternel de la FWB.</w:t>
            </w:r>
          </w:p>
        </w:tc>
      </w:tr>
      <w:tr>
        <w:tc>
          <w:tcPr>
            <w:tcW w:w="1800" w:type="dxa"/>
          </w:tcPr>
          <w:p>
            <w:pPr>
              <w:pStyle w:val="Notedebasdepage"/>
              <w:rPr>
                <w:rStyle w:val="Lienhypertexte"/>
                <w:color w:val="auto"/>
                <w:sz w:val="22"/>
                <w:u w:val="none"/>
              </w:rPr>
            </w:pPr>
            <w:r>
              <w:rPr>
                <w:rStyle w:val="Lienhypertexte"/>
                <w:color w:val="auto"/>
                <w:sz w:val="22"/>
                <w:u w:val="none"/>
              </w:rPr>
              <w:t>Annexe 2.2.4.B.</w:t>
            </w:r>
          </w:p>
        </w:tc>
        <w:tc>
          <w:tcPr>
            <w:tcW w:w="8173" w:type="dxa"/>
          </w:tcPr>
          <w:p>
            <w:pPr>
              <w:pStyle w:val="Notedebasdepage"/>
              <w:rPr>
                <w:sz w:val="22"/>
              </w:rPr>
            </w:pPr>
            <w:r>
              <w:rPr>
                <w:sz w:val="22"/>
              </w:rPr>
              <w:t>Attestation de demande d’inscription dans l'enseignement primaire de la FWB.</w:t>
            </w:r>
          </w:p>
        </w:tc>
      </w:tr>
      <w:tr>
        <w:tc>
          <w:tcPr>
            <w:tcW w:w="1800" w:type="dxa"/>
          </w:tcPr>
          <w:p>
            <w:pPr>
              <w:pStyle w:val="Notedebasdepage"/>
              <w:rPr>
                <w:rStyle w:val="Lienhypertexte"/>
                <w:color w:val="auto"/>
                <w:sz w:val="22"/>
                <w:u w:val="none"/>
              </w:rPr>
            </w:pPr>
            <w:r>
              <w:rPr>
                <w:rStyle w:val="Lienhypertexte"/>
                <w:color w:val="auto"/>
                <w:sz w:val="22"/>
                <w:u w:val="none"/>
              </w:rPr>
              <w:t>Annexe 2.2.4.C.</w:t>
            </w:r>
          </w:p>
        </w:tc>
        <w:tc>
          <w:tcPr>
            <w:tcW w:w="8173" w:type="dxa"/>
          </w:tcPr>
          <w:p>
            <w:pPr>
              <w:pStyle w:val="Notedebasdepage"/>
              <w:rPr>
                <w:sz w:val="22"/>
              </w:rPr>
            </w:pPr>
            <w:r>
              <w:rPr>
                <w:sz w:val="22"/>
              </w:rPr>
              <w:t>Attestation de demande d’inscription dans l'enseignement maternel subventionné</w:t>
            </w:r>
          </w:p>
        </w:tc>
      </w:tr>
      <w:tr>
        <w:tc>
          <w:tcPr>
            <w:tcW w:w="1800" w:type="dxa"/>
          </w:tcPr>
          <w:p>
            <w:pPr>
              <w:pStyle w:val="Notedebasdepage"/>
              <w:rPr>
                <w:rStyle w:val="Lienhypertexte"/>
                <w:color w:val="auto"/>
                <w:sz w:val="22"/>
                <w:u w:val="none"/>
              </w:rPr>
            </w:pPr>
            <w:r>
              <w:rPr>
                <w:rStyle w:val="Lienhypertexte"/>
                <w:color w:val="auto"/>
                <w:sz w:val="22"/>
                <w:u w:val="none"/>
              </w:rPr>
              <w:t>Annexe 2.2.4.D.</w:t>
            </w:r>
          </w:p>
        </w:tc>
        <w:tc>
          <w:tcPr>
            <w:tcW w:w="8173" w:type="dxa"/>
          </w:tcPr>
          <w:p>
            <w:pPr>
              <w:pStyle w:val="Notedebasdepage"/>
              <w:rPr>
                <w:sz w:val="22"/>
              </w:rPr>
            </w:pPr>
            <w:r>
              <w:rPr>
                <w:sz w:val="22"/>
              </w:rPr>
              <w:t>Attestation de demande d’inscription dans l'enseignement primaire subventionné</w:t>
            </w:r>
          </w:p>
        </w:tc>
      </w:tr>
      <w:tr>
        <w:tc>
          <w:tcPr>
            <w:tcW w:w="1800" w:type="dxa"/>
          </w:tcPr>
          <w:p>
            <w:pPr>
              <w:pStyle w:val="Notedebasdepage"/>
              <w:rPr>
                <w:sz w:val="22"/>
              </w:rPr>
            </w:pPr>
            <w:r>
              <w:rPr>
                <w:rStyle w:val="Lienhypertexte"/>
                <w:color w:val="auto"/>
                <w:sz w:val="22"/>
                <w:u w:val="none"/>
              </w:rPr>
              <w:t>Annexe 2.2.4.E.</w:t>
            </w:r>
            <w:r>
              <w:rPr>
                <w:sz w:val="22"/>
              </w:rPr>
              <w:t xml:space="preserve"> </w:t>
            </w:r>
          </w:p>
        </w:tc>
        <w:tc>
          <w:tcPr>
            <w:tcW w:w="8173" w:type="dxa"/>
          </w:tcPr>
          <w:p>
            <w:pPr>
              <w:pStyle w:val="Notedebasdepage"/>
              <w:rPr>
                <w:sz w:val="22"/>
              </w:rPr>
            </w:pPr>
            <w:r>
              <w:rPr>
                <w:sz w:val="22"/>
              </w:rPr>
              <w:t>Attestation de manque de locaux disponibles dans une école</w:t>
            </w:r>
          </w:p>
        </w:tc>
      </w:tr>
    </w:tbl>
    <w:p>
      <w:pPr>
        <w:pStyle w:val="Notedebasdepage"/>
        <w:tabs>
          <w:tab w:val="left" w:pos="1620"/>
        </w:tabs>
        <w:ind w:left="1620" w:hanging="1620"/>
        <w:rPr>
          <w:rStyle w:val="Lienhypertexte"/>
          <w:color w:val="auto"/>
          <w:u w:val="none"/>
        </w:rPr>
      </w:pPr>
    </w:p>
    <w:p>
      <w:pPr>
        <w:pStyle w:val="Notedebasdepage"/>
        <w:tabs>
          <w:tab w:val="left" w:pos="1620"/>
        </w:tabs>
        <w:spacing w:after="60"/>
        <w:ind w:left="1622" w:hanging="1622"/>
        <w:rPr>
          <w:rStyle w:val="Lienhypertexte"/>
          <w:b/>
          <w:color w:val="auto"/>
          <w:sz w:val="24"/>
          <w:u w:val="none"/>
        </w:rPr>
      </w:pPr>
      <w:r>
        <w:rPr>
          <w:rStyle w:val="Lienhypertexte"/>
          <w:b/>
          <w:color w:val="auto"/>
          <w:sz w:val="24"/>
          <w:u w:val="none"/>
        </w:rPr>
        <w:t>Dérogations d’âge</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sz w:val="22"/>
              </w:rPr>
            </w:pPr>
            <w:r>
              <w:rPr>
                <w:rStyle w:val="Lienhypertexte"/>
                <w:color w:val="auto"/>
                <w:sz w:val="22"/>
                <w:u w:val="none"/>
              </w:rPr>
              <w:t>Annexe 2.3.A</w:t>
            </w:r>
            <w:r>
              <w:rPr>
                <w:sz w:val="22"/>
              </w:rPr>
              <w:t xml:space="preserve">. </w:t>
            </w:r>
          </w:p>
        </w:tc>
        <w:tc>
          <w:tcPr>
            <w:tcW w:w="8173" w:type="dxa"/>
          </w:tcPr>
          <w:p>
            <w:pPr>
              <w:pStyle w:val="Notedebasdepage"/>
              <w:rPr>
                <w:rStyle w:val="Lienhypertexte"/>
                <w:color w:val="auto"/>
                <w:sz w:val="22"/>
                <w:u w:val="none"/>
              </w:rPr>
            </w:pPr>
            <w:r>
              <w:rPr>
                <w:rStyle w:val="Lienhypertexte"/>
                <w:color w:val="auto"/>
                <w:sz w:val="22"/>
                <w:u w:val="none"/>
              </w:rPr>
              <w:t>Demande de dérogation d’âge - Attestation d’avis de la direction de l’école</w:t>
            </w:r>
          </w:p>
        </w:tc>
      </w:tr>
      <w:tr>
        <w:tc>
          <w:tcPr>
            <w:tcW w:w="1800" w:type="dxa"/>
          </w:tcPr>
          <w:p>
            <w:pPr>
              <w:pStyle w:val="Notedebasdepage"/>
              <w:rPr>
                <w:rStyle w:val="Lienhypertexte"/>
                <w:color w:val="auto"/>
                <w:sz w:val="22"/>
                <w:u w:val="none"/>
              </w:rPr>
            </w:pPr>
            <w:hyperlink w:anchor="_Toc103770210" w:history="1">
              <w:r>
                <w:rPr>
                  <w:rStyle w:val="Lienhypertexte"/>
                  <w:color w:val="auto"/>
                  <w:sz w:val="22"/>
                  <w:u w:val="none"/>
                </w:rPr>
                <w:t>Annexe 2.3.B</w:t>
              </w:r>
            </w:hyperlink>
            <w:r>
              <w:rPr>
                <w:rStyle w:val="Lienhypertexte"/>
                <w:color w:val="auto"/>
                <w:sz w:val="22"/>
                <w:u w:val="none"/>
              </w:rPr>
              <w:t xml:space="preserve">. </w:t>
            </w:r>
          </w:p>
        </w:tc>
        <w:tc>
          <w:tcPr>
            <w:tcW w:w="8173" w:type="dxa"/>
          </w:tcPr>
          <w:p>
            <w:pPr>
              <w:pStyle w:val="Notedebasdepage"/>
              <w:rPr>
                <w:sz w:val="22"/>
              </w:rPr>
            </w:pPr>
            <w:r>
              <w:rPr>
                <w:rStyle w:val="Lienhypertexte"/>
                <w:color w:val="auto"/>
                <w:sz w:val="22"/>
                <w:u w:val="none"/>
              </w:rPr>
              <w:t>Demande de dérogation d’âge - Attestation d’avis du centre PMS</w:t>
            </w:r>
          </w:p>
        </w:tc>
      </w:tr>
      <w:tr>
        <w:tc>
          <w:tcPr>
            <w:tcW w:w="1800" w:type="dxa"/>
          </w:tcPr>
          <w:p>
            <w:pPr>
              <w:pStyle w:val="Notedebasdepage"/>
              <w:rPr>
                <w:rStyle w:val="Lienhypertexte"/>
                <w:color w:val="auto"/>
                <w:sz w:val="22"/>
                <w:u w:val="none"/>
              </w:rPr>
            </w:pPr>
            <w:hyperlink w:anchor="_Toc103770211" w:history="1">
              <w:r>
                <w:rPr>
                  <w:rStyle w:val="Lienhypertexte"/>
                  <w:color w:val="auto"/>
                  <w:sz w:val="22"/>
                  <w:u w:val="none"/>
                </w:rPr>
                <w:t>Annexe 2.3.C</w:t>
              </w:r>
            </w:hyperlink>
            <w:r>
              <w:rPr>
                <w:rStyle w:val="Lienhypertexte"/>
                <w:color w:val="auto"/>
                <w:sz w:val="22"/>
                <w:u w:val="none"/>
              </w:rPr>
              <w:t xml:space="preserve">. </w:t>
            </w:r>
          </w:p>
        </w:tc>
        <w:tc>
          <w:tcPr>
            <w:tcW w:w="8173" w:type="dxa"/>
          </w:tcPr>
          <w:p>
            <w:pPr>
              <w:pStyle w:val="Notedebasdepage"/>
              <w:rPr>
                <w:rStyle w:val="Lienhypertexte"/>
                <w:color w:val="auto"/>
                <w:sz w:val="22"/>
                <w:u w:val="none"/>
              </w:rPr>
            </w:pPr>
            <w:r>
              <w:rPr>
                <w:rStyle w:val="Lienhypertexte"/>
                <w:color w:val="auto"/>
                <w:sz w:val="22"/>
                <w:u w:val="none"/>
              </w:rPr>
              <w:t>Demande de dérogation d’âge - Déclaration des parents</w:t>
            </w:r>
          </w:p>
        </w:tc>
      </w:tr>
    </w:tbl>
    <w:p>
      <w:pPr>
        <w:pStyle w:val="Notedebasdepage"/>
        <w:tabs>
          <w:tab w:val="left" w:pos="1620"/>
        </w:tabs>
        <w:ind w:left="1620" w:hanging="1620"/>
      </w:pPr>
    </w:p>
    <w:p>
      <w:pPr>
        <w:pStyle w:val="Notedebasdepage"/>
        <w:tabs>
          <w:tab w:val="left" w:pos="1620"/>
        </w:tabs>
        <w:spacing w:after="60"/>
        <w:ind w:left="1622" w:hanging="1622"/>
        <w:rPr>
          <w:b/>
          <w:sz w:val="24"/>
        </w:rPr>
      </w:pPr>
      <w:r>
        <w:rPr>
          <w:b/>
          <w:sz w:val="24"/>
        </w:rPr>
        <w:t>Changements d’école ou d’implantation en cours d’année scolaire</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rStyle w:val="Lienhypertexte"/>
                <w:color w:val="auto"/>
                <w:sz w:val="22"/>
                <w:u w:val="none"/>
              </w:rPr>
            </w:pPr>
            <w:r>
              <w:rPr>
                <w:rStyle w:val="Lienhypertexte"/>
                <w:color w:val="auto"/>
                <w:sz w:val="22"/>
                <w:u w:val="none"/>
              </w:rPr>
              <w:t>Annexe 2.4.A.</w:t>
            </w:r>
          </w:p>
        </w:tc>
        <w:tc>
          <w:tcPr>
            <w:tcW w:w="8173" w:type="dxa"/>
          </w:tcPr>
          <w:p>
            <w:pPr>
              <w:pStyle w:val="Notedebasdepage"/>
              <w:rPr>
                <w:rStyle w:val="Lienhypertexte"/>
                <w:color w:val="auto"/>
                <w:sz w:val="22"/>
                <w:u w:val="none"/>
              </w:rPr>
            </w:pPr>
            <w:r>
              <w:rPr>
                <w:rStyle w:val="Lienhypertexte"/>
                <w:color w:val="auto"/>
                <w:sz w:val="22"/>
                <w:u w:val="none"/>
              </w:rPr>
              <w:t xml:space="preserve">Demande d'autorisation de changement d’école ou d'implantation à comptage séparé en cours d'année scolaire ou en cours de cycle: </w:t>
            </w:r>
            <w:r>
              <w:rPr>
                <w:rStyle w:val="Lienhypertexte"/>
                <w:color w:val="auto"/>
                <w:sz w:val="22"/>
                <w:u w:val="none"/>
              </w:rPr>
              <w:br/>
              <w:t>Fédération Wallonie-Bruxelles → Fédération Wallonie-Bruxelles – Formule I</w:t>
            </w:r>
          </w:p>
        </w:tc>
      </w:tr>
      <w:tr>
        <w:tc>
          <w:tcPr>
            <w:tcW w:w="1800" w:type="dxa"/>
          </w:tcPr>
          <w:p>
            <w:pPr>
              <w:pStyle w:val="Notedebasdepage"/>
              <w:rPr>
                <w:rStyle w:val="Lienhypertexte"/>
                <w:color w:val="auto"/>
                <w:sz w:val="22"/>
                <w:u w:val="none"/>
              </w:rPr>
            </w:pPr>
            <w:r>
              <w:rPr>
                <w:rStyle w:val="Lienhypertexte"/>
                <w:color w:val="auto"/>
                <w:sz w:val="22"/>
                <w:u w:val="none"/>
              </w:rPr>
              <w:t>Annexe 2.4.B.</w:t>
            </w:r>
          </w:p>
        </w:tc>
        <w:tc>
          <w:tcPr>
            <w:tcW w:w="8173" w:type="dxa"/>
          </w:tcPr>
          <w:p>
            <w:pPr>
              <w:pStyle w:val="Notedebasdepage"/>
              <w:rPr>
                <w:sz w:val="22"/>
              </w:rPr>
            </w:pPr>
            <w:r>
              <w:rPr>
                <w:rStyle w:val="Lienhypertexte"/>
                <w:color w:val="auto"/>
                <w:sz w:val="22"/>
                <w:u w:val="none"/>
              </w:rPr>
              <w:t xml:space="preserve">Demande d'autorisation de changement d’école ou d'implantation à comptage séparé en cours d'année scolaire ou en cours de cycle: </w:t>
            </w:r>
            <w:r>
              <w:rPr>
                <w:rStyle w:val="Lienhypertexte"/>
                <w:color w:val="auto"/>
                <w:sz w:val="22"/>
                <w:u w:val="none"/>
              </w:rPr>
              <w:br/>
              <w:t>Fédération Wallonie-Bruxelles → Fédération Wallonie-Bruxelles – Formule II</w:t>
            </w:r>
          </w:p>
        </w:tc>
      </w:tr>
      <w:tr>
        <w:tc>
          <w:tcPr>
            <w:tcW w:w="1800" w:type="dxa"/>
          </w:tcPr>
          <w:p>
            <w:pPr>
              <w:pStyle w:val="Notedebasdepage"/>
              <w:rPr>
                <w:rStyle w:val="Lienhypertexte"/>
                <w:color w:val="auto"/>
                <w:sz w:val="22"/>
                <w:u w:val="none"/>
              </w:rPr>
            </w:pPr>
            <w:r>
              <w:rPr>
                <w:rStyle w:val="Lienhypertexte"/>
                <w:color w:val="auto"/>
                <w:sz w:val="22"/>
                <w:u w:val="none"/>
              </w:rPr>
              <w:t>Annexe 2.4.C.</w:t>
            </w:r>
          </w:p>
        </w:tc>
        <w:tc>
          <w:tcPr>
            <w:tcW w:w="8173" w:type="dxa"/>
          </w:tcPr>
          <w:p>
            <w:pPr>
              <w:pStyle w:val="Notedebasdepage"/>
              <w:rPr>
                <w:sz w:val="22"/>
              </w:rPr>
            </w:pPr>
            <w:r>
              <w:rPr>
                <w:rStyle w:val="Lienhypertexte"/>
                <w:color w:val="auto"/>
                <w:sz w:val="22"/>
                <w:u w:val="none"/>
              </w:rPr>
              <w:t xml:space="preserve">Demande d'autorisation de changement d’école ou d'implantation à comptage séparé en cours d'année scolaire ou en cours de cycle: </w:t>
            </w:r>
            <w:r>
              <w:rPr>
                <w:rStyle w:val="Lienhypertexte"/>
                <w:color w:val="auto"/>
                <w:sz w:val="22"/>
                <w:u w:val="none"/>
              </w:rPr>
              <w:br/>
              <w:t>Fédération Wallonie-Bruxelles → Fédération Wallonie-Bruxelles – Formule III</w:t>
            </w:r>
          </w:p>
        </w:tc>
      </w:tr>
      <w:tr>
        <w:tc>
          <w:tcPr>
            <w:tcW w:w="1800" w:type="dxa"/>
          </w:tcPr>
          <w:p>
            <w:pPr>
              <w:pStyle w:val="Notedebasdepage"/>
              <w:rPr>
                <w:rStyle w:val="Lienhypertexte"/>
                <w:color w:val="auto"/>
                <w:sz w:val="22"/>
                <w:u w:val="none"/>
              </w:rPr>
            </w:pPr>
            <w:r>
              <w:rPr>
                <w:rStyle w:val="Lienhypertexte"/>
                <w:color w:val="auto"/>
                <w:sz w:val="22"/>
                <w:u w:val="none"/>
              </w:rPr>
              <w:t>Annexe 2.4.D.</w:t>
            </w:r>
          </w:p>
        </w:tc>
        <w:tc>
          <w:tcPr>
            <w:tcW w:w="8173" w:type="dxa"/>
          </w:tcPr>
          <w:p>
            <w:pPr>
              <w:pStyle w:val="Notedebasdepage"/>
              <w:rPr>
                <w:rStyle w:val="Lienhypertexte"/>
                <w:color w:val="auto"/>
                <w:sz w:val="22"/>
                <w:szCs w:val="22"/>
                <w:u w:val="none"/>
              </w:rPr>
            </w:pPr>
            <w:r>
              <w:rPr>
                <w:sz w:val="22"/>
                <w:szCs w:val="22"/>
              </w:rPr>
              <w:t>Demande d’autorisation de changement d’école ou d’implantation à comptage séparé en cours d’année scolaire ou en cours de cycle – Procès verbal d’audition</w:t>
            </w:r>
          </w:p>
        </w:tc>
      </w:tr>
    </w:tbl>
    <w:p>
      <w:pPr>
        <w:pStyle w:val="Notedebasdepage"/>
        <w:tabs>
          <w:tab w:val="left" w:pos="1620"/>
        </w:tabs>
        <w:ind w:left="1620" w:hanging="1620"/>
        <w:rPr>
          <w:rStyle w:val="Lienhypertexte"/>
          <w:color w:val="auto"/>
          <w:u w:val="none"/>
        </w:rPr>
      </w:pPr>
    </w:p>
    <w:p>
      <w:pPr>
        <w:pStyle w:val="Notedebasdepage"/>
        <w:tabs>
          <w:tab w:val="left" w:pos="1620"/>
        </w:tabs>
        <w:spacing w:after="60"/>
        <w:ind w:left="1622" w:hanging="1622"/>
        <w:rPr>
          <w:rStyle w:val="Lienhypertexte"/>
          <w:b/>
          <w:color w:val="auto"/>
          <w:sz w:val="24"/>
          <w:u w:val="none"/>
        </w:rPr>
      </w:pPr>
      <w:r>
        <w:rPr>
          <w:rStyle w:val="Lienhypertexte"/>
          <w:b/>
          <w:color w:val="auto"/>
          <w:sz w:val="24"/>
          <w:u w:val="none"/>
        </w:rPr>
        <w:t>Absences d’élèves en âge d’obligation scolaire</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rStyle w:val="Lienhypertexte"/>
                <w:color w:val="auto"/>
                <w:sz w:val="22"/>
                <w:u w:val="none"/>
              </w:rPr>
            </w:pPr>
            <w:r>
              <w:rPr>
                <w:rStyle w:val="Lienhypertexte"/>
                <w:color w:val="auto"/>
                <w:sz w:val="22"/>
                <w:u w:val="none"/>
              </w:rPr>
              <w:t>Annexe 2.5.A</w:t>
            </w:r>
          </w:p>
        </w:tc>
        <w:tc>
          <w:tcPr>
            <w:tcW w:w="8173" w:type="dxa"/>
          </w:tcPr>
          <w:p>
            <w:pPr>
              <w:pStyle w:val="Notedebasdepage"/>
              <w:rPr>
                <w:sz w:val="22"/>
              </w:rPr>
            </w:pPr>
            <w:r>
              <w:rPr>
                <w:sz w:val="22"/>
              </w:rPr>
              <w:t>Coordonnées du Conseillers de l’Aide à la Jeunesse</w:t>
            </w:r>
          </w:p>
        </w:tc>
      </w:tr>
      <w:tr>
        <w:tc>
          <w:tcPr>
            <w:tcW w:w="1800" w:type="dxa"/>
          </w:tcPr>
          <w:p>
            <w:pPr>
              <w:pStyle w:val="Notedebasdepage"/>
              <w:rPr>
                <w:rStyle w:val="Lienhypertexte"/>
                <w:color w:val="auto"/>
                <w:sz w:val="22"/>
                <w:u w:val="none"/>
              </w:rPr>
            </w:pPr>
            <w:r>
              <w:rPr>
                <w:rStyle w:val="Lienhypertexte"/>
                <w:color w:val="auto"/>
                <w:sz w:val="22"/>
                <w:u w:val="none"/>
              </w:rPr>
              <w:t>Annexe 2.5.B</w:t>
            </w:r>
          </w:p>
        </w:tc>
        <w:tc>
          <w:tcPr>
            <w:tcW w:w="8173" w:type="dxa"/>
          </w:tcPr>
          <w:p>
            <w:pPr>
              <w:pStyle w:val="Notedebasdepage"/>
              <w:rPr>
                <w:sz w:val="22"/>
              </w:rPr>
            </w:pPr>
            <w:r>
              <w:rPr>
                <w:sz w:val="22"/>
              </w:rPr>
              <w:t>Coordonnées des Services d’Accrochage Scolaire (SAS)</w:t>
            </w:r>
          </w:p>
        </w:tc>
      </w:tr>
      <w:tr>
        <w:tc>
          <w:tcPr>
            <w:tcW w:w="1800" w:type="dxa"/>
          </w:tcPr>
          <w:p>
            <w:pPr>
              <w:pStyle w:val="Notedebasdepage"/>
              <w:rPr>
                <w:rStyle w:val="Lienhypertexte"/>
                <w:color w:val="auto"/>
                <w:sz w:val="22"/>
                <w:u w:val="none"/>
              </w:rPr>
            </w:pPr>
            <w:r>
              <w:rPr>
                <w:rStyle w:val="Lienhypertexte"/>
                <w:color w:val="auto"/>
                <w:sz w:val="22"/>
                <w:u w:val="none"/>
              </w:rPr>
              <w:t>Annexe 2.5.C</w:t>
            </w:r>
          </w:p>
        </w:tc>
        <w:tc>
          <w:tcPr>
            <w:tcW w:w="8173" w:type="dxa"/>
          </w:tcPr>
          <w:p>
            <w:pPr>
              <w:pStyle w:val="Notedebasdepage"/>
              <w:rPr>
                <w:sz w:val="22"/>
                <w:szCs w:val="22"/>
              </w:rPr>
            </w:pPr>
            <w:r>
              <w:rPr>
                <w:sz w:val="22"/>
                <w:szCs w:val="22"/>
              </w:rPr>
              <w:t>Inscription d’un élève à l’issue d’une prise en charge par un SAS en application des articles 31, 32 ou 33 du Décret sectoriel du 21/11/2013</w:t>
            </w:r>
          </w:p>
        </w:tc>
      </w:tr>
    </w:tbl>
    <w:p>
      <w:pPr>
        <w:pStyle w:val="Notedebasdepage"/>
        <w:tabs>
          <w:tab w:val="left" w:pos="1620"/>
        </w:tabs>
        <w:ind w:left="1620" w:hanging="1620"/>
        <w:rPr>
          <w:rStyle w:val="Lienhypertexte"/>
          <w:color w:val="auto"/>
          <w:u w:val="none"/>
        </w:rPr>
      </w:pPr>
    </w:p>
    <w:p>
      <w:pPr>
        <w:pStyle w:val="Notedebasdepage"/>
        <w:tabs>
          <w:tab w:val="left" w:pos="1620"/>
        </w:tabs>
        <w:spacing w:after="60"/>
        <w:ind w:left="1622" w:hanging="1622"/>
        <w:rPr>
          <w:rStyle w:val="Lienhypertexte"/>
          <w:b/>
          <w:color w:val="auto"/>
          <w:sz w:val="24"/>
          <w:u w:val="none"/>
        </w:rPr>
      </w:pPr>
      <w:r>
        <w:rPr>
          <w:rStyle w:val="Lienhypertexte"/>
          <w:b/>
          <w:color w:val="auto"/>
          <w:sz w:val="24"/>
          <w:u w:val="none"/>
        </w:rPr>
        <w:t>Gestion des conflits et actes de violence</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rStyle w:val="Lienhypertexte"/>
                <w:color w:val="auto"/>
                <w:sz w:val="22"/>
                <w:u w:val="none"/>
              </w:rPr>
            </w:pPr>
            <w:r>
              <w:rPr>
                <w:rStyle w:val="Lienhypertexte"/>
                <w:color w:val="auto"/>
                <w:sz w:val="22"/>
                <w:u w:val="none"/>
              </w:rPr>
              <w:t>Annexe 2.7</w:t>
            </w:r>
          </w:p>
        </w:tc>
        <w:tc>
          <w:tcPr>
            <w:tcW w:w="8173" w:type="dxa"/>
          </w:tcPr>
          <w:p>
            <w:pPr>
              <w:pStyle w:val="Notedebasdepage"/>
              <w:rPr>
                <w:sz w:val="22"/>
              </w:rPr>
            </w:pPr>
            <w:r>
              <w:rPr>
                <w:sz w:val="22"/>
              </w:rPr>
              <w:t>Modèle de base de protocole de collaboration avec les services de police</w:t>
            </w:r>
          </w:p>
        </w:tc>
      </w:tr>
    </w:tbl>
    <w:p>
      <w:pPr>
        <w:pStyle w:val="Notedebasdepage"/>
        <w:tabs>
          <w:tab w:val="left" w:pos="1620"/>
        </w:tabs>
        <w:ind w:left="1620" w:hanging="1620"/>
        <w:rPr>
          <w:rStyle w:val="Lienhypertexte"/>
          <w:color w:val="auto"/>
          <w:u w:val="none"/>
        </w:rPr>
      </w:pPr>
    </w:p>
    <w:p>
      <w:pPr>
        <w:pStyle w:val="Notedebasdepage"/>
        <w:tabs>
          <w:tab w:val="left" w:pos="1620"/>
        </w:tabs>
        <w:spacing w:after="60"/>
        <w:ind w:left="1622" w:hanging="1622"/>
        <w:rPr>
          <w:rStyle w:val="Lienhypertexte"/>
          <w:b/>
          <w:color w:val="auto"/>
          <w:sz w:val="24"/>
          <w:u w:val="none"/>
        </w:rPr>
      </w:pPr>
      <w:r>
        <w:rPr>
          <w:rStyle w:val="Lienhypertexte"/>
          <w:b/>
          <w:color w:val="auto"/>
          <w:sz w:val="24"/>
          <w:u w:val="none"/>
        </w:rPr>
        <w:t>Commission consultative de l’enseignement spécialisé</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sz w:val="22"/>
              </w:rPr>
            </w:pPr>
            <w:r>
              <w:rPr>
                <w:rStyle w:val="Lienhypertexte"/>
                <w:color w:val="auto"/>
                <w:sz w:val="22"/>
                <w:u w:val="none"/>
              </w:rPr>
              <w:t>Annexe 2.9</w:t>
            </w:r>
            <w:r>
              <w:rPr>
                <w:sz w:val="22"/>
              </w:rPr>
              <w:t xml:space="preserve"> </w:t>
            </w:r>
          </w:p>
        </w:tc>
        <w:tc>
          <w:tcPr>
            <w:tcW w:w="8173" w:type="dxa"/>
          </w:tcPr>
          <w:p>
            <w:pPr>
              <w:pStyle w:val="Notedebasdepage"/>
              <w:rPr>
                <w:sz w:val="22"/>
              </w:rPr>
            </w:pPr>
            <w:r>
              <w:rPr>
                <w:sz w:val="22"/>
              </w:rPr>
              <w:t>Commission consultative de l’enseignement spécialisé</w:t>
            </w:r>
          </w:p>
        </w:tc>
      </w:tr>
    </w:tbl>
    <w:p>
      <w:pPr>
        <w:pStyle w:val="Notedebasdepage"/>
        <w:tabs>
          <w:tab w:val="left" w:pos="1620"/>
        </w:tabs>
        <w:ind w:left="1620" w:hanging="1620"/>
        <w:rPr>
          <w:rStyle w:val="Lienhypertexte"/>
          <w:color w:val="auto"/>
          <w:u w:val="none"/>
        </w:rPr>
      </w:pPr>
    </w:p>
    <w:p>
      <w:pPr>
        <w:pStyle w:val="Notedebasdepage"/>
        <w:tabs>
          <w:tab w:val="left" w:pos="1620"/>
        </w:tabs>
        <w:spacing w:after="60"/>
        <w:ind w:left="1622" w:hanging="1622"/>
        <w:rPr>
          <w:rStyle w:val="Lienhypertexte"/>
          <w:b/>
          <w:color w:val="auto"/>
          <w:sz w:val="24"/>
          <w:u w:val="none"/>
        </w:rPr>
      </w:pPr>
      <w:r>
        <w:rPr>
          <w:rStyle w:val="Lienhypertexte"/>
          <w:b/>
          <w:color w:val="auto"/>
          <w:sz w:val="24"/>
          <w:u w:val="none"/>
        </w:rPr>
        <w:t>Reconnaissance de bâtiment annexe</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rStyle w:val="Lienhypertexte"/>
                <w:color w:val="auto"/>
                <w:sz w:val="22"/>
                <w:u w:val="none"/>
              </w:rPr>
            </w:pPr>
            <w:r>
              <w:rPr>
                <w:rStyle w:val="Lienhypertexte"/>
                <w:color w:val="auto"/>
                <w:sz w:val="22"/>
                <w:u w:val="none"/>
              </w:rPr>
              <w:t>Annexe 3.1.A</w:t>
            </w:r>
          </w:p>
        </w:tc>
        <w:tc>
          <w:tcPr>
            <w:tcW w:w="8173" w:type="dxa"/>
          </w:tcPr>
          <w:p>
            <w:pPr>
              <w:pStyle w:val="Notedebasdepage"/>
              <w:rPr>
                <w:sz w:val="22"/>
              </w:rPr>
            </w:pPr>
            <w:r>
              <w:rPr>
                <w:sz w:val="22"/>
              </w:rPr>
              <w:t xml:space="preserve">Demande de reconnaissance de bâtiment annexe – </w:t>
            </w:r>
            <w:r>
              <w:rPr>
                <w:sz w:val="18"/>
                <w:szCs w:val="18"/>
              </w:rPr>
              <w:t>Enseignement subventionné</w:t>
            </w:r>
          </w:p>
        </w:tc>
      </w:tr>
      <w:tr>
        <w:tc>
          <w:tcPr>
            <w:tcW w:w="1800" w:type="dxa"/>
          </w:tcPr>
          <w:p>
            <w:pPr>
              <w:pStyle w:val="Notedebasdepage"/>
              <w:rPr>
                <w:rStyle w:val="Lienhypertexte"/>
                <w:color w:val="auto"/>
                <w:sz w:val="22"/>
                <w:u w:val="none"/>
              </w:rPr>
            </w:pPr>
            <w:r>
              <w:rPr>
                <w:rStyle w:val="Lienhypertexte"/>
                <w:color w:val="auto"/>
                <w:sz w:val="22"/>
                <w:u w:val="none"/>
              </w:rPr>
              <w:t>Annexe 3.1.B</w:t>
            </w:r>
          </w:p>
        </w:tc>
        <w:tc>
          <w:tcPr>
            <w:tcW w:w="8173" w:type="dxa"/>
          </w:tcPr>
          <w:p>
            <w:pPr>
              <w:pStyle w:val="Notedebasdepage"/>
              <w:rPr>
                <w:sz w:val="22"/>
              </w:rPr>
            </w:pPr>
            <w:r>
              <w:rPr>
                <w:sz w:val="22"/>
              </w:rPr>
              <w:t xml:space="preserve">Demande de reconnaissance de bâtiment annexe – </w:t>
            </w:r>
            <w:r>
              <w:rPr>
                <w:sz w:val="18"/>
                <w:szCs w:val="18"/>
              </w:rPr>
              <w:t>Enseignement organisé par la CF</w:t>
            </w:r>
          </w:p>
        </w:tc>
      </w:tr>
    </w:tbl>
    <w:p>
      <w:pPr>
        <w:pStyle w:val="Notedebasdepage"/>
        <w:tabs>
          <w:tab w:val="left" w:pos="1620"/>
        </w:tabs>
        <w:rPr>
          <w:rStyle w:val="Lienhypertexte"/>
          <w:color w:val="auto"/>
          <w:u w:val="none"/>
        </w:rPr>
      </w:pPr>
    </w:p>
    <w:p>
      <w:pPr>
        <w:pStyle w:val="Notedebasdepage"/>
        <w:tabs>
          <w:tab w:val="left" w:pos="1620"/>
        </w:tabs>
        <w:spacing w:after="60"/>
        <w:ind w:left="1622" w:hanging="1622"/>
        <w:rPr>
          <w:rStyle w:val="Lienhypertexte"/>
          <w:b/>
          <w:color w:val="auto"/>
          <w:sz w:val="24"/>
          <w:u w:val="none"/>
        </w:rPr>
      </w:pPr>
      <w:r>
        <w:rPr>
          <w:rStyle w:val="Lienhypertexte"/>
          <w:b/>
          <w:color w:val="auto"/>
          <w:sz w:val="24"/>
          <w:u w:val="none"/>
        </w:rPr>
        <w:br w:type="page"/>
        <w:t>Taille des classes dans l’enseignement primaire</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sz w:val="22"/>
              </w:rPr>
            </w:pPr>
            <w:r>
              <w:rPr>
                <w:sz w:val="22"/>
              </w:rPr>
              <w:t>Annexe 3.3.1.</w:t>
            </w:r>
          </w:p>
        </w:tc>
        <w:tc>
          <w:tcPr>
            <w:tcW w:w="8173" w:type="dxa"/>
          </w:tcPr>
          <w:p>
            <w:pPr>
              <w:pStyle w:val="Notedebasdepage"/>
              <w:rPr>
                <w:sz w:val="22"/>
                <w:szCs w:val="22"/>
              </w:rPr>
            </w:pPr>
            <w:r>
              <w:rPr>
                <w:sz w:val="22"/>
                <w:szCs w:val="22"/>
              </w:rPr>
              <w:t>Récapitulatif annuel des dépassements</w:t>
            </w:r>
          </w:p>
        </w:tc>
      </w:tr>
      <w:tr>
        <w:tc>
          <w:tcPr>
            <w:tcW w:w="1800" w:type="dxa"/>
            <w:tcBorders>
              <w:top w:val="single" w:sz="4" w:space="0" w:color="auto"/>
              <w:left w:val="single" w:sz="4" w:space="0" w:color="auto"/>
              <w:bottom w:val="single" w:sz="4" w:space="0" w:color="auto"/>
              <w:right w:val="single" w:sz="4" w:space="0" w:color="auto"/>
            </w:tcBorders>
          </w:tcPr>
          <w:p>
            <w:pPr>
              <w:pStyle w:val="Notedebasdepage"/>
              <w:rPr>
                <w:sz w:val="22"/>
              </w:rPr>
            </w:pPr>
            <w:r>
              <w:rPr>
                <w:sz w:val="22"/>
              </w:rPr>
              <w:t>Annexe 3.3.2.</w:t>
            </w:r>
          </w:p>
        </w:tc>
        <w:tc>
          <w:tcPr>
            <w:tcW w:w="8173" w:type="dxa"/>
            <w:tcBorders>
              <w:top w:val="single" w:sz="4" w:space="0" w:color="auto"/>
              <w:left w:val="single" w:sz="4" w:space="0" w:color="auto"/>
              <w:bottom w:val="single" w:sz="4" w:space="0" w:color="auto"/>
              <w:right w:val="single" w:sz="4" w:space="0" w:color="auto"/>
            </w:tcBorders>
          </w:tcPr>
          <w:p>
            <w:pPr>
              <w:pStyle w:val="Notedebasdepage"/>
              <w:jc w:val="both"/>
              <w:rPr>
                <w:sz w:val="22"/>
              </w:rPr>
            </w:pPr>
            <w:r>
              <w:rPr>
                <w:sz w:val="22"/>
              </w:rPr>
              <w:t>Demande de dérogation relative à la taille des classes en raison d’une organisation pédagogique particulière</w:t>
            </w:r>
          </w:p>
        </w:tc>
      </w:tr>
      <w:tr>
        <w:tc>
          <w:tcPr>
            <w:tcW w:w="1800" w:type="dxa"/>
            <w:tcBorders>
              <w:top w:val="single" w:sz="4" w:space="0" w:color="auto"/>
              <w:left w:val="single" w:sz="4" w:space="0" w:color="auto"/>
              <w:bottom w:val="single" w:sz="4" w:space="0" w:color="auto"/>
              <w:right w:val="single" w:sz="4" w:space="0" w:color="auto"/>
            </w:tcBorders>
          </w:tcPr>
          <w:p>
            <w:pPr>
              <w:pStyle w:val="Notedebasdepage"/>
              <w:rPr>
                <w:sz w:val="22"/>
              </w:rPr>
            </w:pPr>
            <w:r>
              <w:rPr>
                <w:sz w:val="22"/>
              </w:rPr>
              <w:t>Annexe 3.3.3.</w:t>
            </w:r>
          </w:p>
        </w:tc>
        <w:tc>
          <w:tcPr>
            <w:tcW w:w="8173" w:type="dxa"/>
            <w:tcBorders>
              <w:top w:val="single" w:sz="4" w:space="0" w:color="auto"/>
              <w:left w:val="single" w:sz="4" w:space="0" w:color="auto"/>
              <w:bottom w:val="single" w:sz="4" w:space="0" w:color="auto"/>
              <w:right w:val="single" w:sz="4" w:space="0" w:color="auto"/>
            </w:tcBorders>
          </w:tcPr>
          <w:p>
            <w:pPr>
              <w:pStyle w:val="Notedebasdepage"/>
              <w:tabs>
                <w:tab w:val="left" w:pos="1620"/>
              </w:tabs>
              <w:rPr>
                <w:sz w:val="22"/>
              </w:rPr>
            </w:pPr>
            <w:r>
              <w:rPr>
                <w:sz w:val="22"/>
              </w:rPr>
              <w:t>Demande d’obtention de périodes complémentaires</w:t>
            </w:r>
          </w:p>
        </w:tc>
      </w:tr>
    </w:tbl>
    <w:p>
      <w:pPr>
        <w:pStyle w:val="Notedebasdepage"/>
        <w:tabs>
          <w:tab w:val="left" w:pos="1620"/>
        </w:tabs>
        <w:spacing w:after="60"/>
        <w:ind w:left="1622" w:hanging="1622"/>
        <w:rPr>
          <w:rStyle w:val="Lienhypertexte"/>
          <w:b/>
          <w:color w:val="auto"/>
          <w:u w:val="none"/>
        </w:rPr>
      </w:pPr>
    </w:p>
    <w:p>
      <w:pPr>
        <w:pStyle w:val="Notedebasdepage"/>
        <w:tabs>
          <w:tab w:val="left" w:pos="1620"/>
        </w:tabs>
        <w:spacing w:after="60"/>
        <w:ind w:left="1622" w:hanging="1622"/>
        <w:rPr>
          <w:rStyle w:val="Lienhypertexte"/>
          <w:b/>
          <w:color w:val="auto"/>
          <w:sz w:val="24"/>
          <w:u w:val="none"/>
        </w:rPr>
      </w:pPr>
      <w:r>
        <w:rPr>
          <w:rStyle w:val="Lienhypertexte"/>
          <w:b/>
          <w:color w:val="auto"/>
          <w:sz w:val="24"/>
          <w:u w:val="none"/>
        </w:rPr>
        <w:t>Encadrement</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Borders>
              <w:top w:val="single" w:sz="4" w:space="0" w:color="auto"/>
              <w:left w:val="single" w:sz="4" w:space="0" w:color="auto"/>
              <w:bottom w:val="single" w:sz="4" w:space="0" w:color="auto"/>
              <w:right w:val="single" w:sz="4" w:space="0" w:color="auto"/>
            </w:tcBorders>
          </w:tcPr>
          <w:p>
            <w:pPr>
              <w:pStyle w:val="Notedebasdepage"/>
              <w:rPr>
                <w:sz w:val="22"/>
              </w:rPr>
            </w:pPr>
            <w:r>
              <w:rPr>
                <w:rStyle w:val="Lienhypertexte"/>
                <w:color w:val="auto"/>
                <w:sz w:val="22"/>
                <w:u w:val="none"/>
              </w:rPr>
              <w:t>Annexe 3.4.2</w:t>
            </w:r>
            <w:r>
              <w:rPr>
                <w:sz w:val="22"/>
              </w:rPr>
              <w:t xml:space="preserve"> </w:t>
            </w:r>
          </w:p>
        </w:tc>
        <w:tc>
          <w:tcPr>
            <w:tcW w:w="8173" w:type="dxa"/>
            <w:tcBorders>
              <w:top w:val="single" w:sz="4" w:space="0" w:color="auto"/>
              <w:left w:val="single" w:sz="4" w:space="0" w:color="auto"/>
              <w:bottom w:val="single" w:sz="4" w:space="0" w:color="auto"/>
              <w:right w:val="single" w:sz="4" w:space="0" w:color="auto"/>
            </w:tcBorders>
          </w:tcPr>
          <w:p>
            <w:pPr>
              <w:pStyle w:val="Notedebasdepage"/>
              <w:rPr>
                <w:i/>
                <w:sz w:val="22"/>
              </w:rPr>
            </w:pPr>
            <w:r>
              <w:rPr>
                <w:sz w:val="22"/>
              </w:rPr>
              <w:t xml:space="preserve">Formule d’encadrement 2ter   </w:t>
            </w:r>
          </w:p>
        </w:tc>
      </w:tr>
      <w:tr>
        <w:tc>
          <w:tcPr>
            <w:tcW w:w="1800" w:type="dxa"/>
            <w:tcBorders>
              <w:top w:val="single" w:sz="4" w:space="0" w:color="auto"/>
              <w:left w:val="single" w:sz="4" w:space="0" w:color="auto"/>
              <w:bottom w:val="single" w:sz="4" w:space="0" w:color="auto"/>
              <w:right w:val="single" w:sz="4" w:space="0" w:color="auto"/>
            </w:tcBorders>
          </w:tcPr>
          <w:p>
            <w:pPr>
              <w:pStyle w:val="Notedebasdepage"/>
              <w:rPr>
                <w:rStyle w:val="Lienhypertexte"/>
                <w:color w:val="auto"/>
                <w:sz w:val="22"/>
                <w:u w:val="none"/>
              </w:rPr>
            </w:pPr>
            <w:r>
              <w:rPr>
                <w:rStyle w:val="Lienhypertexte"/>
                <w:color w:val="auto"/>
                <w:sz w:val="22"/>
                <w:u w:val="none"/>
              </w:rPr>
              <w:t>Annexe 3.4.3.</w:t>
            </w:r>
          </w:p>
        </w:tc>
        <w:tc>
          <w:tcPr>
            <w:tcW w:w="8173" w:type="dxa"/>
            <w:tcBorders>
              <w:top w:val="single" w:sz="4" w:space="0" w:color="auto"/>
              <w:left w:val="single" w:sz="4" w:space="0" w:color="auto"/>
              <w:bottom w:val="single" w:sz="4" w:space="0" w:color="auto"/>
              <w:right w:val="single" w:sz="4" w:space="0" w:color="auto"/>
            </w:tcBorders>
          </w:tcPr>
          <w:p>
            <w:pPr>
              <w:pStyle w:val="Notedebasdepage"/>
              <w:jc w:val="both"/>
              <w:rPr>
                <w:i/>
                <w:sz w:val="22"/>
              </w:rPr>
            </w:pPr>
            <w:r>
              <w:rPr>
                <w:sz w:val="22"/>
              </w:rPr>
              <w:t>Demande d’augmentation de cadre maternel au cours du mois de septembre dans les zones à tension démographique</w:t>
            </w:r>
          </w:p>
        </w:tc>
      </w:tr>
      <w:tr>
        <w:tc>
          <w:tcPr>
            <w:tcW w:w="1800" w:type="dxa"/>
            <w:tcBorders>
              <w:top w:val="single" w:sz="4" w:space="0" w:color="auto"/>
              <w:left w:val="single" w:sz="4" w:space="0" w:color="auto"/>
              <w:bottom w:val="single" w:sz="4" w:space="0" w:color="auto"/>
              <w:right w:val="single" w:sz="4" w:space="0" w:color="auto"/>
            </w:tcBorders>
          </w:tcPr>
          <w:p>
            <w:pPr>
              <w:pStyle w:val="Notedebasdepage"/>
              <w:rPr>
                <w:rStyle w:val="Lienhypertexte"/>
                <w:color w:val="auto"/>
                <w:sz w:val="22"/>
                <w:szCs w:val="22"/>
                <w:u w:val="none"/>
              </w:rPr>
            </w:pPr>
            <w:r>
              <w:rPr>
                <w:rStyle w:val="Lienhypertexte"/>
                <w:color w:val="auto"/>
                <w:sz w:val="22"/>
                <w:szCs w:val="22"/>
                <w:u w:val="none"/>
              </w:rPr>
              <w:t>Annexe 3.4.4.</w:t>
            </w:r>
          </w:p>
        </w:tc>
        <w:tc>
          <w:tcPr>
            <w:tcW w:w="8173" w:type="dxa"/>
            <w:tcBorders>
              <w:top w:val="single" w:sz="4" w:space="0" w:color="auto"/>
              <w:left w:val="single" w:sz="4" w:space="0" w:color="auto"/>
              <w:bottom w:val="single" w:sz="4" w:space="0" w:color="auto"/>
              <w:right w:val="single" w:sz="4" w:space="0" w:color="auto"/>
            </w:tcBorders>
          </w:tcPr>
          <w:p>
            <w:pPr>
              <w:pStyle w:val="Notedebasdepage"/>
              <w:jc w:val="both"/>
              <w:rPr>
                <w:i/>
                <w:sz w:val="22"/>
                <w:szCs w:val="22"/>
              </w:rPr>
            </w:pPr>
            <w:r>
              <w:rPr>
                <w:sz w:val="22"/>
                <w:szCs w:val="22"/>
              </w:rPr>
              <w:t>Demande de création de nouvelle(s) classe(s) au niveau primaire au 1</w:t>
            </w:r>
            <w:r>
              <w:rPr>
                <w:sz w:val="22"/>
                <w:szCs w:val="22"/>
                <w:vertAlign w:val="superscript"/>
              </w:rPr>
              <w:t>er</w:t>
            </w:r>
            <w:r>
              <w:rPr>
                <w:sz w:val="22"/>
                <w:szCs w:val="22"/>
              </w:rPr>
              <w:t xml:space="preserve"> septembre 2015     </w:t>
            </w:r>
          </w:p>
        </w:tc>
      </w:tr>
      <w:tr>
        <w:tc>
          <w:tcPr>
            <w:tcW w:w="1800" w:type="dxa"/>
            <w:tcBorders>
              <w:top w:val="single" w:sz="4" w:space="0" w:color="auto"/>
              <w:left w:val="single" w:sz="4" w:space="0" w:color="auto"/>
              <w:bottom w:val="single" w:sz="4" w:space="0" w:color="auto"/>
              <w:right w:val="single" w:sz="4" w:space="0" w:color="auto"/>
            </w:tcBorders>
          </w:tcPr>
          <w:p>
            <w:pPr>
              <w:pStyle w:val="Notedebasdepage"/>
              <w:rPr>
                <w:rStyle w:val="Lienhypertexte"/>
                <w:color w:val="auto"/>
                <w:sz w:val="22"/>
                <w:szCs w:val="22"/>
                <w:u w:val="none"/>
              </w:rPr>
            </w:pPr>
            <w:r>
              <w:rPr>
                <w:rStyle w:val="Lienhypertexte"/>
                <w:color w:val="auto"/>
                <w:sz w:val="22"/>
                <w:szCs w:val="22"/>
                <w:u w:val="none"/>
              </w:rPr>
              <w:t>Annexe 3.4.5.</w:t>
            </w:r>
          </w:p>
        </w:tc>
        <w:tc>
          <w:tcPr>
            <w:tcW w:w="8173" w:type="dxa"/>
            <w:tcBorders>
              <w:top w:val="single" w:sz="4" w:space="0" w:color="auto"/>
              <w:left w:val="single" w:sz="4" w:space="0" w:color="auto"/>
              <w:bottom w:val="single" w:sz="4" w:space="0" w:color="auto"/>
              <w:right w:val="single" w:sz="4" w:space="0" w:color="auto"/>
            </w:tcBorders>
          </w:tcPr>
          <w:p>
            <w:pPr>
              <w:pStyle w:val="Notedebasdepage"/>
              <w:jc w:val="both"/>
              <w:rPr>
                <w:i/>
                <w:sz w:val="22"/>
                <w:szCs w:val="22"/>
              </w:rPr>
            </w:pPr>
            <w:r>
              <w:rPr>
                <w:rFonts w:cs="Arial"/>
                <w:sz w:val="22"/>
                <w:szCs w:val="22"/>
              </w:rPr>
              <w:t>Liste des communes à tension démographique</w:t>
            </w:r>
          </w:p>
        </w:tc>
      </w:tr>
      <w:tr>
        <w:tc>
          <w:tcPr>
            <w:tcW w:w="1800" w:type="dxa"/>
            <w:tcBorders>
              <w:top w:val="single" w:sz="4" w:space="0" w:color="auto"/>
              <w:left w:val="single" w:sz="4" w:space="0" w:color="auto"/>
              <w:bottom w:val="single" w:sz="4" w:space="0" w:color="auto"/>
              <w:right w:val="single" w:sz="4" w:space="0" w:color="auto"/>
            </w:tcBorders>
          </w:tcPr>
          <w:p>
            <w:pPr>
              <w:pStyle w:val="Notedebasdepage"/>
              <w:rPr>
                <w:rStyle w:val="Lienhypertexte"/>
                <w:color w:val="auto"/>
                <w:sz w:val="22"/>
                <w:szCs w:val="22"/>
                <w:u w:val="none"/>
              </w:rPr>
            </w:pPr>
            <w:r>
              <w:rPr>
                <w:rStyle w:val="Lienhypertexte"/>
                <w:color w:val="auto"/>
                <w:sz w:val="22"/>
                <w:szCs w:val="22"/>
                <w:u w:val="none"/>
              </w:rPr>
              <w:t>Annexe 3.4.6.</w:t>
            </w:r>
          </w:p>
        </w:tc>
        <w:tc>
          <w:tcPr>
            <w:tcW w:w="8173" w:type="dxa"/>
            <w:tcBorders>
              <w:top w:val="single" w:sz="4" w:space="0" w:color="auto"/>
              <w:left w:val="single" w:sz="4" w:space="0" w:color="auto"/>
              <w:bottom w:val="single" w:sz="4" w:space="0" w:color="auto"/>
              <w:right w:val="single" w:sz="4" w:space="0" w:color="auto"/>
            </w:tcBorders>
          </w:tcPr>
          <w:p>
            <w:pPr>
              <w:pStyle w:val="Notedebasdepage"/>
              <w:jc w:val="both"/>
              <w:rPr>
                <w:rFonts w:cs="Arial"/>
                <w:sz w:val="22"/>
                <w:szCs w:val="22"/>
              </w:rPr>
            </w:pPr>
            <w:r>
              <w:rPr>
                <w:sz w:val="22"/>
                <w:szCs w:val="22"/>
              </w:rPr>
              <w:t>Demande de périodes supplémentaires nécessaires au maintien de l’emploi d’un maître de psychomotricité nommé à titre définitif au 01/10/2017</w:t>
            </w:r>
          </w:p>
        </w:tc>
      </w:tr>
    </w:tbl>
    <w:p>
      <w:pPr>
        <w:pStyle w:val="Notedebasdepage"/>
        <w:tabs>
          <w:tab w:val="left" w:pos="1620"/>
        </w:tabs>
        <w:ind w:left="1620" w:hanging="1620"/>
        <w:rPr>
          <w:rStyle w:val="Lienhypertexte"/>
          <w:color w:val="auto"/>
          <w:u w:val="none"/>
        </w:rPr>
      </w:pPr>
    </w:p>
    <w:p>
      <w:pPr>
        <w:pStyle w:val="Notedebasdepage"/>
        <w:tabs>
          <w:tab w:val="left" w:pos="1620"/>
        </w:tabs>
        <w:spacing w:after="60"/>
        <w:jc w:val="both"/>
        <w:rPr>
          <w:rStyle w:val="Lienhypertexte"/>
          <w:b/>
          <w:color w:val="auto"/>
          <w:sz w:val="24"/>
          <w:u w:val="none"/>
        </w:rPr>
      </w:pPr>
      <w:r>
        <w:rPr>
          <w:rStyle w:val="Lienhypertexte"/>
          <w:b/>
          <w:color w:val="auto"/>
          <w:sz w:val="24"/>
          <w:u w:val="none"/>
        </w:rPr>
        <w:t>Cours de morale non confessionnelle, de religion, de philosophie et de citoyenneté</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Borders>
              <w:top w:val="single" w:sz="4" w:space="0" w:color="auto"/>
              <w:left w:val="single" w:sz="4" w:space="0" w:color="auto"/>
              <w:bottom w:val="single" w:sz="4" w:space="0" w:color="auto"/>
              <w:right w:val="single" w:sz="4" w:space="0" w:color="auto"/>
            </w:tcBorders>
          </w:tcPr>
          <w:p>
            <w:pPr>
              <w:pStyle w:val="Notedebasdepage"/>
              <w:rPr>
                <w:sz w:val="22"/>
              </w:rPr>
            </w:pPr>
            <w:r>
              <w:rPr>
                <w:rStyle w:val="Lienhypertexte"/>
                <w:color w:val="auto"/>
                <w:sz w:val="22"/>
                <w:u w:val="none"/>
              </w:rPr>
              <w:t>Annexe 4.3.</w:t>
            </w:r>
          </w:p>
        </w:tc>
        <w:tc>
          <w:tcPr>
            <w:tcW w:w="8173" w:type="dxa"/>
            <w:tcBorders>
              <w:top w:val="single" w:sz="4" w:space="0" w:color="auto"/>
              <w:left w:val="single" w:sz="4" w:space="0" w:color="auto"/>
              <w:bottom w:val="single" w:sz="4" w:space="0" w:color="auto"/>
              <w:right w:val="single" w:sz="4" w:space="0" w:color="auto"/>
            </w:tcBorders>
          </w:tcPr>
          <w:p>
            <w:pPr>
              <w:pStyle w:val="Notedebasdepage"/>
              <w:jc w:val="both"/>
              <w:rPr>
                <w:i/>
                <w:sz w:val="22"/>
              </w:rPr>
            </w:pPr>
            <w:r>
              <w:rPr>
                <w:sz w:val="22"/>
              </w:rPr>
              <w:t>Déclaration relative au choix du cours de religion, du cours de morale non confessionnelle ou d’une 2</w:t>
            </w:r>
            <w:r>
              <w:rPr>
                <w:sz w:val="22"/>
                <w:vertAlign w:val="superscript"/>
              </w:rPr>
              <w:t>e</w:t>
            </w:r>
            <w:r>
              <w:rPr>
                <w:sz w:val="22"/>
              </w:rPr>
              <w:t xml:space="preserve"> période du cours de philosophie et de citoyenneté</w:t>
            </w:r>
          </w:p>
        </w:tc>
      </w:tr>
    </w:tbl>
    <w:p>
      <w:pPr>
        <w:pStyle w:val="Notedebasdepage"/>
        <w:tabs>
          <w:tab w:val="left" w:pos="1620"/>
        </w:tabs>
        <w:rPr>
          <w:rStyle w:val="Lienhypertexte"/>
          <w:color w:val="auto"/>
          <w:u w:val="none"/>
        </w:rPr>
      </w:pPr>
    </w:p>
    <w:p>
      <w:pPr>
        <w:pStyle w:val="Notedebasdepage"/>
        <w:tabs>
          <w:tab w:val="left" w:pos="1620"/>
        </w:tabs>
        <w:spacing w:after="80"/>
        <w:rPr>
          <w:b/>
          <w:sz w:val="24"/>
        </w:rPr>
      </w:pPr>
      <w:r>
        <w:rPr>
          <w:b/>
          <w:sz w:val="24"/>
        </w:rPr>
        <w:t>Immersion linguistique</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rStyle w:val="Lienhypertexte"/>
                <w:color w:val="auto"/>
                <w:sz w:val="22"/>
                <w:u w:val="none"/>
              </w:rPr>
            </w:pPr>
            <w:r>
              <w:rPr>
                <w:rStyle w:val="Lienhypertexte"/>
                <w:color w:val="auto"/>
                <w:sz w:val="22"/>
                <w:u w:val="none"/>
              </w:rPr>
              <w:t>Annexe 4.4.A.</w:t>
            </w:r>
          </w:p>
        </w:tc>
        <w:tc>
          <w:tcPr>
            <w:tcW w:w="8173" w:type="dxa"/>
          </w:tcPr>
          <w:p>
            <w:pPr>
              <w:pStyle w:val="Notedebasdepage"/>
              <w:rPr>
                <w:bCs/>
                <w:sz w:val="22"/>
              </w:rPr>
            </w:pPr>
            <w:r>
              <w:rPr>
                <w:bCs/>
                <w:sz w:val="22"/>
              </w:rPr>
              <w:t xml:space="preserve">Immersion – Enseignement organisé par </w:t>
            </w:r>
            <w:smartTag w:uri="urn:schemas-microsoft-com:office:smarttags" w:element="PersonName">
              <w:smartTagPr>
                <w:attr w:name="ProductID" w:val="la FWB."/>
              </w:smartTagPr>
              <w:r>
                <w:rPr>
                  <w:bCs/>
                  <w:sz w:val="22"/>
                </w:rPr>
                <w:t>la FWB.</w:t>
              </w:r>
            </w:smartTag>
          </w:p>
          <w:p>
            <w:pPr>
              <w:pStyle w:val="Notedebasdepage"/>
              <w:rPr>
                <w:bCs/>
                <w:sz w:val="22"/>
              </w:rPr>
            </w:pPr>
            <w:r>
              <w:rPr>
                <w:bCs/>
                <w:sz w:val="22"/>
              </w:rPr>
              <w:t>Demande d'autorisation d'organiser un apprentissage par immersion pour une période de 3 ans.</w:t>
            </w:r>
          </w:p>
        </w:tc>
      </w:tr>
      <w:tr>
        <w:tc>
          <w:tcPr>
            <w:tcW w:w="1800" w:type="dxa"/>
          </w:tcPr>
          <w:p>
            <w:pPr>
              <w:pStyle w:val="Notedebasdepage"/>
              <w:rPr>
                <w:sz w:val="22"/>
              </w:rPr>
            </w:pPr>
            <w:r>
              <w:rPr>
                <w:rStyle w:val="Lienhypertexte"/>
                <w:color w:val="auto"/>
                <w:sz w:val="22"/>
                <w:u w:val="none"/>
              </w:rPr>
              <w:t>Annexe 4.4.B</w:t>
            </w:r>
            <w:r>
              <w:rPr>
                <w:sz w:val="22"/>
              </w:rPr>
              <w:t>.</w:t>
            </w:r>
          </w:p>
        </w:tc>
        <w:tc>
          <w:tcPr>
            <w:tcW w:w="8173" w:type="dxa"/>
          </w:tcPr>
          <w:p>
            <w:pPr>
              <w:pStyle w:val="Notedebasdepage"/>
              <w:rPr>
                <w:bCs/>
                <w:sz w:val="22"/>
              </w:rPr>
            </w:pPr>
            <w:r>
              <w:rPr>
                <w:bCs/>
                <w:sz w:val="22"/>
              </w:rPr>
              <w:t>Immersion – Enseignement subventionné.</w:t>
            </w:r>
          </w:p>
          <w:p>
            <w:pPr>
              <w:pStyle w:val="Notedebasdepage"/>
              <w:rPr>
                <w:spacing w:val="-8"/>
                <w:sz w:val="22"/>
              </w:rPr>
            </w:pPr>
            <w:r>
              <w:rPr>
                <w:bCs/>
                <w:sz w:val="22"/>
              </w:rPr>
              <w:t>Déclaration d'organisation d'un apprentissage par immersion pour une période de 3 ans.</w:t>
            </w:r>
          </w:p>
        </w:tc>
      </w:tr>
      <w:tr>
        <w:tc>
          <w:tcPr>
            <w:tcW w:w="1800" w:type="dxa"/>
            <w:tcBorders>
              <w:top w:val="single" w:sz="4" w:space="0" w:color="auto"/>
              <w:left w:val="single" w:sz="4" w:space="0" w:color="auto"/>
              <w:bottom w:val="single" w:sz="4" w:space="0" w:color="auto"/>
              <w:right w:val="single" w:sz="4" w:space="0" w:color="auto"/>
            </w:tcBorders>
          </w:tcPr>
          <w:p>
            <w:pPr>
              <w:pStyle w:val="Notedebasdepage"/>
              <w:rPr>
                <w:sz w:val="22"/>
              </w:rPr>
            </w:pPr>
            <w:r>
              <w:rPr>
                <w:rStyle w:val="Lienhypertexte"/>
                <w:color w:val="auto"/>
                <w:sz w:val="22"/>
                <w:u w:val="none"/>
              </w:rPr>
              <w:t>Annexe 4.4.C.</w:t>
            </w:r>
            <w:r>
              <w:rPr>
                <w:sz w:val="22"/>
              </w:rPr>
              <w:t xml:space="preserve"> </w:t>
            </w:r>
          </w:p>
        </w:tc>
        <w:tc>
          <w:tcPr>
            <w:tcW w:w="8173" w:type="dxa"/>
            <w:tcBorders>
              <w:top w:val="single" w:sz="4" w:space="0" w:color="auto"/>
              <w:left w:val="single" w:sz="4" w:space="0" w:color="auto"/>
              <w:bottom w:val="single" w:sz="4" w:space="0" w:color="auto"/>
              <w:right w:val="single" w:sz="4" w:space="0" w:color="auto"/>
            </w:tcBorders>
          </w:tcPr>
          <w:p>
            <w:pPr>
              <w:pStyle w:val="Notedebasdepage"/>
              <w:rPr>
                <w:bCs/>
                <w:sz w:val="22"/>
              </w:rPr>
            </w:pPr>
            <w:r>
              <w:rPr>
                <w:bCs/>
                <w:sz w:val="22"/>
              </w:rPr>
              <w:t xml:space="preserve">Attestation médicale – Classes bilingues Français – Langue des Signes </w:t>
            </w:r>
          </w:p>
        </w:tc>
      </w:tr>
      <w:tr>
        <w:tc>
          <w:tcPr>
            <w:tcW w:w="1800" w:type="dxa"/>
            <w:tcBorders>
              <w:top w:val="single" w:sz="4" w:space="0" w:color="auto"/>
              <w:left w:val="single" w:sz="4" w:space="0" w:color="auto"/>
              <w:bottom w:val="single" w:sz="4" w:space="0" w:color="auto"/>
              <w:right w:val="single" w:sz="4" w:space="0" w:color="auto"/>
            </w:tcBorders>
          </w:tcPr>
          <w:p>
            <w:pPr>
              <w:pStyle w:val="Notedebasdepage"/>
              <w:rPr>
                <w:sz w:val="22"/>
              </w:rPr>
            </w:pPr>
            <w:r>
              <w:rPr>
                <w:rStyle w:val="Lienhypertexte"/>
                <w:color w:val="auto"/>
                <w:sz w:val="22"/>
                <w:u w:val="none"/>
              </w:rPr>
              <w:t>Annexe 4.4.D.</w:t>
            </w:r>
            <w:r>
              <w:rPr>
                <w:sz w:val="22"/>
              </w:rPr>
              <w:t xml:space="preserve"> </w:t>
            </w:r>
          </w:p>
        </w:tc>
        <w:tc>
          <w:tcPr>
            <w:tcW w:w="8173" w:type="dxa"/>
            <w:tcBorders>
              <w:top w:val="single" w:sz="4" w:space="0" w:color="auto"/>
              <w:left w:val="single" w:sz="4" w:space="0" w:color="auto"/>
              <w:bottom w:val="single" w:sz="4" w:space="0" w:color="auto"/>
              <w:right w:val="single" w:sz="4" w:space="0" w:color="auto"/>
            </w:tcBorders>
          </w:tcPr>
          <w:p>
            <w:pPr>
              <w:pStyle w:val="Notedebasdepage"/>
              <w:rPr>
                <w:bCs/>
                <w:sz w:val="22"/>
              </w:rPr>
            </w:pPr>
            <w:r>
              <w:rPr>
                <w:bCs/>
                <w:sz w:val="22"/>
              </w:rPr>
              <w:t>Attestation d’inscription – Classes bilingues Français – Langue des Signes</w:t>
            </w:r>
          </w:p>
        </w:tc>
      </w:tr>
    </w:tbl>
    <w:p>
      <w:pPr>
        <w:pStyle w:val="Notedebasdepage"/>
        <w:tabs>
          <w:tab w:val="left" w:pos="1620"/>
        </w:tabs>
        <w:ind w:left="1620" w:hanging="1620"/>
        <w:rPr>
          <w:rStyle w:val="Lienhypertexte"/>
          <w:color w:val="auto"/>
          <w:u w:val="none"/>
        </w:rPr>
      </w:pPr>
    </w:p>
    <w:p>
      <w:pPr>
        <w:pStyle w:val="Notedebasdepage"/>
        <w:tabs>
          <w:tab w:val="left" w:pos="1620"/>
        </w:tabs>
        <w:spacing w:after="80"/>
        <w:ind w:left="1622" w:hanging="1622"/>
        <w:rPr>
          <w:rStyle w:val="Lienhypertexte"/>
          <w:b/>
          <w:color w:val="auto"/>
          <w:sz w:val="24"/>
          <w:u w:val="none"/>
        </w:rPr>
      </w:pPr>
      <w:r>
        <w:rPr>
          <w:rStyle w:val="Lienhypertexte"/>
          <w:b/>
          <w:color w:val="auto"/>
          <w:sz w:val="24"/>
          <w:u w:val="none"/>
        </w:rPr>
        <w:t>Attestations concernant les enfants placés</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sz w:val="22"/>
              </w:rPr>
            </w:pPr>
            <w:r>
              <w:rPr>
                <w:rStyle w:val="Lienhypertexte"/>
                <w:color w:val="auto"/>
                <w:sz w:val="22"/>
                <w:u w:val="none"/>
              </w:rPr>
              <w:t>Annexe 6.2.A.</w:t>
            </w:r>
            <w:r>
              <w:rPr>
                <w:sz w:val="22"/>
              </w:rPr>
              <w:t xml:space="preserve"> </w:t>
            </w:r>
          </w:p>
        </w:tc>
        <w:tc>
          <w:tcPr>
            <w:tcW w:w="8173" w:type="dxa"/>
          </w:tcPr>
          <w:p>
            <w:pPr>
              <w:pStyle w:val="Notedebasdepage"/>
              <w:rPr>
                <w:sz w:val="22"/>
              </w:rPr>
            </w:pPr>
            <w:r>
              <w:rPr>
                <w:sz w:val="22"/>
              </w:rPr>
              <w:t>Attestation de placement délivrée en vertu des articles 29§2 et 41§2 du décret du 13 juillet 1998 portant organisation de l’enseignement maternel et primaire ordinaire et modifiant la réglementation de l’enseignement.</w:t>
            </w:r>
          </w:p>
        </w:tc>
      </w:tr>
      <w:tr>
        <w:tc>
          <w:tcPr>
            <w:tcW w:w="1800" w:type="dxa"/>
          </w:tcPr>
          <w:p>
            <w:pPr>
              <w:pStyle w:val="Notedebasdepage"/>
              <w:rPr>
                <w:sz w:val="22"/>
              </w:rPr>
            </w:pPr>
            <w:r>
              <w:rPr>
                <w:rStyle w:val="Lienhypertexte"/>
                <w:color w:val="auto"/>
                <w:sz w:val="22"/>
                <w:u w:val="none"/>
              </w:rPr>
              <w:t>Annexe 6.2.B.</w:t>
            </w:r>
            <w:r>
              <w:rPr>
                <w:sz w:val="22"/>
              </w:rPr>
              <w:t xml:space="preserve"> </w:t>
            </w:r>
          </w:p>
        </w:tc>
        <w:tc>
          <w:tcPr>
            <w:tcW w:w="8173" w:type="dxa"/>
          </w:tcPr>
          <w:p>
            <w:pPr>
              <w:pStyle w:val="Notedebasdepage"/>
              <w:rPr>
                <w:sz w:val="22"/>
              </w:rPr>
            </w:pPr>
            <w:r>
              <w:rPr>
                <w:sz w:val="22"/>
              </w:rPr>
              <w:t>Attestation délivrée par le conseiller ou le directeur de l'Aide à la Jeunesse</w:t>
            </w:r>
          </w:p>
        </w:tc>
      </w:tr>
      <w:tr>
        <w:tc>
          <w:tcPr>
            <w:tcW w:w="1800" w:type="dxa"/>
          </w:tcPr>
          <w:p>
            <w:pPr>
              <w:pStyle w:val="Notedebasdepage"/>
              <w:rPr>
                <w:rStyle w:val="Lienhypertexte"/>
                <w:color w:val="auto"/>
                <w:sz w:val="22"/>
                <w:u w:val="none"/>
              </w:rPr>
            </w:pPr>
            <w:r>
              <w:rPr>
                <w:rStyle w:val="Lienhypertexte"/>
                <w:color w:val="auto"/>
                <w:sz w:val="22"/>
                <w:u w:val="none"/>
              </w:rPr>
              <w:t>Annexe 6.2.C.</w:t>
            </w:r>
          </w:p>
        </w:tc>
        <w:tc>
          <w:tcPr>
            <w:tcW w:w="8173" w:type="dxa"/>
          </w:tcPr>
          <w:p>
            <w:pPr>
              <w:pStyle w:val="Notedebasdepage"/>
              <w:rPr>
                <w:rStyle w:val="Lienhypertexte"/>
                <w:color w:val="auto"/>
                <w:sz w:val="22"/>
                <w:u w:val="none"/>
              </w:rPr>
            </w:pPr>
            <w:r>
              <w:rPr>
                <w:rStyle w:val="Lienhypertexte"/>
                <w:color w:val="auto"/>
                <w:sz w:val="22"/>
                <w:u w:val="none"/>
              </w:rPr>
              <w:t>Attestation du directeur d’un internat pour enfants dont les parents n’ont pas de résidence fixe délivrée en vertu des articles 29§2 et 41§2 du décret du 13 juillet 1998 portant organisation de l’enseignement maternel et primaire ordinaire et modifiant la réglementation de l’enseignement.</w:t>
            </w:r>
          </w:p>
        </w:tc>
      </w:tr>
      <w:tr>
        <w:tc>
          <w:tcPr>
            <w:tcW w:w="1800" w:type="dxa"/>
          </w:tcPr>
          <w:p>
            <w:pPr>
              <w:pStyle w:val="Notedebasdepage"/>
              <w:rPr>
                <w:sz w:val="22"/>
              </w:rPr>
            </w:pPr>
            <w:r>
              <w:rPr>
                <w:rStyle w:val="Lienhypertexte"/>
                <w:color w:val="auto"/>
                <w:sz w:val="22"/>
                <w:u w:val="none"/>
              </w:rPr>
              <w:t>Annexe 6.2.D.</w:t>
            </w:r>
            <w:r>
              <w:rPr>
                <w:sz w:val="22"/>
              </w:rPr>
              <w:t xml:space="preserve"> </w:t>
            </w:r>
          </w:p>
        </w:tc>
        <w:tc>
          <w:tcPr>
            <w:tcW w:w="8173" w:type="dxa"/>
          </w:tcPr>
          <w:p>
            <w:pPr>
              <w:pStyle w:val="Notedebasdepage"/>
              <w:rPr>
                <w:sz w:val="22"/>
              </w:rPr>
            </w:pPr>
            <w:r>
              <w:rPr>
                <w:sz w:val="22"/>
              </w:rPr>
              <w:t>Attestation du directeur d’un service d’accueil spécialisé en vertu des articles 29§2 et 41§2 du décret du 13 juillet 1998 portant organisation de l’enseignement maternel et primaire ordinaire et modifiant la réglementation de l’enseignement.</w:t>
            </w:r>
          </w:p>
        </w:tc>
      </w:tr>
    </w:tbl>
    <w:p>
      <w:pPr>
        <w:rPr>
          <w:sz w:val="20"/>
          <w:szCs w:val="20"/>
        </w:rPr>
      </w:pPr>
      <w:bookmarkStart w:id="1973" w:name="_Annexe_2.1.A."/>
      <w:bookmarkStart w:id="1974" w:name="_Annexe_2.1.A._1"/>
      <w:bookmarkEnd w:id="1973"/>
      <w:bookmarkEnd w:id="1974"/>
    </w:p>
    <w:p>
      <w:pPr>
        <w:spacing w:after="80"/>
      </w:pPr>
      <w:r>
        <w:rPr>
          <w:rStyle w:val="Lienhypertexte"/>
          <w:b/>
          <w:color w:val="auto"/>
          <w:sz w:val="24"/>
          <w:u w:val="none"/>
        </w:rPr>
        <w:t>Rééducation logopédique</w:t>
      </w:r>
    </w:p>
    <w:tbl>
      <w:tblPr>
        <w:tblW w:w="99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800"/>
        <w:gridCol w:w="8173"/>
      </w:tblGrid>
      <w:tr>
        <w:tc>
          <w:tcPr>
            <w:tcW w:w="1800" w:type="dxa"/>
          </w:tcPr>
          <w:p>
            <w:pPr>
              <w:pStyle w:val="Notedebasdepage"/>
              <w:rPr>
                <w:sz w:val="22"/>
              </w:rPr>
            </w:pPr>
            <w:r>
              <w:rPr>
                <w:rStyle w:val="Lienhypertexte"/>
                <w:color w:val="auto"/>
                <w:sz w:val="22"/>
                <w:u w:val="none"/>
              </w:rPr>
              <w:t>Annexe 9</w:t>
            </w:r>
            <w:r>
              <w:rPr>
                <w:sz w:val="22"/>
              </w:rPr>
              <w:t xml:space="preserve"> </w:t>
            </w:r>
          </w:p>
        </w:tc>
        <w:tc>
          <w:tcPr>
            <w:tcW w:w="8173" w:type="dxa"/>
          </w:tcPr>
          <w:p>
            <w:pPr>
              <w:pStyle w:val="Notedebasdepage"/>
              <w:jc w:val="both"/>
              <w:rPr>
                <w:sz w:val="22"/>
              </w:rPr>
            </w:pPr>
            <w:r>
              <w:rPr>
                <w:sz w:val="22"/>
              </w:rPr>
              <w:t>Convention de prise en charge spécialisée durant le temps scolaire, hors de l’établissement scolaire</w:t>
            </w:r>
          </w:p>
        </w:tc>
      </w:tr>
    </w:tbl>
    <w:p>
      <w:bookmarkStart w:id="1975" w:name="_Annexe_2.1.1.A."/>
      <w:bookmarkStart w:id="1976" w:name="_Toc272404495"/>
      <w:bookmarkStart w:id="1977" w:name="_Toc295913857"/>
      <w:bookmarkStart w:id="1978" w:name="_Toc272404490"/>
      <w:bookmarkStart w:id="1979" w:name="_Toc165786179"/>
      <w:bookmarkStart w:id="1980" w:name="_Toc265141659"/>
      <w:bookmarkEnd w:id="1975"/>
    </w:p>
    <w:p>
      <w:r>
        <w:br w:type="page"/>
      </w:r>
    </w:p>
    <w:p>
      <w:pPr>
        <w:rPr>
          <w:b/>
          <w:i/>
        </w:rPr>
      </w:pPr>
      <w:bookmarkStart w:id="1981" w:name="Annexe_211"/>
      <w:r>
        <w:rPr>
          <w:b/>
          <w:i/>
        </w:rPr>
        <w:t xml:space="preserve">Annexe 2.1.1. </w:t>
      </w:r>
      <w:bookmarkEnd w:id="1981"/>
      <w:r>
        <w:rPr>
          <w:b/>
          <w:i/>
        </w:rPr>
        <w:t>Convention de scolarisation à temps partiel</w:t>
      </w:r>
    </w:p>
    <w:p/>
    <w:p>
      <w:r>
        <w:t>Application de l’article 1</w:t>
      </w:r>
      <w:r>
        <w:rPr>
          <w:vertAlign w:val="superscript"/>
        </w:rPr>
        <w:t>er</w:t>
      </w:r>
      <w:r>
        <w:t>, § 4bis, 4° de la loi du 29 juin 1983 concernant l’obligation scolaire.</w:t>
      </w:r>
    </w:p>
    <w:p>
      <w:pPr>
        <w:rPr>
          <w:sz w:val="16"/>
          <w:szCs w:val="16"/>
        </w:rPr>
      </w:pPr>
    </w:p>
    <w:tbl>
      <w:tblPr>
        <w:tblStyle w:val="Grilledutableau"/>
        <w:tblW w:w="0" w:type="auto"/>
        <w:tblInd w:w="1696" w:type="dxa"/>
        <w:tblLook w:val="04A0" w:firstRow="1" w:lastRow="0" w:firstColumn="1" w:lastColumn="0" w:noHBand="0" w:noVBand="1"/>
      </w:tblPr>
      <w:tblGrid>
        <w:gridCol w:w="6096"/>
      </w:tblGrid>
      <w:tr>
        <w:tc>
          <w:tcPr>
            <w:tcW w:w="6096" w:type="dxa"/>
          </w:tcPr>
          <w:p>
            <w:pPr>
              <w:jc w:val="center"/>
            </w:pPr>
            <w:r>
              <w:t>CONVENTION DE SCOLARISATION A TEMPS PARTIEL</w:t>
            </w:r>
          </w:p>
        </w:tc>
      </w:tr>
    </w:tbl>
    <w:p>
      <w:pPr>
        <w:jc w:val="center"/>
      </w:pPr>
    </w:p>
    <w:p/>
    <w:p>
      <w:pPr>
        <w:rPr>
          <w:b/>
        </w:rPr>
      </w:pPr>
      <w:r>
        <w:rPr>
          <w:b/>
        </w:rPr>
        <w:t>1. Durée de la convention</w:t>
      </w:r>
    </w:p>
    <w:p>
      <w:pPr>
        <w:spacing w:before="120"/>
      </w:pPr>
      <w:r>
        <w:t xml:space="preserve">Année scolaire : </w:t>
      </w:r>
    </w:p>
    <w:p>
      <w:r>
        <w:t>Produit ses effets le : ……………………... et se termine le : ……………………………….</w:t>
      </w:r>
    </w:p>
    <w:p/>
    <w:p>
      <w:pPr>
        <w:rPr>
          <w:b/>
        </w:rPr>
      </w:pPr>
      <w:r>
        <w:rPr>
          <w:b/>
        </w:rPr>
        <w:t>2. Identification du jeune concerné</w:t>
      </w:r>
    </w:p>
    <w:p>
      <w:pPr>
        <w:spacing w:before="120"/>
      </w:pPr>
      <w:r>
        <w:t>Nom et prénom :</w:t>
      </w:r>
    </w:p>
    <w:p>
      <w:r>
        <w:t>Date de naissance :</w:t>
      </w:r>
    </w:p>
    <w:p>
      <w:r>
        <w:t>Année d’étude :</w:t>
      </w:r>
    </w:p>
    <w:p>
      <w:r>
        <w:t>Type d’enseignement :</w:t>
      </w:r>
    </w:p>
    <w:p>
      <w:r>
        <w:t>Degré de maturité :</w:t>
      </w:r>
    </w:p>
    <w:p>
      <w:r>
        <w:t>Forme d’enseignement :</w:t>
      </w:r>
    </w:p>
    <w:p>
      <w:r>
        <w:t>Phase :</w:t>
      </w:r>
    </w:p>
    <w:p/>
    <w:p>
      <w:pPr>
        <w:rPr>
          <w:b/>
        </w:rPr>
      </w:pPr>
      <w:r>
        <w:rPr>
          <w:b/>
        </w:rPr>
        <w:t>3. Identification des partenaires</w:t>
      </w:r>
    </w:p>
    <w:p>
      <w:pPr>
        <w:spacing w:before="120"/>
        <w:rPr>
          <w:u w:val="single"/>
        </w:rPr>
      </w:pPr>
      <w:r>
        <w:t xml:space="preserve">- </w:t>
      </w:r>
      <w:r>
        <w:rPr>
          <w:u w:val="single"/>
        </w:rPr>
        <w:t xml:space="preserve">Les parents ou la personne investie de l’autorité parentale </w:t>
      </w:r>
    </w:p>
    <w:p>
      <w:r>
        <w:t>Nom et prénom :</w:t>
      </w:r>
    </w:p>
    <w:p>
      <w:r>
        <w:t>Qualité :</w:t>
      </w:r>
    </w:p>
    <w:p>
      <w:r>
        <w:t>Adresse :</w:t>
      </w:r>
    </w:p>
    <w:p>
      <w:r>
        <w:t>Téléphone :</w:t>
      </w:r>
    </w:p>
    <w:p>
      <w:r>
        <w:t>Date :</w:t>
      </w:r>
    </w:p>
    <w:p>
      <w:r>
        <w:t>Signature :</w:t>
      </w:r>
    </w:p>
    <w:p/>
    <w:p>
      <w:pPr>
        <w:spacing w:before="120"/>
        <w:rPr>
          <w:u w:val="single"/>
        </w:rPr>
      </w:pPr>
      <w:r>
        <w:t xml:space="preserve">- </w:t>
      </w:r>
      <w:r>
        <w:rPr>
          <w:u w:val="single"/>
        </w:rPr>
        <w:t>L’établissement scolaire</w:t>
      </w:r>
    </w:p>
    <w:p>
      <w:r>
        <w:t>Nom de l’établissement scolaire :</w:t>
      </w:r>
    </w:p>
    <w:p>
      <w:r>
        <w:t>Adresse :</w:t>
      </w:r>
    </w:p>
    <w:p>
      <w:r>
        <w:t>Tel :</w:t>
      </w:r>
    </w:p>
    <w:p>
      <w:r>
        <w:t>Fax :</w:t>
      </w:r>
    </w:p>
    <w:p>
      <w:r>
        <w:t>Email :</w:t>
      </w:r>
    </w:p>
    <w:p>
      <w:r>
        <w:t>Nom du chef d’établissement :</w:t>
      </w:r>
    </w:p>
    <w:p>
      <w:r>
        <w:t>N° FASE :</w:t>
      </w:r>
    </w:p>
    <w:p>
      <w:r>
        <w:t>Niveau : Maternel</w:t>
      </w:r>
      <w:r>
        <w:tab/>
        <w:t>Primaire</w:t>
      </w:r>
      <w:r>
        <w:tab/>
        <w:t>Secondaire</w:t>
      </w:r>
    </w:p>
    <w:p>
      <w:r>
        <w:t>Enseignement ordinaire</w:t>
      </w:r>
      <w:r>
        <w:tab/>
        <w:t>Enseignement spécialisé</w:t>
      </w:r>
    </w:p>
    <w:p>
      <w:pPr>
        <w:rPr>
          <w:sz w:val="16"/>
          <w:szCs w:val="16"/>
        </w:rPr>
      </w:pPr>
      <w:r>
        <w:rPr>
          <w:sz w:val="16"/>
          <w:szCs w:val="16"/>
        </w:rPr>
        <w:t>(case à cocher)</w:t>
      </w:r>
    </w:p>
    <w:p>
      <w:r>
        <w:t>Réseau : FWB</w:t>
      </w:r>
      <w:r>
        <w:tab/>
        <w:t>OS</w:t>
      </w:r>
      <w:r>
        <w:tab/>
        <w:t>LCS</w:t>
      </w:r>
      <w:r>
        <w:tab/>
        <w:t>LNCS</w:t>
      </w:r>
    </w:p>
    <w:p>
      <w:r>
        <w:rPr>
          <w:sz w:val="16"/>
          <w:szCs w:val="16"/>
        </w:rPr>
        <w:t>(case à cocher)</w:t>
      </w:r>
    </w:p>
    <w:p>
      <w:r>
        <w:t xml:space="preserve">Date : </w:t>
      </w:r>
    </w:p>
    <w:p>
      <w:r>
        <w:t>Signature :</w:t>
      </w:r>
    </w:p>
    <w:p/>
    <w:p>
      <w:pPr>
        <w:spacing w:before="120"/>
      </w:pPr>
      <w:r>
        <w:t xml:space="preserve">- </w:t>
      </w:r>
      <w:r>
        <w:rPr>
          <w:u w:val="single"/>
        </w:rPr>
        <w:t>La structure subventionnée ou agréée par :</w:t>
      </w:r>
      <w:r>
        <w:t xml:space="preserve"> AVIQ</w:t>
      </w:r>
      <w:r>
        <w:tab/>
      </w:r>
      <w:r>
        <w:tab/>
        <w:t>COCOF</w:t>
      </w:r>
      <w:r>
        <w:tab/>
        <w:t>INAMI</w:t>
      </w:r>
    </w:p>
    <w:p>
      <w:pPr>
        <w:rPr>
          <w:sz w:val="16"/>
          <w:szCs w:val="16"/>
        </w:rPr>
      </w:pPr>
      <w:r>
        <w:rPr>
          <w:sz w:val="16"/>
          <w:szCs w:val="16"/>
        </w:rPr>
        <w:t>(case à cocher)</w:t>
      </w:r>
    </w:p>
    <w:p>
      <w:r>
        <w:t>Nom :</w:t>
      </w:r>
    </w:p>
    <w:p>
      <w:r>
        <w:t>Numéro d’agrément :</w:t>
      </w:r>
    </w:p>
    <w:p>
      <w:r>
        <w:t>Directeur/trice :</w:t>
      </w:r>
    </w:p>
    <w:p>
      <w:r>
        <w:t>Adresse :</w:t>
      </w:r>
    </w:p>
    <w:p>
      <w:r>
        <w:t>Tél :</w:t>
      </w:r>
    </w:p>
    <w:p>
      <w:r>
        <w:t>Fax :</w:t>
      </w:r>
    </w:p>
    <w:p>
      <w:r>
        <w:t>Email :</w:t>
      </w:r>
    </w:p>
    <w:p>
      <w:r>
        <w:t>Personne de contact :</w:t>
      </w:r>
    </w:p>
    <w:p>
      <w:r>
        <w:t>Date :</w:t>
      </w:r>
    </w:p>
    <w:p>
      <w:r>
        <w:t>Signature :</w:t>
      </w:r>
    </w:p>
    <w:p>
      <w:r>
        <w:t xml:space="preserve">- </w:t>
      </w:r>
      <w:r>
        <w:rPr>
          <w:u w:val="single"/>
        </w:rPr>
        <w:t xml:space="preserve">Le CPMS de l’établissement scolaire </w:t>
      </w:r>
    </w:p>
    <w:p>
      <w:r>
        <w:t xml:space="preserve">Directeur/trice : </w:t>
      </w:r>
    </w:p>
    <w:p>
      <w:r>
        <w:t>Tél :</w:t>
      </w:r>
    </w:p>
    <w:p>
      <w:r>
        <w:t>Fax :</w:t>
      </w:r>
    </w:p>
    <w:p>
      <w:r>
        <w:t>Email :</w:t>
      </w:r>
    </w:p>
    <w:p>
      <w:r>
        <w:t>Personne de contact :</w:t>
      </w:r>
    </w:p>
    <w:p>
      <w:r>
        <w:t>Date :</w:t>
      </w:r>
    </w:p>
    <w:p>
      <w:r>
        <w:t>Signature :</w:t>
      </w:r>
    </w:p>
    <w:p/>
    <w:p>
      <w:pPr>
        <w:spacing w:before="120"/>
        <w:rPr>
          <w:b/>
        </w:rPr>
      </w:pPr>
      <w:r>
        <w:rPr>
          <w:b/>
        </w:rPr>
        <w:t>4. Motivation de la nécessité d’une scolarisation à temps partiel</w:t>
      </w:r>
    </w:p>
    <w:p/>
    <w:p/>
    <w:p/>
    <w:p/>
    <w:p/>
    <w:p/>
    <w:p/>
    <w:p>
      <w:pPr>
        <w:rPr>
          <w:b/>
        </w:rPr>
      </w:pPr>
      <w:r>
        <w:rPr>
          <w:b/>
        </w:rPr>
        <w:t>5. Rôle et modalité d’accompagnement de l’élève par la structure subventionnée ou agréée par l’AVIQ, la COCOF ou l’INAMI</w:t>
      </w:r>
    </w:p>
    <w:p>
      <w:pPr>
        <w:spacing w:before="120"/>
      </w:pPr>
      <w:r>
        <w:t>a. Horaire</w:t>
      </w:r>
    </w:p>
    <w:p>
      <w:pPr>
        <w:spacing w:before="120"/>
      </w:pPr>
    </w:p>
    <w:p>
      <w:pPr>
        <w:spacing w:before="120"/>
      </w:pPr>
      <w:r>
        <w:t>b. Modalités d’accompagnement de l’élève</w:t>
      </w:r>
    </w:p>
    <w:p/>
    <w:p/>
    <w:p/>
    <w:p/>
    <w:p/>
    <w:p>
      <w:pPr>
        <w:rPr>
          <w:b/>
        </w:rPr>
      </w:pPr>
      <w:r>
        <w:rPr>
          <w:b/>
        </w:rPr>
        <w:t>6. Evaluation de la collaboration entre les partenaires de la convention</w:t>
      </w:r>
    </w:p>
    <w:p>
      <w:pPr>
        <w:spacing w:before="120"/>
      </w:pPr>
      <w:r>
        <w:t>a. Mode d’évaluation</w:t>
      </w:r>
    </w:p>
    <w:p>
      <w:pPr>
        <w:spacing w:before="120"/>
      </w:pPr>
    </w:p>
    <w:p>
      <w:pPr>
        <w:spacing w:before="120"/>
      </w:pPr>
      <w:r>
        <w:t>b. Rythme de l’évaluation</w:t>
      </w:r>
    </w:p>
    <w:p/>
    <w:p/>
    <w:p/>
    <w:p/>
    <w:p>
      <w:pPr>
        <w:pStyle w:val="annexe"/>
      </w:pPr>
      <w:r>
        <w:br w:type="page"/>
      </w:r>
      <w:bookmarkStart w:id="1982" w:name="Annexe_223"/>
      <w:bookmarkStart w:id="1983" w:name="_Toc423420173"/>
      <w:bookmarkStart w:id="1984" w:name="_Toc450645422"/>
      <w:bookmarkStart w:id="1985" w:name="_Toc453942661"/>
      <w:bookmarkStart w:id="1986" w:name="_Toc454888278"/>
      <w:bookmarkStart w:id="1987" w:name="_Toc486241899"/>
      <w:r>
        <w:t>Annexe 2.2.3.</w:t>
      </w:r>
      <w:bookmarkEnd w:id="1982"/>
      <w:r>
        <w:t xml:space="preserve"> Demande de dérogation pour inscription tardive dans l’enseignement primaire, à partir du 1er octobre, dans un établissement organisé ou subventionné par la Fédération Wallonie-Bruxelles.</w:t>
      </w:r>
      <w:bookmarkEnd w:id="1976"/>
      <w:bookmarkEnd w:id="1977"/>
      <w:bookmarkEnd w:id="1983"/>
      <w:bookmarkEnd w:id="1984"/>
      <w:bookmarkEnd w:id="1985"/>
      <w:bookmarkEnd w:id="1986"/>
      <w:bookmarkEnd w:id="1987"/>
    </w:p>
    <w:p>
      <w:pPr>
        <w:pStyle w:val="Titre5"/>
        <w:rPr>
          <w:color w:val="auto"/>
        </w:rPr>
      </w:pPr>
    </w:p>
    <w:p>
      <w:pPr>
        <w:rPr>
          <w:b/>
        </w:rPr>
      </w:pPr>
      <w:r>
        <w:rPr>
          <w:noProof/>
          <w:lang w:val="fr-BE" w:eastAsia="fr-BE"/>
        </w:rPr>
        <mc:AlternateContent>
          <mc:Choice Requires="wps">
            <w:drawing>
              <wp:anchor distT="0" distB="0" distL="114300" distR="114300" simplePos="0" relativeHeight="251657216" behindDoc="0" locked="0" layoutInCell="0" allowOverlap="1">
                <wp:simplePos x="0" y="0"/>
                <wp:positionH relativeFrom="column">
                  <wp:posOffset>2514600</wp:posOffset>
                </wp:positionH>
                <wp:positionV relativeFrom="paragraph">
                  <wp:posOffset>157480</wp:posOffset>
                </wp:positionV>
                <wp:extent cx="3657600" cy="1028700"/>
                <wp:effectExtent l="14605" t="10795" r="13970" b="8255"/>
                <wp:wrapNone/>
                <wp:docPr id="2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0" cy="1028700"/>
                        </a:xfrm>
                        <a:prstGeom prst="rect">
                          <a:avLst/>
                        </a:prstGeom>
                        <a:noFill/>
                        <a:ln w="1587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9" o:spid="_x0000_s1058" style="position:absolute;margin-left:198pt;margin-top:12.4pt;width:4in;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" o:allowincell="f" filled="f" strokeweight="1.25pt">
                <v:textbox>
                  <w:txbxContent>
                    <w:p/>
                    <w:p/>
                  </w:txbxContent>
                </v:textbox>
              </v:rect>
            </w:pict>
          </mc:Fallback>
        </mc:AlternateContent>
      </w:r>
    </w:p>
    <w:p>
      <w:pPr>
        <w:ind w:left="720"/>
        <w:rPr>
          <w:u w:val="single"/>
        </w:rPr>
      </w:pPr>
    </w:p>
    <w:p>
      <w:pPr>
        <w:ind w:left="900"/>
        <w:rPr>
          <w:bdr w:val="single" w:sz="8" w:space="0" w:color="auto"/>
        </w:rPr>
      </w:pPr>
      <w:r>
        <w:rPr>
          <w:u w:val="single"/>
        </w:rPr>
        <w:t xml:space="preserve">Dénomination et adresse </w:t>
      </w:r>
      <w:r>
        <w:rPr>
          <w:u w:val="single"/>
        </w:rPr>
        <w:br/>
        <w:t xml:space="preserve">de l’école dans laquelle </w:t>
      </w:r>
      <w:r>
        <w:rPr>
          <w:u w:val="single"/>
        </w:rPr>
        <w:br/>
        <w:t>l'inscription est demandée</w:t>
      </w:r>
      <w:r>
        <w:t>:</w:t>
      </w:r>
      <w:r>
        <w:br/>
      </w:r>
      <w:r>
        <w:br/>
        <w:t xml:space="preserve">N° FASE:  </w:t>
      </w:r>
      <w:r>
        <w:rPr>
          <w:bdr w:val="single" w:sz="8" w:space="0" w:color="auto"/>
        </w:rPr>
        <w:t xml:space="preserve">                     .      </w:t>
      </w:r>
    </w:p>
    <w:p>
      <w:pPr>
        <w:rPr>
          <w:b/>
        </w:rPr>
      </w:pPr>
    </w:p>
    <w:p/>
    <w:p>
      <w:pPr>
        <w:rPr>
          <w:b/>
          <w:sz w:val="18"/>
          <w:u w:val="single"/>
        </w:rPr>
      </w:pPr>
      <w:r>
        <w:rPr>
          <w:b/>
          <w:sz w:val="18"/>
          <w:u w:val="single"/>
        </w:rPr>
        <w:t>A COMPLETER EN LETTRES MAJUSCULES</w:t>
      </w:r>
    </w:p>
    <w:p>
      <w:pPr>
        <w:rPr>
          <w:sz w:val="18"/>
          <w:szCs w:val="18"/>
        </w:rPr>
      </w:pPr>
    </w:p>
    <w:p>
      <w:pPr>
        <w:jc w:val="both"/>
        <w:rPr>
          <w:b/>
        </w:rPr>
      </w:pPr>
      <w:r>
        <w:rPr>
          <w:b/>
        </w:rPr>
        <w:t xml:space="preserve">Cette demande doit parvenir à </w:t>
      </w:r>
      <w:smartTag w:uri="urn:schemas-microsoft-com:office:smarttags" w:element="PersonName">
        <w:smartTagPr>
          <w:attr w:name="ProductID" w:val="la Direction"/>
        </w:smartTagPr>
        <w:r>
          <w:rPr>
            <w:b/>
          </w:rPr>
          <w:t>la Direction</w:t>
        </w:r>
      </w:smartTag>
      <w:r>
        <w:rPr>
          <w:b/>
        </w:rPr>
        <w:t xml:space="preserve"> générale de l’enseignement obligatoire (Direction de l’enseignement fondamental - Bureau </w:t>
      </w:r>
      <w:smartTag w:uri="urn:schemas-microsoft-com:office:smarttags" w:element="metricconverter">
        <w:smartTagPr>
          <w:attr w:name="ProductID" w:val="2.F"/>
        </w:smartTagPr>
        <w:r>
          <w:rPr>
            <w:b/>
          </w:rPr>
          <w:t>2.F</w:t>
        </w:r>
      </w:smartTag>
      <w:r>
        <w:rPr>
          <w:b/>
        </w:rPr>
        <w:t>.211  , Rue A. Lavallée, 1  à  1080 Bruxelles).</w:t>
      </w:r>
    </w:p>
    <w:p>
      <w:pPr>
        <w:rPr>
          <w:sz w:val="18"/>
          <w:szCs w:val="18"/>
        </w:rPr>
      </w:pPr>
    </w:p>
    <w:p>
      <w:r>
        <w:t>Je soussigné(e):……………………………………………………………………………………….</w:t>
      </w:r>
    </w:p>
    <w:p>
      <w:r>
        <w:t>Père, mère, responsable de: ……………………………………………………………………….</w:t>
      </w:r>
    </w:p>
    <w:p>
      <w:r>
        <w:t>Date de naissance de l'enfant: ………………………</w:t>
      </w:r>
    </w:p>
    <w:p>
      <w:r>
        <w:t>Adresse:………………………………………………………………………………………….</w:t>
      </w:r>
    </w:p>
    <w:p>
      <w:r>
        <w:t>Téléphone:……………………………….</w:t>
      </w:r>
    </w:p>
    <w:p>
      <w:pPr>
        <w:rPr>
          <w:sz w:val="18"/>
          <w:szCs w:val="18"/>
        </w:rPr>
      </w:pPr>
    </w:p>
    <w:p>
      <w:pPr>
        <w:jc w:val="both"/>
      </w:pPr>
      <w:r>
        <w:t xml:space="preserve">Affirme que l’enfant n’a été inscrit(e) dans aucun établissement scolaire organisé ou subventionné par </w:t>
      </w:r>
      <w:smartTag w:uri="urn:schemas-microsoft-com:office:smarttags" w:element="PersonName">
        <w:smartTagPr>
          <w:attr w:name="ProductID" w:val="la F￩d￩ration Wallonie-Bruxelles"/>
        </w:smartTagPr>
        <w:r>
          <w:t>la Fédération Wallonie-Bruxelles</w:t>
        </w:r>
      </w:smartTag>
      <w:r>
        <w:t xml:space="preserve"> depuis le premier jour de l’année scolaire et demande à Monsieur le Ministre de l’Enseignement obligatoire de bien vouloir lui accorder une dérogation pour s’inscrire dans un établissement scolaire après le 30 septembre (décret du 24 juillet 1997, art.79).</w:t>
      </w:r>
    </w:p>
    <w:p>
      <w:pPr>
        <w:rPr>
          <w:sz w:val="16"/>
          <w:szCs w:val="16"/>
        </w:rPr>
      </w:pPr>
    </w:p>
    <w:p>
      <w:pPr>
        <w:jc w:val="both"/>
      </w:pPr>
      <w:r>
        <w:t>Période d’absence du premier jour de l’année scolaire au…………………(dates précises)</w:t>
      </w:r>
    </w:p>
    <w:p>
      <w:pPr>
        <w:jc w:val="both"/>
      </w:pPr>
      <w:r>
        <w:t>Raisons exceptionnelles invoquées pour justifier l’inscription tardive:</w:t>
      </w:r>
    </w:p>
    <w:p>
      <w:pPr>
        <w:numPr>
          <w:ilvl w:val="0"/>
          <w:numId w:val="42"/>
        </w:numPr>
        <w:jc w:val="both"/>
      </w:pPr>
      <w:r>
        <w:t xml:space="preserve">Elève venant d'un pays étranger inscrit pour la première fois dans un établissement organisé ou subventionné par </w:t>
      </w:r>
      <w:smartTag w:uri="urn:schemas-microsoft-com:office:smarttags" w:element="PersonName">
        <w:smartTagPr>
          <w:attr w:name="ProductID" w:val="la F￩d￩ration Wallonie-Bruxelles"/>
        </w:smartTagPr>
        <w:r>
          <w:t>la Fédération Wallonie-Bruxelles</w:t>
        </w:r>
      </w:smartTag>
    </w:p>
    <w:p>
      <w:pPr>
        <w:numPr>
          <w:ilvl w:val="0"/>
          <w:numId w:val="42"/>
        </w:numPr>
        <w:jc w:val="both"/>
      </w:pPr>
      <w:r>
        <w:t xml:space="preserve">Elèves venant d’une école organisée ou subventionnée par </w:t>
      </w:r>
      <w:smartTag w:uri="urn:schemas-microsoft-com:office:smarttags" w:element="PersonName">
        <w:smartTagPr>
          <w:attr w:name="ProductID" w:val="la Communaut￩"/>
        </w:smartTagPr>
        <w:r>
          <w:t>la Communauté</w:t>
        </w:r>
      </w:smartTag>
      <w:r>
        <w:t xml:space="preserve"> flamande ou par </w:t>
      </w:r>
      <w:smartTag w:uri="urn:schemas-microsoft-com:office:smarttags" w:element="PersonName">
        <w:smartTagPr>
          <w:attr w:name="ProductID" w:val="la Communaut￩"/>
        </w:smartTagPr>
        <w:r>
          <w:t>la Communauté</w:t>
        </w:r>
      </w:smartTag>
      <w:r>
        <w:t xml:space="preserve"> germanophone</w:t>
      </w:r>
    </w:p>
    <w:p>
      <w:pPr>
        <w:numPr>
          <w:ilvl w:val="0"/>
          <w:numId w:val="43"/>
        </w:numPr>
      </w:pPr>
      <w:r>
        <w:t>Autres:………………………………………………………………………………………………………………………………………………………………………………………………………………………………………………………………………………………………………………………………………………………………………………………………………………………………………………………………………………………………………………………………</w:t>
      </w:r>
    </w:p>
    <w:p>
      <w:pPr>
        <w:rPr>
          <w:sz w:val="16"/>
          <w:szCs w:val="16"/>
        </w:rPr>
      </w:pPr>
    </w:p>
    <w:p>
      <w:r>
        <w:t>En vue d’une inscription en  …………………………………. année primaire.</w:t>
      </w:r>
    </w:p>
    <w:p>
      <w:pPr>
        <w:rPr>
          <w:sz w:val="18"/>
          <w:szCs w:val="18"/>
        </w:rPr>
      </w:pPr>
    </w:p>
    <w:p>
      <w:r>
        <w:t>Nom et prénom du Chef d’établissement:</w:t>
      </w:r>
    </w:p>
    <w:p>
      <w:r>
        <w:t>Signature du Chef d'établissement:</w:t>
      </w:r>
      <w:r>
        <w:tab/>
      </w:r>
      <w:r>
        <w:tab/>
      </w:r>
      <w:r>
        <w:tab/>
      </w:r>
      <w:r>
        <w:tab/>
        <w:t>Signature du responsable de l'élève:</w:t>
      </w:r>
    </w:p>
    <w:p/>
    <w:p/>
    <w:p>
      <w:r>
        <w:rPr>
          <w:noProof/>
          <w:lang w:val="fr-BE" w:eastAsia="fr-BE"/>
        </w:rPr>
        <mc:AlternateContent>
          <mc:Choice Requires="wps">
            <w:drawing>
              <wp:anchor distT="0" distB="0" distL="114300" distR="114300" simplePos="0" relativeHeight="251658240" behindDoc="0" locked="0" layoutInCell="0" allowOverlap="1">
                <wp:simplePos x="0" y="0"/>
                <wp:positionH relativeFrom="column">
                  <wp:posOffset>14605</wp:posOffset>
                </wp:positionH>
                <wp:positionV relativeFrom="paragraph">
                  <wp:posOffset>110490</wp:posOffset>
                </wp:positionV>
                <wp:extent cx="6217920" cy="0"/>
                <wp:effectExtent l="19685" t="20320" r="20320" b="27305"/>
                <wp:wrapNone/>
                <wp:docPr id="27"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792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pt,8.7pt" to="490.7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" o:allowincell="f" strokeweight="3pt"/>
            </w:pict>
          </mc:Fallback>
        </mc:AlternateContent>
      </w:r>
    </w:p>
    <w:p>
      <w:r>
        <w:rPr>
          <w:b/>
          <w:i/>
        </w:rPr>
        <w:t xml:space="preserve">Cadre destiné à </w:t>
      </w:r>
      <w:smartTag w:uri="urn:schemas-microsoft-com:office:smarttags" w:element="PersonName">
        <w:smartTagPr>
          <w:attr w:name="ProductID" w:val="la Direction G￩n￩rale"/>
        </w:smartTagPr>
        <w:r>
          <w:rPr>
            <w:b/>
            <w:i/>
          </w:rPr>
          <w:t>la Direction Générale</w:t>
        </w:r>
      </w:smartTag>
      <w:r>
        <w:rPr>
          <w:b/>
          <w:i/>
        </w:rPr>
        <w:t xml:space="preserve"> de l’Enseignement Obligatoire.</w:t>
      </w:r>
    </w:p>
    <w:p>
      <w:pPr>
        <w:rPr>
          <w:rFonts w:ascii="Tahoma" w:hAnsi="Tahoma"/>
        </w:rPr>
      </w:pPr>
      <w:smartTag w:uri="urn:schemas-microsoft-com:office:smarttags" w:element="PersonName">
        <w:smartTagPr>
          <w:attr w:name="ProductID" w:val="la Ministre"/>
        </w:smartTagPr>
        <w:r>
          <w:rPr>
            <w:rFonts w:ascii="Tahoma" w:hAnsi="Tahoma"/>
          </w:rPr>
          <w:t>La Ministre</w:t>
        </w:r>
      </w:smartTag>
      <w:r>
        <w:rPr>
          <w:rFonts w:ascii="Tahoma" w:hAnsi="Tahoma"/>
        </w:rPr>
        <w:t xml:space="preserve"> - par délégation, </w:t>
      </w:r>
      <w:smartTag w:uri="urn:schemas-microsoft-com:office:smarttags" w:element="PersonName">
        <w:smartTagPr>
          <w:attr w:name="ProductID" w:val="la Directrice"/>
        </w:smartTagPr>
        <w:r>
          <w:rPr>
            <w:rFonts w:ascii="Tahoma" w:hAnsi="Tahoma"/>
          </w:rPr>
          <w:t>la Directrice</w:t>
        </w:r>
      </w:smartTag>
      <w:r>
        <w:rPr>
          <w:rFonts w:ascii="Tahoma" w:hAnsi="Tahoma"/>
        </w:rPr>
        <w:t xml:space="preserve"> générale adjointe de l'enseignement obligatoire:</w:t>
      </w:r>
    </w:p>
    <w:p>
      <w:pPr>
        <w:numPr>
          <w:ilvl w:val="0"/>
          <w:numId w:val="44"/>
        </w:numPr>
        <w:rPr>
          <w:rFonts w:ascii="Tahoma" w:hAnsi="Tahoma"/>
        </w:rPr>
      </w:pPr>
      <w:r>
        <w:rPr>
          <w:rFonts w:ascii="Tahoma" w:hAnsi="Tahoma"/>
        </w:rPr>
        <w:t>Autorise la dérogation sur base de l’article 79 §1</w:t>
      </w:r>
      <w:r>
        <w:rPr>
          <w:rFonts w:ascii="Tahoma" w:hAnsi="Tahoma"/>
          <w:vertAlign w:val="superscript"/>
        </w:rPr>
        <w:t>er</w:t>
      </w:r>
      <w:r>
        <w:rPr>
          <w:rFonts w:ascii="Tahoma" w:hAnsi="Tahoma"/>
        </w:rPr>
        <w:t xml:space="preserve"> alinéa 2 du Décret du 24 juillet 1997</w:t>
      </w:r>
    </w:p>
    <w:p>
      <w:pPr>
        <w:numPr>
          <w:ilvl w:val="0"/>
          <w:numId w:val="44"/>
        </w:numPr>
        <w:rPr>
          <w:rFonts w:ascii="Tahoma" w:hAnsi="Tahoma"/>
        </w:rPr>
      </w:pPr>
      <w:r>
        <w:rPr>
          <w:rFonts w:ascii="Tahoma" w:hAnsi="Tahoma"/>
        </w:rPr>
        <w:t>Refuse la dérogation pour les raisons suivantes: ……………………………………………………………………………………………………………………………………………………………………………………………………………………………………………………………………………………………………………………………..………………………………………………………………</w:t>
      </w:r>
    </w:p>
    <w:p>
      <w:bookmarkStart w:id="1988" w:name="_Toc295913858"/>
      <w:r>
        <w:t>Date:                                                                       Signature:</w:t>
      </w:r>
      <w:bookmarkStart w:id="1989" w:name="_Toc295913859"/>
      <w:bookmarkEnd w:id="1988"/>
    </w:p>
    <w:p>
      <w:pPr>
        <w:pStyle w:val="annexe"/>
      </w:pPr>
      <w:r>
        <w:br w:type="page"/>
      </w:r>
      <w:bookmarkStart w:id="1990" w:name="Annexe_224A"/>
      <w:bookmarkStart w:id="1991" w:name="_Toc423420174"/>
      <w:bookmarkStart w:id="1992" w:name="_Toc450645423"/>
      <w:bookmarkStart w:id="1993" w:name="_Toc453942662"/>
      <w:bookmarkStart w:id="1994" w:name="_Toc454888279"/>
      <w:bookmarkStart w:id="1995" w:name="_Toc486241900"/>
      <w:bookmarkEnd w:id="1990"/>
      <w:r>
        <w:t>Annexe 2.2.4.A. Attestation de demande d’inscription dans l’enseignement maternel</w:t>
      </w:r>
      <w:bookmarkEnd w:id="1978"/>
      <w:bookmarkEnd w:id="1989"/>
      <w:bookmarkEnd w:id="1991"/>
      <w:bookmarkEnd w:id="1992"/>
      <w:bookmarkEnd w:id="1993"/>
      <w:bookmarkEnd w:id="1994"/>
      <w:bookmarkEnd w:id="1995"/>
    </w:p>
    <w:p>
      <w:pPr>
        <w:pStyle w:val="Corpsdetexte"/>
        <w:jc w:val="center"/>
        <w:rPr>
          <w:b/>
          <w:sz w:val="28"/>
        </w:rPr>
      </w:pPr>
    </w:p>
    <w:p>
      <w:pPr>
        <w:pStyle w:val="Corpsdetexte"/>
        <w:jc w:val="center"/>
        <w:rPr>
          <w:b/>
          <w:sz w:val="24"/>
          <w:u w:val="single"/>
        </w:rPr>
      </w:pPr>
      <w:r>
        <w:rPr>
          <w:b/>
          <w:sz w:val="24"/>
          <w:u w:val="single"/>
        </w:rPr>
        <w:t xml:space="preserve">Enseignement organisé par </w:t>
      </w:r>
      <w:smartTag w:uri="urn:schemas-microsoft-com:office:smarttags" w:element="PersonName">
        <w:smartTagPr>
          <w:attr w:name="ProductID" w:val="la F￩d￩ration Wallonie-Bruxelles"/>
        </w:smartTagPr>
        <w:r>
          <w:rPr>
            <w:b/>
            <w:sz w:val="24"/>
            <w:u w:val="single"/>
          </w:rPr>
          <w:t>la Fédération Wallonie-Bruxelles</w:t>
        </w:r>
      </w:smartTag>
    </w:p>
    <w:p>
      <w:pPr>
        <w:jc w:val="center"/>
        <w:rPr>
          <w:i/>
          <w:sz w:val="16"/>
          <w:szCs w:val="16"/>
        </w:rPr>
      </w:pPr>
    </w:p>
    <w:p>
      <w:pPr>
        <w:jc w:val="center"/>
        <w:rPr>
          <w:i/>
        </w:rPr>
      </w:pPr>
      <w:r>
        <w:rPr>
          <w:i/>
        </w:rPr>
        <w:t>(Application de l’article 80 du Décret-Missions du 24 juillet 1997)</w:t>
      </w:r>
    </w:p>
    <w:p>
      <w:pPr>
        <w:pStyle w:val="Corpsdetexte"/>
        <w:jc w:val="left"/>
      </w:pPr>
    </w:p>
    <w:p>
      <w:pPr>
        <w:pStyle w:val="Corpsdetexte"/>
        <w:jc w:val="left"/>
      </w:pPr>
    </w:p>
    <w:p>
      <w:pPr>
        <w:pStyle w:val="Corpsdetexte"/>
        <w:jc w:val="left"/>
      </w:pPr>
      <w:r>
        <w:t>Cachet de l’établissement et mention de son adresse:</w:t>
      </w:r>
    </w:p>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Style w:val="Corpsdetexte"/>
        <w:spacing w:before="120"/>
        <w:jc w:val="left"/>
      </w:pPr>
      <w:r>
        <w:t>Je soussigné(e): ……………………………………………….…………, chef d’établissement,</w:t>
      </w:r>
    </w:p>
    <w:p>
      <w:pPr>
        <w:pStyle w:val="Corpsdetexte"/>
        <w:spacing w:before="120"/>
        <w:jc w:val="left"/>
      </w:pPr>
      <w:r>
        <w:t>atteste que Madame / Monsieur ……………………………………………………………………………….</w:t>
      </w:r>
    </w:p>
    <w:p>
      <w:pPr>
        <w:pStyle w:val="Corpsdetexte"/>
        <w:spacing w:before="120"/>
        <w:jc w:val="left"/>
      </w:pPr>
      <w:r>
        <w:t>s’est présenté(e) / ce ……….……… 20……  à l’établissement …………………………………………….</w:t>
      </w:r>
    </w:p>
    <w:p>
      <w:pPr>
        <w:pStyle w:val="Corpsdetexte"/>
        <w:spacing w:before="120"/>
        <w:jc w:val="left"/>
      </w:pPr>
      <w:r>
        <w:t xml:space="preserve">en vue de l’inscription de: ……………………………………………………………, </w:t>
      </w:r>
    </w:p>
    <w:p>
      <w:pPr>
        <w:pStyle w:val="Corpsdetexte"/>
        <w:spacing w:before="120"/>
        <w:jc w:val="left"/>
      </w:pPr>
      <w:r>
        <w:t>né le ……………………………</w:t>
      </w:r>
    </w:p>
    <w:p>
      <w:pPr>
        <w:pStyle w:val="Corpsdetexte"/>
        <w:jc w:val="left"/>
      </w:pPr>
    </w:p>
    <w:p>
      <w:pPr>
        <w:pStyle w:val="Corpsdetexte"/>
        <w:jc w:val="left"/>
      </w:pPr>
      <w:r>
        <w:t>Cette inscription était sollicitée dans:</w:t>
      </w:r>
    </w:p>
    <w:p>
      <w:pPr>
        <w:pStyle w:val="Corpsdetexte"/>
        <w:jc w:val="left"/>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trPr>
          <w:cantSplit/>
          <w:trHeight w:val="397"/>
        </w:trPr>
        <w:tc>
          <w:tcPr>
            <w:tcW w:w="2651" w:type="dxa"/>
            <w:vMerge w:val="restart"/>
            <w:vAlign w:val="center"/>
          </w:tcPr>
          <w:p>
            <w:pPr>
              <w:pStyle w:val="Corpsdetexte"/>
              <w:jc w:val="center"/>
              <w:rPr>
                <w:b/>
                <w:bCs/>
              </w:rPr>
            </w:pPr>
            <w:r>
              <w:rPr>
                <w:b/>
                <w:bCs/>
              </w:rPr>
              <w:t>Enseignement maternel</w:t>
            </w:r>
          </w:p>
        </w:tc>
        <w:tc>
          <w:tcPr>
            <w:tcW w:w="2209" w:type="dxa"/>
            <w:vAlign w:val="center"/>
          </w:tcPr>
          <w:p>
            <w:pPr>
              <w:pStyle w:val="Corpsdetexte"/>
              <w:jc w:val="center"/>
            </w:pPr>
            <w:r>
              <w:t>Année d'études:</w:t>
            </w:r>
          </w:p>
        </w:tc>
      </w:tr>
      <w:tr>
        <w:trPr>
          <w:cantSplit/>
          <w:trHeight w:val="397"/>
        </w:trPr>
        <w:tc>
          <w:tcPr>
            <w:tcW w:w="2651" w:type="dxa"/>
            <w:vMerge/>
            <w:vAlign w:val="center"/>
          </w:tcPr>
          <w:p>
            <w:pPr>
              <w:pStyle w:val="Corpsdetexte"/>
              <w:jc w:val="center"/>
            </w:pPr>
          </w:p>
        </w:tc>
        <w:tc>
          <w:tcPr>
            <w:tcW w:w="2209" w:type="dxa"/>
            <w:vAlign w:val="center"/>
          </w:tcPr>
          <w:p>
            <w:pPr>
              <w:pStyle w:val="Corpsdetexte"/>
              <w:jc w:val="center"/>
            </w:pPr>
          </w:p>
        </w:tc>
      </w:tr>
    </w:tbl>
    <w:p>
      <w:pPr>
        <w:pStyle w:val="Corpsdetexte"/>
        <w:jc w:val="left"/>
      </w:pPr>
    </w:p>
    <w:p>
      <w:pPr>
        <w:pStyle w:val="Corpsdetexte"/>
        <w:jc w:val="left"/>
      </w:pPr>
    </w:p>
    <w:p>
      <w:pPr>
        <w:pStyle w:val="Corpsdetexte"/>
        <w:jc w:val="left"/>
      </w:pPr>
      <w:r>
        <w:t>L’inscription n’a pas été prise pour la raison suivante:</w:t>
      </w:r>
    </w:p>
    <w:p>
      <w:pPr>
        <w:pStyle w:val="Corpsdetexte"/>
        <w:jc w:val="left"/>
      </w:pPr>
    </w:p>
    <w:p>
      <w:pPr>
        <w:pStyle w:val="Corpsdetexte"/>
        <w:numPr>
          <w:ilvl w:val="0"/>
          <w:numId w:val="48"/>
        </w:numPr>
        <w:spacing w:before="60"/>
        <w:ind w:left="357" w:hanging="357"/>
      </w:pPr>
      <w:r>
        <w:t>L’élève ne remplit pas la condition d’âge requise pour être régulièrement inscrit(e)</w:t>
      </w:r>
    </w:p>
    <w:p>
      <w:pPr>
        <w:pStyle w:val="Corpsdetexte"/>
        <w:numPr>
          <w:ilvl w:val="0"/>
          <w:numId w:val="48"/>
        </w:numPr>
        <w:spacing w:before="60"/>
        <w:ind w:left="357" w:hanging="357"/>
      </w:pPr>
      <w:r>
        <w:t>Le nombre maximal d’élèves, limité en raison de l’insuffisance des locaux disponibles, est atteint:</w:t>
      </w:r>
      <w:r>
        <w:br/>
      </w:r>
      <w:r>
        <w:rPr>
          <w:i/>
          <w:u w:val="single"/>
        </w:rPr>
        <w:t xml:space="preserve">déclaration faite à </w:t>
      </w:r>
      <w:smartTag w:uri="urn:schemas-microsoft-com:office:smarttags" w:element="PersonName">
        <w:smartTagPr>
          <w:attr w:name="ProductID" w:val="la Direction"/>
        </w:smartTagPr>
        <w:r>
          <w:rPr>
            <w:i/>
            <w:u w:val="single"/>
          </w:rPr>
          <w:t>la Direction</w:t>
        </w:r>
      </w:smartTag>
      <w:r>
        <w:rPr>
          <w:i/>
          <w:u w:val="single"/>
        </w:rPr>
        <w:t xml:space="preserve"> générale de l’Enseignement obligatoire le</w:t>
      </w:r>
      <w:r>
        <w:rPr>
          <w:i/>
        </w:rPr>
        <w:t xml:space="preserve"> </w:t>
      </w:r>
      <w:r>
        <w:t xml:space="preserve"> …… ……….……….</w:t>
      </w:r>
    </w:p>
    <w:p>
      <w:pPr>
        <w:pStyle w:val="Corpsdetexte"/>
        <w:numPr>
          <w:ilvl w:val="0"/>
          <w:numId w:val="48"/>
        </w:numPr>
        <w:spacing w:before="60"/>
        <w:ind w:left="357" w:hanging="357"/>
      </w:pPr>
      <w:r>
        <w:t>Les parents / la personne investie de l’autorité parentale n’accepte(nt) pas de souscrire aux projets éducatif et pédagogique, au règlement des études et au règlement d’ordre intérieur.</w:t>
      </w:r>
    </w:p>
    <w:p>
      <w:pPr>
        <w:pStyle w:val="Corpsdetexte"/>
        <w:jc w:val="left"/>
      </w:pPr>
    </w:p>
    <w:p>
      <w:pPr>
        <w:pStyle w:val="Corpsdetexte"/>
      </w:pPr>
      <w:r>
        <w:t xml:space="preserve">Cette attestation mentionne en annexe l’adresse des services où la personne investie de l’autorité parentale peut obtenir une assistance en vue d’une inscription dans un autre établissement d’enseignement de </w:t>
      </w:r>
      <w:smartTag w:uri="urn:schemas-microsoft-com:office:smarttags" w:element="PersonName">
        <w:smartTagPr>
          <w:attr w:name="ProductID" w:val="la F￩d￩ration Wallonie-Bruxelles"/>
        </w:smartTagPr>
        <w:r>
          <w:t>la Fédération Wallonie-Bruxelles</w:t>
        </w:r>
      </w:smartTag>
      <w:r>
        <w:t xml:space="preserve"> ou dans une institution assurant le respect de l’obligation scolaire.</w:t>
      </w:r>
    </w:p>
    <w:p>
      <w:pPr>
        <w:pStyle w:val="Corpsdetexte"/>
        <w:jc w:val="left"/>
      </w:pPr>
    </w:p>
    <w:p>
      <w:pPr>
        <w:pStyle w:val="Corpsdetexte"/>
        <w:jc w:val="left"/>
      </w:pPr>
    </w:p>
    <w:p>
      <w:pPr>
        <w:pStyle w:val="Corpsdetexte"/>
        <w:jc w:val="left"/>
      </w:pPr>
    </w:p>
    <w:p>
      <w:pPr>
        <w:pStyle w:val="Corpsdetexte"/>
        <w:jc w:val="left"/>
      </w:pPr>
      <w:r>
        <w:t>Date et signature du chef d’établissement</w:t>
      </w:r>
      <w:r>
        <w:tab/>
      </w:r>
      <w:r>
        <w:tab/>
      </w:r>
      <w:r>
        <w:tab/>
      </w:r>
      <w:r>
        <w:tab/>
        <w:t xml:space="preserve">        Pour réception</w:t>
      </w:r>
    </w:p>
    <w:p>
      <w:pPr>
        <w:pStyle w:val="Corpsdetexte"/>
        <w:jc w:val="left"/>
      </w:pPr>
    </w:p>
    <w:p>
      <w:pPr>
        <w:pStyle w:val="Corpsdetexte"/>
        <w:jc w:val="left"/>
      </w:pPr>
    </w:p>
    <w:p>
      <w:pPr>
        <w:pStyle w:val="Corpsdetexte"/>
        <w:jc w:val="left"/>
      </w:pPr>
    </w:p>
    <w:p>
      <w:pPr>
        <w:pStyle w:val="Corpsdetexte"/>
        <w:jc w:val="left"/>
      </w:pPr>
      <w:r>
        <w:t>……………………………………………..</w:t>
      </w:r>
      <w:r>
        <w:tab/>
      </w:r>
      <w:r>
        <w:tab/>
      </w:r>
      <w:r>
        <w:tab/>
      </w:r>
      <w:r>
        <w:tab/>
        <w:t>……………………………</w:t>
      </w:r>
    </w:p>
    <w:p>
      <w:pPr>
        <w:pStyle w:val="Corpsdetexte"/>
        <w:jc w:val="left"/>
      </w:pPr>
    </w:p>
    <w:p>
      <w:pPr>
        <w:pStyle w:val="Corpsdetexte"/>
        <w:jc w:val="left"/>
      </w:pPr>
    </w:p>
    <w:p>
      <w:pPr>
        <w:pStyle w:val="Corpsdetexte"/>
        <w:jc w:val="left"/>
      </w:pPr>
    </w:p>
    <w:p>
      <w:pPr>
        <w:pStyle w:val="Corpsdetexte"/>
        <w:jc w:val="left"/>
        <w:rPr>
          <w:i/>
          <w:sz w:val="20"/>
        </w:rPr>
      </w:pPr>
      <w:r>
        <w:rPr>
          <w:i/>
          <w:sz w:val="20"/>
        </w:rPr>
        <w:t xml:space="preserve">Ce document est à délivrer au(x) parent(s) </w:t>
      </w:r>
      <w:r>
        <w:rPr>
          <w:i/>
          <w:sz w:val="20"/>
          <w:u w:val="single"/>
        </w:rPr>
        <w:t>et</w:t>
      </w:r>
      <w:r>
        <w:rPr>
          <w:i/>
          <w:sz w:val="20"/>
        </w:rPr>
        <w:t xml:space="preserve"> une copie doit être envoyée à la commission zonale d’inscription.</w:t>
      </w:r>
    </w:p>
    <w:p>
      <w:pPr>
        <w:pStyle w:val="annexe"/>
        <w:rPr>
          <w:bCs/>
          <w:iCs/>
          <w:u w:val="single"/>
        </w:rPr>
      </w:pPr>
      <w:r>
        <w:rPr>
          <w:bCs/>
          <w:iCs/>
          <w:u w:val="single"/>
        </w:rPr>
        <w:br w:type="page"/>
      </w:r>
      <w:bookmarkStart w:id="1996" w:name="Annexe_224A_2"/>
      <w:bookmarkStart w:id="1997" w:name="_Toc423420175"/>
      <w:bookmarkStart w:id="1998" w:name="_Toc450645424"/>
      <w:bookmarkStart w:id="1999" w:name="_Toc453942663"/>
      <w:bookmarkStart w:id="2000" w:name="_Toc454888280"/>
      <w:bookmarkStart w:id="2001" w:name="_Toc486241901"/>
      <w:bookmarkEnd w:id="1996"/>
      <w:r>
        <w:t>Annexe 2.2.4.A. (2)</w:t>
      </w:r>
      <w:bookmarkEnd w:id="1997"/>
      <w:bookmarkEnd w:id="1998"/>
      <w:bookmarkEnd w:id="1999"/>
      <w:bookmarkEnd w:id="2000"/>
      <w:bookmarkEnd w:id="2001"/>
    </w:p>
    <w:p>
      <w:pPr>
        <w:pStyle w:val="Corpsdetexte"/>
        <w:jc w:val="left"/>
        <w:rPr>
          <w:i/>
          <w:sz w:val="20"/>
        </w:rPr>
      </w:pPr>
    </w:p>
    <w:p>
      <w:pPr>
        <w:pStyle w:val="NormalWeb"/>
        <w:spacing w:before="0"/>
        <w:jc w:val="center"/>
        <w:rPr>
          <w:rFonts w:ascii="Arial" w:hAnsi="Arial" w:cs="Arial"/>
          <w:b/>
          <w:bCs/>
          <w:color w:val="auto"/>
          <w:sz w:val="20"/>
          <w:szCs w:val="20"/>
          <w:u w:val="single"/>
        </w:rPr>
      </w:pPr>
    </w:p>
    <w:p>
      <w:pPr>
        <w:pStyle w:val="Corpsdetexte"/>
        <w:jc w:val="center"/>
        <w:rPr>
          <w:b/>
          <w:sz w:val="24"/>
          <w:u w:val="single"/>
        </w:rPr>
      </w:pPr>
      <w:r>
        <w:rPr>
          <w:b/>
          <w:sz w:val="24"/>
          <w:u w:val="single"/>
        </w:rPr>
        <w:t xml:space="preserve">Enseignement organisé par </w:t>
      </w:r>
      <w:smartTag w:uri="urn:schemas-microsoft-com:office:smarttags" w:element="PersonName">
        <w:smartTagPr>
          <w:attr w:name="ProductID" w:val="la F￩d￩ration Wallonie-Bruxelles"/>
        </w:smartTagPr>
        <w:r>
          <w:rPr>
            <w:b/>
            <w:sz w:val="24"/>
            <w:u w:val="single"/>
          </w:rPr>
          <w:t>la Fédération Wallonie-Bruxelles</w:t>
        </w:r>
      </w:smartTag>
    </w:p>
    <w:p>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trPr>
          <w:trHeight w:val="1441"/>
        </w:trPr>
        <w:tc>
          <w:tcPr>
            <w:tcW w:w="4546" w:type="dxa"/>
          </w:tcPr>
          <w:p>
            <w:pPr>
              <w:ind w:left="1080" w:hanging="1080"/>
              <w:rPr>
                <w:b/>
              </w:rPr>
            </w:pPr>
            <w:r>
              <w:rPr>
                <w:b/>
              </w:rPr>
              <w:t>Zone 1</w:t>
            </w:r>
            <w:r>
              <w:t xml:space="preserve">: </w:t>
            </w:r>
            <w:r>
              <w:tab/>
            </w:r>
            <w:r>
              <w:rPr>
                <w:b/>
              </w:rPr>
              <w:t>Bruxelles-Capitale</w:t>
            </w:r>
          </w:p>
          <w:p>
            <w:pPr>
              <w:ind w:left="1080" w:hanging="1080"/>
              <w:rPr>
                <w:sz w:val="8"/>
                <w:szCs w:val="8"/>
              </w:rPr>
            </w:pPr>
          </w:p>
          <w:p>
            <w:pPr>
              <w:ind w:left="1080" w:hanging="1080"/>
            </w:pPr>
            <w:r>
              <w:rPr>
                <w:b/>
              </w:rPr>
              <w:t xml:space="preserve">Zone 2: </w:t>
            </w:r>
            <w:r>
              <w:rPr>
                <w:b/>
              </w:rPr>
              <w:tab/>
              <w:t>Brabant Wallon</w:t>
            </w:r>
          </w:p>
          <w:p>
            <w:pPr>
              <w:ind w:left="1080" w:hanging="1080"/>
              <w:rPr>
                <w:b/>
              </w:rPr>
            </w:pPr>
          </w:p>
          <w:p>
            <w:pPr>
              <w:tabs>
                <w:tab w:val="left" w:pos="948"/>
              </w:tabs>
            </w:pPr>
          </w:p>
        </w:tc>
        <w:tc>
          <w:tcPr>
            <w:tcW w:w="4514" w:type="dxa"/>
          </w:tcPr>
          <w:p>
            <w:pPr>
              <w:rPr>
                <w:b/>
                <w:lang w:val="fr-BE"/>
              </w:rPr>
            </w:pPr>
            <w:r>
              <w:rPr>
                <w:b/>
                <w:lang w:val="fr-BE"/>
              </w:rPr>
              <w:t>VANDERHEIDEN Renelde</w:t>
            </w:r>
          </w:p>
          <w:p>
            <w:pPr>
              <w:rPr>
                <w:lang w:val="fr-BE"/>
              </w:rPr>
            </w:pPr>
            <w:r>
              <w:rPr>
                <w:lang w:val="fr-BE"/>
              </w:rPr>
              <w:t>SGEFWB</w:t>
            </w:r>
          </w:p>
          <w:p>
            <w:pPr>
              <w:rPr>
                <w:lang w:val="fr-BE"/>
              </w:rPr>
            </w:pPr>
            <w:r>
              <w:rPr>
                <w:lang w:val="fr-BE"/>
              </w:rPr>
              <w:t>Bld du Jardin botanique 20-22 (1G57)</w:t>
            </w:r>
          </w:p>
          <w:p>
            <w:pPr>
              <w:rPr>
                <w:lang w:val="fr-BE"/>
              </w:rPr>
            </w:pPr>
            <w:r>
              <w:rPr>
                <w:lang w:val="fr-BE"/>
              </w:rPr>
              <w:t>1000 Bruxelles</w:t>
            </w:r>
          </w:p>
          <w:p>
            <w:r>
              <w:rPr>
                <w:lang w:val="fr-BE"/>
              </w:rPr>
              <w:t>Tél. : 02/690.81.78 – Fax : 02/690.81.35</w:t>
            </w:r>
          </w:p>
        </w:tc>
      </w:tr>
      <w:tr>
        <w:trPr>
          <w:trHeight w:val="1391"/>
        </w:trPr>
        <w:tc>
          <w:tcPr>
            <w:tcW w:w="4546" w:type="dxa"/>
          </w:tcPr>
          <w:p>
            <w:pPr>
              <w:ind w:left="1080" w:hanging="1080"/>
              <w:rPr>
                <w:b/>
              </w:rPr>
            </w:pPr>
            <w:r>
              <w:rPr>
                <w:b/>
              </w:rPr>
              <w:t>Zone 3:</w:t>
            </w:r>
            <w:r>
              <w:rPr>
                <w:b/>
              </w:rPr>
              <w:tab/>
              <w:t>Huy-Waremme</w:t>
            </w:r>
          </w:p>
          <w:p>
            <w:pPr>
              <w:ind w:left="1080" w:hanging="1080"/>
              <w:rPr>
                <w:b/>
                <w:sz w:val="8"/>
                <w:szCs w:val="8"/>
              </w:rPr>
            </w:pPr>
          </w:p>
          <w:p>
            <w:pPr>
              <w:ind w:left="1080" w:hanging="1080"/>
              <w:rPr>
                <w:b/>
              </w:rPr>
            </w:pPr>
            <w:r>
              <w:rPr>
                <w:b/>
              </w:rPr>
              <w:t>Zone 6:</w:t>
            </w:r>
            <w:r>
              <w:rPr>
                <w:b/>
              </w:rPr>
              <w:tab/>
              <w:t>Namur</w:t>
            </w:r>
          </w:p>
        </w:tc>
        <w:tc>
          <w:tcPr>
            <w:tcW w:w="4514" w:type="dxa"/>
          </w:tcPr>
          <w:p>
            <w:pPr>
              <w:rPr>
                <w:b/>
                <w:lang w:val="fr-BE"/>
              </w:rPr>
            </w:pPr>
            <w:r>
              <w:rPr>
                <w:b/>
                <w:lang w:val="fr-BE"/>
              </w:rPr>
              <w:t>PERAZZO Gianni</w:t>
            </w:r>
          </w:p>
          <w:p>
            <w:pPr>
              <w:rPr>
                <w:lang w:val="fr-BE"/>
              </w:rPr>
            </w:pPr>
            <w:r>
              <w:rPr>
                <w:lang w:val="fr-BE"/>
              </w:rPr>
              <w:t>SGEFWB</w:t>
            </w:r>
          </w:p>
          <w:p>
            <w:pPr>
              <w:rPr>
                <w:lang w:val="fr-BE"/>
              </w:rPr>
            </w:pPr>
            <w:r>
              <w:rPr>
                <w:lang w:val="fr-BE"/>
              </w:rPr>
              <w:t>Bld du Jardin botanique 20-22 (1G13)</w:t>
            </w:r>
          </w:p>
          <w:p>
            <w:pPr>
              <w:rPr>
                <w:lang w:val="fr-BE"/>
              </w:rPr>
            </w:pPr>
            <w:r>
              <w:rPr>
                <w:lang w:val="fr-BE"/>
              </w:rPr>
              <w:t>1000 Bruxelles</w:t>
            </w:r>
          </w:p>
          <w:p>
            <w:pPr>
              <w:rPr>
                <w:b/>
              </w:rPr>
            </w:pPr>
            <w:r>
              <w:rPr>
                <w:lang w:val="fr-BE"/>
              </w:rPr>
              <w:t>Tél. : 02/690.82.88 – Fax : 02/690.81.35</w:t>
            </w:r>
          </w:p>
        </w:tc>
      </w:tr>
      <w:tr>
        <w:trPr>
          <w:trHeight w:val="1141"/>
        </w:trPr>
        <w:tc>
          <w:tcPr>
            <w:tcW w:w="4546" w:type="dxa"/>
          </w:tcPr>
          <w:p>
            <w:pPr>
              <w:ind w:left="1080" w:hanging="1080"/>
              <w:rPr>
                <w:b/>
              </w:rPr>
            </w:pPr>
            <w:r>
              <w:rPr>
                <w:b/>
              </w:rPr>
              <w:t>Zone 4:</w:t>
            </w:r>
            <w:r>
              <w:rPr>
                <w:b/>
              </w:rPr>
              <w:tab/>
              <w:t>Liège</w:t>
            </w:r>
          </w:p>
          <w:p>
            <w:pPr>
              <w:ind w:left="1080" w:hanging="1080"/>
              <w:rPr>
                <w:b/>
                <w:sz w:val="8"/>
                <w:szCs w:val="8"/>
              </w:rPr>
            </w:pPr>
          </w:p>
          <w:p>
            <w:pPr>
              <w:ind w:left="1080" w:hanging="1080"/>
              <w:rPr>
                <w:b/>
              </w:rPr>
            </w:pPr>
            <w:r>
              <w:rPr>
                <w:b/>
              </w:rPr>
              <w:t>Zone 5:</w:t>
            </w:r>
            <w:r>
              <w:rPr>
                <w:b/>
              </w:rPr>
              <w:tab/>
              <w:t xml:space="preserve">Verviers </w:t>
            </w:r>
          </w:p>
          <w:p>
            <w:pPr>
              <w:ind w:left="1080" w:hanging="1080"/>
              <w:rPr>
                <w:b/>
                <w:sz w:val="8"/>
                <w:szCs w:val="8"/>
              </w:rPr>
            </w:pPr>
          </w:p>
          <w:p>
            <w:pPr>
              <w:ind w:left="1080" w:hanging="1080"/>
              <w:rPr>
                <w:b/>
              </w:rPr>
            </w:pPr>
            <w:r>
              <w:rPr>
                <w:b/>
              </w:rPr>
              <w:t>Zone 7:</w:t>
            </w:r>
            <w:r>
              <w:rPr>
                <w:b/>
              </w:rPr>
              <w:tab/>
              <w:t>Luxembourg</w:t>
            </w:r>
          </w:p>
        </w:tc>
        <w:tc>
          <w:tcPr>
            <w:tcW w:w="4514" w:type="dxa"/>
          </w:tcPr>
          <w:p>
            <w:pPr>
              <w:rPr>
                <w:b/>
                <w:lang w:val="en-GB"/>
              </w:rPr>
            </w:pPr>
            <w:r>
              <w:rPr>
                <w:b/>
                <w:lang w:val="en-GB"/>
              </w:rPr>
              <w:t>SLOTA Isabelle</w:t>
            </w:r>
          </w:p>
          <w:p>
            <w:pPr>
              <w:rPr>
                <w:lang w:val="en-GB"/>
              </w:rPr>
            </w:pPr>
            <w:r>
              <w:rPr>
                <w:lang w:val="en-GB"/>
              </w:rPr>
              <w:t>Rue Henri Fays, 37</w:t>
            </w:r>
          </w:p>
          <w:p>
            <w:pPr>
              <w:rPr>
                <w:lang w:val="en-GB"/>
              </w:rPr>
            </w:pPr>
            <w:r>
              <w:rPr>
                <w:lang w:val="en-GB"/>
              </w:rPr>
              <w:t>4130 Anthisnes</w:t>
            </w:r>
          </w:p>
          <w:p>
            <w:r>
              <w:rPr>
                <w:lang w:val="en-GB"/>
              </w:rPr>
              <w:t>Tél. : 0473/59.22.95 – Fax: /</w:t>
            </w:r>
          </w:p>
        </w:tc>
      </w:tr>
      <w:tr>
        <w:trPr>
          <w:trHeight w:val="1540"/>
        </w:trPr>
        <w:tc>
          <w:tcPr>
            <w:tcW w:w="4546" w:type="dxa"/>
          </w:tcPr>
          <w:p>
            <w:pPr>
              <w:ind w:left="1080" w:hanging="1080"/>
              <w:rPr>
                <w:b/>
              </w:rPr>
            </w:pPr>
            <w:r>
              <w:rPr>
                <w:b/>
              </w:rPr>
              <w:t>Zone 8:</w:t>
            </w:r>
            <w:r>
              <w:rPr>
                <w:b/>
              </w:rPr>
              <w:tab/>
              <w:t>Hainaut occidental</w:t>
            </w:r>
          </w:p>
          <w:p>
            <w:pPr>
              <w:ind w:left="1080" w:hanging="1080"/>
              <w:rPr>
                <w:b/>
                <w:sz w:val="8"/>
                <w:szCs w:val="8"/>
              </w:rPr>
            </w:pPr>
          </w:p>
          <w:p>
            <w:pPr>
              <w:ind w:left="1080" w:hanging="1080"/>
              <w:rPr>
                <w:b/>
              </w:rPr>
            </w:pPr>
            <w:r>
              <w:rPr>
                <w:b/>
              </w:rPr>
              <w:t>Zone 9:</w:t>
            </w:r>
            <w:r>
              <w:rPr>
                <w:b/>
              </w:rPr>
              <w:tab/>
              <w:t>Mons – Centre</w:t>
            </w:r>
          </w:p>
          <w:p>
            <w:pPr>
              <w:ind w:left="1080" w:hanging="1080"/>
              <w:rPr>
                <w:b/>
                <w:sz w:val="8"/>
                <w:szCs w:val="8"/>
              </w:rPr>
            </w:pPr>
          </w:p>
          <w:p>
            <w:pPr>
              <w:ind w:left="1080" w:hanging="1080"/>
              <w:rPr>
                <w:b/>
              </w:rPr>
            </w:pPr>
            <w:r>
              <w:rPr>
                <w:b/>
              </w:rPr>
              <w:t>Zone 10:</w:t>
            </w:r>
            <w:r>
              <w:rPr>
                <w:b/>
              </w:rPr>
              <w:tab/>
              <w:t>Charleroi – Hainaut Sud</w:t>
            </w:r>
          </w:p>
        </w:tc>
        <w:tc>
          <w:tcPr>
            <w:tcW w:w="4514" w:type="dxa"/>
          </w:tcPr>
          <w:p>
            <w:pPr>
              <w:rPr>
                <w:b/>
                <w:lang w:val="fr-BE"/>
              </w:rPr>
            </w:pPr>
            <w:r>
              <w:rPr>
                <w:b/>
                <w:lang w:val="fr-BE"/>
              </w:rPr>
              <w:t>DEBAISIEUX Frédéric</w:t>
            </w:r>
          </w:p>
          <w:p>
            <w:pPr>
              <w:rPr>
                <w:lang w:val="fr-BE"/>
              </w:rPr>
            </w:pPr>
            <w:r>
              <w:rPr>
                <w:lang w:val="fr-BE"/>
              </w:rPr>
              <w:t>I.A.C.F. Walter Ravez</w:t>
            </w:r>
          </w:p>
          <w:p>
            <w:pPr>
              <w:rPr>
                <w:lang w:val="fr-BE"/>
              </w:rPr>
            </w:pPr>
            <w:r>
              <w:rPr>
                <w:lang w:val="fr-BE"/>
              </w:rPr>
              <w:t>Quai Vifquin 22-25</w:t>
            </w:r>
          </w:p>
          <w:p>
            <w:pPr>
              <w:rPr>
                <w:lang w:val="fr-BE"/>
              </w:rPr>
            </w:pPr>
            <w:r>
              <w:rPr>
                <w:lang w:val="fr-BE"/>
              </w:rPr>
              <w:t>7500 Tournai</w:t>
            </w:r>
          </w:p>
          <w:p>
            <w:pPr>
              <w:rPr>
                <w:lang w:val="fr-BE"/>
              </w:rPr>
            </w:pPr>
            <w:r>
              <w:rPr>
                <w:lang w:val="fr-BE"/>
              </w:rPr>
              <w:t xml:space="preserve">Tél. : 0468/42.85.36 </w:t>
            </w:r>
            <w:r>
              <w:rPr>
                <w:lang w:val="en-GB"/>
              </w:rPr>
              <w:t>– Fax: /</w:t>
            </w:r>
          </w:p>
          <w:p>
            <w:pPr>
              <w:rPr>
                <w:b/>
                <w:lang w:val="en-GB"/>
              </w:rPr>
            </w:pPr>
          </w:p>
        </w:tc>
      </w:tr>
    </w:tbl>
    <w:p/>
    <w:p>
      <w:pPr>
        <w:rPr>
          <w:sz w:val="2"/>
          <w:szCs w:val="2"/>
        </w:rPr>
      </w:pPr>
      <w:r>
        <w:br w:type="page"/>
      </w:r>
    </w:p>
    <w:p>
      <w:pPr>
        <w:pStyle w:val="annexe"/>
      </w:pPr>
      <w:bookmarkStart w:id="2002" w:name="Annexe_224B"/>
      <w:bookmarkStart w:id="2003" w:name="_Toc272404491"/>
      <w:bookmarkStart w:id="2004" w:name="_Toc295913860"/>
      <w:bookmarkStart w:id="2005" w:name="_Toc423420176"/>
      <w:bookmarkStart w:id="2006" w:name="_Toc450645425"/>
      <w:bookmarkStart w:id="2007" w:name="_Toc453942664"/>
      <w:bookmarkStart w:id="2008" w:name="_Toc454888281"/>
      <w:bookmarkStart w:id="2009" w:name="_Toc486241902"/>
      <w:bookmarkEnd w:id="2002"/>
      <w:r>
        <w:t>Annexe 2.2.4.B. Attestation de demande d’inscription dans l’enseignement primaire ordinaire</w:t>
      </w:r>
      <w:bookmarkEnd w:id="2003"/>
      <w:bookmarkEnd w:id="2004"/>
      <w:bookmarkEnd w:id="2005"/>
      <w:bookmarkEnd w:id="2006"/>
      <w:bookmarkEnd w:id="2007"/>
      <w:bookmarkEnd w:id="2008"/>
      <w:bookmarkEnd w:id="2009"/>
    </w:p>
    <w:p>
      <w:pPr>
        <w:pStyle w:val="Corpsdetexte"/>
        <w:jc w:val="center"/>
        <w:rPr>
          <w:b/>
          <w:sz w:val="16"/>
        </w:rPr>
      </w:pPr>
    </w:p>
    <w:p>
      <w:pPr>
        <w:pStyle w:val="Corpsdetexte"/>
        <w:jc w:val="center"/>
        <w:rPr>
          <w:b/>
          <w:sz w:val="24"/>
          <w:u w:val="single"/>
        </w:rPr>
      </w:pPr>
      <w:r>
        <w:rPr>
          <w:b/>
          <w:sz w:val="24"/>
          <w:u w:val="single"/>
        </w:rPr>
        <w:t xml:space="preserve">Enseignement organisé par </w:t>
      </w:r>
      <w:smartTag w:uri="urn:schemas-microsoft-com:office:smarttags" w:element="PersonName">
        <w:smartTagPr>
          <w:attr w:name="ProductID" w:val="la F￩d￩ration Wallonie-Bruxelles"/>
        </w:smartTagPr>
        <w:r>
          <w:rPr>
            <w:b/>
            <w:sz w:val="24"/>
            <w:u w:val="single"/>
          </w:rPr>
          <w:t>la Fédération Wallonie-Bruxelles</w:t>
        </w:r>
      </w:smartTag>
    </w:p>
    <w:p>
      <w:pPr>
        <w:jc w:val="center"/>
        <w:rPr>
          <w:i/>
          <w:sz w:val="16"/>
        </w:rPr>
      </w:pPr>
    </w:p>
    <w:p>
      <w:pPr>
        <w:jc w:val="center"/>
        <w:rPr>
          <w:i/>
        </w:rPr>
      </w:pPr>
      <w:r>
        <w:rPr>
          <w:i/>
        </w:rPr>
        <w:t>(Application de l’article 80 du Décret-Missions du 24 juillet 1997)</w:t>
      </w:r>
    </w:p>
    <w:p>
      <w:pPr>
        <w:pStyle w:val="Corpsdetexte"/>
        <w:jc w:val="left"/>
      </w:pPr>
    </w:p>
    <w:p>
      <w:pPr>
        <w:pStyle w:val="Corpsdetexte"/>
        <w:jc w:val="left"/>
      </w:pPr>
    </w:p>
    <w:p>
      <w:pPr>
        <w:pStyle w:val="Corpsdetexte"/>
        <w:jc w:val="left"/>
      </w:pPr>
      <w:r>
        <w:t>Cachet de l’établissement et mention de son adresse:</w:t>
      </w:r>
    </w:p>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Style w:val="Corpsdetexte"/>
        <w:spacing w:before="120"/>
        <w:jc w:val="left"/>
      </w:pPr>
      <w:r>
        <w:t>Je soussigné(e): ……………………………………………..….…………, chef d’établissement,</w:t>
      </w:r>
    </w:p>
    <w:p>
      <w:pPr>
        <w:pStyle w:val="Corpsdetexte"/>
        <w:spacing w:before="120"/>
        <w:jc w:val="left"/>
      </w:pPr>
      <w:r>
        <w:t>atteste que Madame / Monsieur ……………………………………………………………………………….</w:t>
      </w:r>
    </w:p>
    <w:p>
      <w:pPr>
        <w:pStyle w:val="Corpsdetexte"/>
        <w:spacing w:before="120"/>
        <w:jc w:val="left"/>
      </w:pPr>
      <w:r>
        <w:t>s’est présenté(e) / ce ……….……… 20……  à l’établissement …………………………………………….</w:t>
      </w:r>
    </w:p>
    <w:p>
      <w:pPr>
        <w:pStyle w:val="Corpsdetexte"/>
        <w:spacing w:before="120"/>
        <w:jc w:val="left"/>
      </w:pPr>
      <w:r>
        <w:t xml:space="preserve">en vue de l’inscription de: ……………………………………………………………, </w:t>
      </w:r>
    </w:p>
    <w:p>
      <w:pPr>
        <w:pStyle w:val="Corpsdetexte"/>
        <w:spacing w:before="120"/>
        <w:jc w:val="left"/>
      </w:pPr>
      <w:r>
        <w:t>né le ……………………………</w:t>
      </w:r>
    </w:p>
    <w:p>
      <w:pPr>
        <w:pStyle w:val="Corpsdetexte"/>
        <w:jc w:val="left"/>
      </w:pPr>
    </w:p>
    <w:p>
      <w:pPr>
        <w:pStyle w:val="Corpsdetexte"/>
        <w:jc w:val="left"/>
      </w:pPr>
      <w:r>
        <w:t>Cette inscription était sollicitée dans:</w:t>
      </w:r>
    </w:p>
    <w:p>
      <w:pPr>
        <w:pStyle w:val="Corpsdetexte"/>
        <w:jc w:val="left"/>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trPr>
          <w:cantSplit/>
          <w:trHeight w:val="397"/>
        </w:trPr>
        <w:tc>
          <w:tcPr>
            <w:tcW w:w="2651" w:type="dxa"/>
            <w:vMerge w:val="restart"/>
            <w:vAlign w:val="center"/>
          </w:tcPr>
          <w:p>
            <w:pPr>
              <w:pStyle w:val="Corpsdetexte"/>
              <w:jc w:val="center"/>
              <w:rPr>
                <w:b/>
                <w:bCs/>
              </w:rPr>
            </w:pPr>
            <w:r>
              <w:rPr>
                <w:b/>
                <w:bCs/>
              </w:rPr>
              <w:t>Enseignement primaire</w:t>
            </w:r>
          </w:p>
        </w:tc>
        <w:tc>
          <w:tcPr>
            <w:tcW w:w="2209" w:type="dxa"/>
            <w:vAlign w:val="center"/>
          </w:tcPr>
          <w:p>
            <w:pPr>
              <w:pStyle w:val="Corpsdetexte"/>
              <w:jc w:val="center"/>
            </w:pPr>
            <w:r>
              <w:t>Année d'études:</w:t>
            </w:r>
          </w:p>
        </w:tc>
      </w:tr>
      <w:tr>
        <w:trPr>
          <w:cantSplit/>
          <w:trHeight w:val="397"/>
        </w:trPr>
        <w:tc>
          <w:tcPr>
            <w:tcW w:w="2651" w:type="dxa"/>
            <w:vMerge/>
            <w:vAlign w:val="center"/>
          </w:tcPr>
          <w:p>
            <w:pPr>
              <w:pStyle w:val="Corpsdetexte"/>
              <w:jc w:val="center"/>
            </w:pPr>
          </w:p>
        </w:tc>
        <w:tc>
          <w:tcPr>
            <w:tcW w:w="2209" w:type="dxa"/>
            <w:vAlign w:val="center"/>
          </w:tcPr>
          <w:p>
            <w:pPr>
              <w:pStyle w:val="Corpsdetexte"/>
              <w:jc w:val="center"/>
            </w:pPr>
          </w:p>
        </w:tc>
      </w:tr>
    </w:tbl>
    <w:p>
      <w:pPr>
        <w:pStyle w:val="Corpsdetexte"/>
        <w:jc w:val="left"/>
      </w:pPr>
    </w:p>
    <w:p>
      <w:pPr>
        <w:pStyle w:val="Corpsdetexte"/>
        <w:jc w:val="left"/>
      </w:pPr>
    </w:p>
    <w:p>
      <w:pPr>
        <w:pStyle w:val="Corpsdetexte"/>
        <w:jc w:val="left"/>
      </w:pPr>
      <w:r>
        <w:t>L’inscription n’a pas été prise pour la raison suivante:</w:t>
      </w:r>
    </w:p>
    <w:p>
      <w:pPr>
        <w:pStyle w:val="Corpsdetexte"/>
        <w:jc w:val="left"/>
      </w:pPr>
    </w:p>
    <w:p>
      <w:pPr>
        <w:pStyle w:val="Corpsdetexte"/>
        <w:numPr>
          <w:ilvl w:val="0"/>
          <w:numId w:val="48"/>
        </w:numPr>
        <w:spacing w:before="60"/>
        <w:ind w:left="357" w:hanging="357"/>
      </w:pPr>
      <w:r>
        <w:t>L’élève ne remplit pas les conditions requises pour être régulièrement inscrit(e)</w:t>
      </w:r>
    </w:p>
    <w:p>
      <w:pPr>
        <w:pStyle w:val="Corpsdetexte"/>
        <w:numPr>
          <w:ilvl w:val="0"/>
          <w:numId w:val="48"/>
        </w:numPr>
        <w:spacing w:before="60"/>
        <w:ind w:left="357" w:hanging="357"/>
      </w:pPr>
      <w:r>
        <w:t>Le nombre maximal d’élèves, limité en raison de l’insuffisance des locaux disponibles, est atteint:</w:t>
      </w:r>
      <w:r>
        <w:br/>
      </w:r>
      <w:r>
        <w:rPr>
          <w:i/>
          <w:u w:val="single"/>
        </w:rPr>
        <w:t xml:space="preserve">déclaration faite à </w:t>
      </w:r>
      <w:smartTag w:uri="urn:schemas-microsoft-com:office:smarttags" w:element="PersonName">
        <w:smartTagPr>
          <w:attr w:name="ProductID" w:val="la Direction"/>
        </w:smartTagPr>
        <w:r>
          <w:rPr>
            <w:i/>
            <w:u w:val="single"/>
          </w:rPr>
          <w:t>la Direction</w:t>
        </w:r>
      </w:smartTag>
      <w:r>
        <w:rPr>
          <w:i/>
          <w:u w:val="single"/>
        </w:rPr>
        <w:t xml:space="preserve"> générale de l’Enseignement obligatoire le</w:t>
      </w:r>
      <w:r>
        <w:rPr>
          <w:i/>
        </w:rPr>
        <w:t xml:space="preserve"> </w:t>
      </w:r>
      <w:r>
        <w:t xml:space="preserve"> …… ……….……….</w:t>
      </w:r>
    </w:p>
    <w:p>
      <w:pPr>
        <w:pStyle w:val="Corpsdetexte"/>
        <w:numPr>
          <w:ilvl w:val="0"/>
          <w:numId w:val="48"/>
        </w:numPr>
        <w:spacing w:before="60"/>
        <w:ind w:left="357" w:hanging="357"/>
      </w:pPr>
      <w:r>
        <w:t>L’élève est venu s’inscrire après le 30 septembre</w:t>
      </w:r>
    </w:p>
    <w:p>
      <w:pPr>
        <w:pStyle w:val="Corpsdetexte"/>
        <w:numPr>
          <w:ilvl w:val="0"/>
          <w:numId w:val="48"/>
        </w:numPr>
        <w:spacing w:before="60"/>
        <w:ind w:left="357" w:hanging="357"/>
      </w:pPr>
      <w:r>
        <w:t>Les parents / la personne investie de l’autorité parentale n’accepte(nt) pas de souscrire aux projets éducatif et pédagogique, au règlement des études et au règlement d’ordre intérieur.</w:t>
      </w:r>
    </w:p>
    <w:p>
      <w:pPr>
        <w:pStyle w:val="Corpsdetexte"/>
      </w:pPr>
    </w:p>
    <w:p>
      <w:pPr>
        <w:pStyle w:val="Corpsdetexte"/>
      </w:pPr>
      <w:r>
        <w:t xml:space="preserve">Cette attestation mentionne en annexe l’adresse des services où la personne investie de l’autorité parentale peut obtenir une assistance en vue d’une inscription dans un autre établissement d’enseignement de </w:t>
      </w:r>
      <w:smartTag w:uri="urn:schemas-microsoft-com:office:smarttags" w:element="PersonName">
        <w:smartTagPr>
          <w:attr w:name="ProductID" w:val="la F￩d￩ration Wallonie-Bruxelles"/>
        </w:smartTagPr>
        <w:r>
          <w:t>la Fédération Wallonie-Bruxelles</w:t>
        </w:r>
      </w:smartTag>
      <w:r>
        <w:t xml:space="preserve"> ou dans une institution assurant le respect de l’obligation scolaire.</w:t>
      </w:r>
    </w:p>
    <w:p>
      <w:pPr>
        <w:pStyle w:val="Corpsdetexte"/>
        <w:jc w:val="left"/>
      </w:pPr>
    </w:p>
    <w:p>
      <w:pPr>
        <w:pStyle w:val="Corpsdetexte"/>
        <w:jc w:val="left"/>
      </w:pPr>
    </w:p>
    <w:p>
      <w:pPr>
        <w:pStyle w:val="Corpsdetexte"/>
        <w:jc w:val="left"/>
      </w:pPr>
      <w:r>
        <w:t>Date et signature du chef d’établissement</w:t>
      </w:r>
      <w:r>
        <w:tab/>
      </w:r>
      <w:r>
        <w:tab/>
      </w:r>
      <w:r>
        <w:tab/>
      </w:r>
      <w:r>
        <w:tab/>
        <w:t xml:space="preserve">        Pour réception</w:t>
      </w:r>
    </w:p>
    <w:p>
      <w:pPr>
        <w:pStyle w:val="Corpsdetexte"/>
        <w:jc w:val="left"/>
      </w:pPr>
    </w:p>
    <w:p>
      <w:pPr>
        <w:pStyle w:val="Corpsdetexte"/>
        <w:jc w:val="left"/>
      </w:pPr>
    </w:p>
    <w:p>
      <w:pPr>
        <w:pStyle w:val="Corpsdetexte"/>
        <w:jc w:val="left"/>
      </w:pPr>
      <w:r>
        <w:t>……………………………………………..</w:t>
      </w:r>
      <w:r>
        <w:tab/>
      </w:r>
      <w:r>
        <w:tab/>
      </w:r>
      <w:r>
        <w:tab/>
      </w:r>
      <w:r>
        <w:tab/>
        <w:t>……………………………</w:t>
      </w:r>
    </w:p>
    <w:p>
      <w:pPr>
        <w:pStyle w:val="Corpsdetexte"/>
        <w:jc w:val="left"/>
      </w:pPr>
    </w:p>
    <w:p>
      <w:pPr>
        <w:pStyle w:val="Corpsdetexte"/>
        <w:jc w:val="left"/>
      </w:pPr>
    </w:p>
    <w:p>
      <w:pPr>
        <w:pStyle w:val="Corpsdetexte"/>
        <w:jc w:val="left"/>
      </w:pPr>
    </w:p>
    <w:p>
      <w:pPr>
        <w:pStyle w:val="Corpsdetexte"/>
        <w:jc w:val="left"/>
        <w:rPr>
          <w:i/>
          <w:sz w:val="20"/>
        </w:rPr>
      </w:pPr>
      <w:r>
        <w:rPr>
          <w:i/>
          <w:sz w:val="20"/>
        </w:rPr>
        <w:t xml:space="preserve">Ce document est à délivrer au(x) parent(s) </w:t>
      </w:r>
      <w:r>
        <w:rPr>
          <w:i/>
          <w:sz w:val="20"/>
          <w:u w:val="single"/>
        </w:rPr>
        <w:t>et</w:t>
      </w:r>
      <w:r>
        <w:rPr>
          <w:i/>
          <w:sz w:val="20"/>
        </w:rPr>
        <w:t xml:space="preserve"> une copie doit être envoyée à la commission zonale d’inscription.</w:t>
      </w:r>
    </w:p>
    <w:p>
      <w:pPr>
        <w:pStyle w:val="annexe"/>
        <w:rPr>
          <w:bCs/>
          <w:iCs/>
          <w:smallCaps/>
          <w:u w:val="single"/>
        </w:rPr>
      </w:pPr>
      <w:r>
        <w:rPr>
          <w:bCs/>
          <w:iCs/>
          <w:u w:val="single"/>
        </w:rPr>
        <w:br w:type="page"/>
      </w:r>
      <w:bookmarkStart w:id="2010" w:name="Annexe_224B_2"/>
      <w:bookmarkStart w:id="2011" w:name="_Toc423420177"/>
      <w:bookmarkStart w:id="2012" w:name="_Toc450645426"/>
      <w:bookmarkStart w:id="2013" w:name="_Toc453942665"/>
      <w:bookmarkStart w:id="2014" w:name="_Toc454888282"/>
      <w:bookmarkStart w:id="2015" w:name="_Toc486241903"/>
      <w:bookmarkEnd w:id="2010"/>
      <w:r>
        <w:t>Annexe 2.2.4.B. (2)</w:t>
      </w:r>
      <w:bookmarkEnd w:id="2011"/>
      <w:bookmarkEnd w:id="2012"/>
      <w:bookmarkEnd w:id="2013"/>
      <w:bookmarkEnd w:id="2014"/>
      <w:bookmarkEnd w:id="2015"/>
    </w:p>
    <w:p>
      <w:pPr>
        <w:pStyle w:val="Corpsdetexte"/>
        <w:jc w:val="left"/>
        <w:rPr>
          <w:i/>
          <w:sz w:val="20"/>
        </w:rPr>
      </w:pPr>
    </w:p>
    <w:p>
      <w:pPr>
        <w:pStyle w:val="NormalWeb"/>
        <w:spacing w:before="0"/>
        <w:jc w:val="center"/>
        <w:rPr>
          <w:rFonts w:ascii="Arial" w:hAnsi="Arial" w:cs="Arial"/>
          <w:b/>
          <w:bCs/>
          <w:color w:val="auto"/>
          <w:sz w:val="20"/>
          <w:szCs w:val="20"/>
          <w:u w:val="single"/>
        </w:rPr>
      </w:pPr>
    </w:p>
    <w:p>
      <w:pPr>
        <w:pStyle w:val="Corpsdetexte"/>
        <w:jc w:val="center"/>
        <w:rPr>
          <w:b/>
          <w:sz w:val="24"/>
          <w:u w:val="single"/>
        </w:rPr>
      </w:pPr>
      <w:r>
        <w:rPr>
          <w:b/>
          <w:sz w:val="24"/>
          <w:u w:val="single"/>
        </w:rPr>
        <w:t xml:space="preserve">Enseignement organisé par </w:t>
      </w:r>
      <w:smartTag w:uri="urn:schemas-microsoft-com:office:smarttags" w:element="PersonName">
        <w:smartTagPr>
          <w:attr w:name="ProductID" w:val="la F￩d￩ration Wallonie-Bruxelles"/>
        </w:smartTagPr>
        <w:r>
          <w:rPr>
            <w:b/>
            <w:sz w:val="24"/>
            <w:u w:val="single"/>
          </w:rPr>
          <w:t>la Fédération Wallonie-Bruxelles</w:t>
        </w:r>
      </w:smartTag>
    </w:p>
    <w:p>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trPr>
          <w:trHeight w:val="1441"/>
        </w:trPr>
        <w:tc>
          <w:tcPr>
            <w:tcW w:w="4546" w:type="dxa"/>
          </w:tcPr>
          <w:p>
            <w:pPr>
              <w:ind w:left="1080" w:hanging="1080"/>
              <w:rPr>
                <w:b/>
              </w:rPr>
            </w:pPr>
            <w:r>
              <w:rPr>
                <w:b/>
              </w:rPr>
              <w:t>Zone 1</w:t>
            </w:r>
            <w:r>
              <w:t xml:space="preserve">: </w:t>
            </w:r>
            <w:r>
              <w:tab/>
            </w:r>
            <w:r>
              <w:rPr>
                <w:b/>
              </w:rPr>
              <w:t>Bruxelles-Capitale</w:t>
            </w:r>
          </w:p>
          <w:p>
            <w:pPr>
              <w:ind w:left="1080" w:hanging="1080"/>
              <w:rPr>
                <w:sz w:val="8"/>
                <w:szCs w:val="8"/>
              </w:rPr>
            </w:pPr>
          </w:p>
          <w:p>
            <w:pPr>
              <w:ind w:left="1080" w:hanging="1080"/>
            </w:pPr>
            <w:r>
              <w:rPr>
                <w:b/>
              </w:rPr>
              <w:t xml:space="preserve">Zone 2: </w:t>
            </w:r>
            <w:r>
              <w:rPr>
                <w:b/>
              </w:rPr>
              <w:tab/>
              <w:t>Brabant Wallon</w:t>
            </w:r>
          </w:p>
          <w:p>
            <w:pPr>
              <w:ind w:left="1080" w:hanging="1080"/>
              <w:rPr>
                <w:b/>
              </w:rPr>
            </w:pPr>
          </w:p>
          <w:p>
            <w:pPr>
              <w:tabs>
                <w:tab w:val="left" w:pos="948"/>
              </w:tabs>
            </w:pPr>
          </w:p>
        </w:tc>
        <w:tc>
          <w:tcPr>
            <w:tcW w:w="4514" w:type="dxa"/>
          </w:tcPr>
          <w:p>
            <w:pPr>
              <w:rPr>
                <w:b/>
                <w:lang w:val="fr-BE"/>
              </w:rPr>
            </w:pPr>
            <w:r>
              <w:rPr>
                <w:b/>
                <w:lang w:val="fr-BE"/>
              </w:rPr>
              <w:t>VANDERHEIDEN Renelde</w:t>
            </w:r>
          </w:p>
          <w:p>
            <w:pPr>
              <w:rPr>
                <w:lang w:val="fr-BE"/>
              </w:rPr>
            </w:pPr>
            <w:r>
              <w:rPr>
                <w:lang w:val="fr-BE"/>
              </w:rPr>
              <w:t>SGEFWB</w:t>
            </w:r>
          </w:p>
          <w:p>
            <w:pPr>
              <w:rPr>
                <w:lang w:val="fr-BE"/>
              </w:rPr>
            </w:pPr>
            <w:r>
              <w:rPr>
                <w:lang w:val="fr-BE"/>
              </w:rPr>
              <w:t>Bld du Jardin botanique 20-22 (1G57)</w:t>
            </w:r>
          </w:p>
          <w:p>
            <w:pPr>
              <w:rPr>
                <w:lang w:val="fr-BE"/>
              </w:rPr>
            </w:pPr>
            <w:r>
              <w:rPr>
                <w:lang w:val="fr-BE"/>
              </w:rPr>
              <w:t>1000 Bruxelles</w:t>
            </w:r>
          </w:p>
          <w:p>
            <w:r>
              <w:rPr>
                <w:lang w:val="fr-BE"/>
              </w:rPr>
              <w:t>Tél. : 02/690.81.78 – Fax : 02/690.81.35</w:t>
            </w:r>
          </w:p>
        </w:tc>
      </w:tr>
      <w:tr>
        <w:trPr>
          <w:trHeight w:val="1391"/>
        </w:trPr>
        <w:tc>
          <w:tcPr>
            <w:tcW w:w="4546" w:type="dxa"/>
          </w:tcPr>
          <w:p>
            <w:pPr>
              <w:ind w:left="1080" w:hanging="1080"/>
              <w:rPr>
                <w:b/>
              </w:rPr>
            </w:pPr>
            <w:r>
              <w:rPr>
                <w:b/>
              </w:rPr>
              <w:t>Zone 3:</w:t>
            </w:r>
            <w:r>
              <w:rPr>
                <w:b/>
              </w:rPr>
              <w:tab/>
              <w:t>Huy-Waremme</w:t>
            </w:r>
          </w:p>
          <w:p>
            <w:pPr>
              <w:ind w:left="1080" w:hanging="1080"/>
              <w:rPr>
                <w:b/>
                <w:sz w:val="8"/>
                <w:szCs w:val="8"/>
              </w:rPr>
            </w:pPr>
          </w:p>
          <w:p>
            <w:pPr>
              <w:ind w:left="1080" w:hanging="1080"/>
              <w:rPr>
                <w:b/>
              </w:rPr>
            </w:pPr>
            <w:r>
              <w:rPr>
                <w:b/>
              </w:rPr>
              <w:t>Zone 6:</w:t>
            </w:r>
            <w:r>
              <w:rPr>
                <w:b/>
              </w:rPr>
              <w:tab/>
              <w:t>Namur</w:t>
            </w:r>
          </w:p>
        </w:tc>
        <w:tc>
          <w:tcPr>
            <w:tcW w:w="4514" w:type="dxa"/>
          </w:tcPr>
          <w:p>
            <w:pPr>
              <w:rPr>
                <w:b/>
                <w:lang w:val="fr-BE"/>
              </w:rPr>
            </w:pPr>
            <w:r>
              <w:rPr>
                <w:b/>
                <w:lang w:val="fr-BE"/>
              </w:rPr>
              <w:t>PERAZZO Gianni</w:t>
            </w:r>
          </w:p>
          <w:p>
            <w:pPr>
              <w:rPr>
                <w:lang w:val="fr-BE"/>
              </w:rPr>
            </w:pPr>
            <w:r>
              <w:rPr>
                <w:lang w:val="fr-BE"/>
              </w:rPr>
              <w:t>SGEFWB</w:t>
            </w:r>
          </w:p>
          <w:p>
            <w:pPr>
              <w:rPr>
                <w:lang w:val="fr-BE"/>
              </w:rPr>
            </w:pPr>
            <w:r>
              <w:rPr>
                <w:lang w:val="fr-BE"/>
              </w:rPr>
              <w:t>Bld du Jardin botanique 20-22 (1G13)</w:t>
            </w:r>
          </w:p>
          <w:p>
            <w:pPr>
              <w:rPr>
                <w:lang w:val="fr-BE"/>
              </w:rPr>
            </w:pPr>
            <w:r>
              <w:rPr>
                <w:lang w:val="fr-BE"/>
              </w:rPr>
              <w:t>1000 Bruxelles</w:t>
            </w:r>
          </w:p>
          <w:p>
            <w:pPr>
              <w:rPr>
                <w:b/>
              </w:rPr>
            </w:pPr>
            <w:r>
              <w:rPr>
                <w:lang w:val="fr-BE"/>
              </w:rPr>
              <w:t>Tél. : 02/690.82.88 – Fax : 02/690.81.35</w:t>
            </w:r>
          </w:p>
        </w:tc>
      </w:tr>
      <w:tr>
        <w:trPr>
          <w:trHeight w:val="1141"/>
        </w:trPr>
        <w:tc>
          <w:tcPr>
            <w:tcW w:w="4546" w:type="dxa"/>
          </w:tcPr>
          <w:p>
            <w:pPr>
              <w:ind w:left="1080" w:hanging="1080"/>
              <w:rPr>
                <w:b/>
              </w:rPr>
            </w:pPr>
            <w:r>
              <w:rPr>
                <w:b/>
              </w:rPr>
              <w:t>Zone 4:</w:t>
            </w:r>
            <w:r>
              <w:rPr>
                <w:b/>
              </w:rPr>
              <w:tab/>
              <w:t>Liège</w:t>
            </w:r>
          </w:p>
          <w:p>
            <w:pPr>
              <w:ind w:left="1080" w:hanging="1080"/>
              <w:rPr>
                <w:b/>
                <w:sz w:val="8"/>
                <w:szCs w:val="8"/>
              </w:rPr>
            </w:pPr>
          </w:p>
          <w:p>
            <w:pPr>
              <w:ind w:left="1080" w:hanging="1080"/>
              <w:rPr>
                <w:b/>
              </w:rPr>
            </w:pPr>
            <w:r>
              <w:rPr>
                <w:b/>
              </w:rPr>
              <w:t>Zone 5:</w:t>
            </w:r>
            <w:r>
              <w:rPr>
                <w:b/>
              </w:rPr>
              <w:tab/>
              <w:t xml:space="preserve">Verviers </w:t>
            </w:r>
          </w:p>
          <w:p>
            <w:pPr>
              <w:ind w:left="1080" w:hanging="1080"/>
              <w:rPr>
                <w:b/>
                <w:sz w:val="8"/>
                <w:szCs w:val="8"/>
              </w:rPr>
            </w:pPr>
          </w:p>
          <w:p>
            <w:pPr>
              <w:ind w:left="1080" w:hanging="1080"/>
              <w:rPr>
                <w:b/>
              </w:rPr>
            </w:pPr>
            <w:r>
              <w:rPr>
                <w:b/>
              </w:rPr>
              <w:t>Zone 7:</w:t>
            </w:r>
            <w:r>
              <w:rPr>
                <w:b/>
              </w:rPr>
              <w:tab/>
              <w:t>Luxembourg</w:t>
            </w:r>
          </w:p>
        </w:tc>
        <w:tc>
          <w:tcPr>
            <w:tcW w:w="4514" w:type="dxa"/>
          </w:tcPr>
          <w:p>
            <w:pPr>
              <w:rPr>
                <w:b/>
                <w:lang w:val="en-GB"/>
              </w:rPr>
            </w:pPr>
            <w:r>
              <w:rPr>
                <w:b/>
                <w:lang w:val="en-GB"/>
              </w:rPr>
              <w:t>SLOTA Isabelle</w:t>
            </w:r>
          </w:p>
          <w:p>
            <w:pPr>
              <w:rPr>
                <w:lang w:val="en-GB"/>
              </w:rPr>
            </w:pPr>
            <w:r>
              <w:rPr>
                <w:lang w:val="en-GB"/>
              </w:rPr>
              <w:t>Rue Henri Fays, 37</w:t>
            </w:r>
          </w:p>
          <w:p>
            <w:pPr>
              <w:rPr>
                <w:lang w:val="en-GB"/>
              </w:rPr>
            </w:pPr>
            <w:r>
              <w:rPr>
                <w:lang w:val="en-GB"/>
              </w:rPr>
              <w:t>4130 Anthisnes</w:t>
            </w:r>
          </w:p>
          <w:p>
            <w:r>
              <w:rPr>
                <w:lang w:val="en-GB"/>
              </w:rPr>
              <w:t>Tél. : 0473/59.22.95 – Fax: /</w:t>
            </w:r>
          </w:p>
        </w:tc>
      </w:tr>
      <w:tr>
        <w:trPr>
          <w:trHeight w:val="1540"/>
        </w:trPr>
        <w:tc>
          <w:tcPr>
            <w:tcW w:w="4546" w:type="dxa"/>
          </w:tcPr>
          <w:p>
            <w:pPr>
              <w:ind w:left="1080" w:hanging="1080"/>
              <w:rPr>
                <w:b/>
              </w:rPr>
            </w:pPr>
            <w:r>
              <w:rPr>
                <w:b/>
              </w:rPr>
              <w:t>Zone 8:</w:t>
            </w:r>
            <w:r>
              <w:rPr>
                <w:b/>
              </w:rPr>
              <w:tab/>
              <w:t>Hainaut occidental</w:t>
            </w:r>
          </w:p>
          <w:p>
            <w:pPr>
              <w:ind w:left="1080" w:hanging="1080"/>
              <w:rPr>
                <w:b/>
                <w:sz w:val="8"/>
                <w:szCs w:val="8"/>
              </w:rPr>
            </w:pPr>
          </w:p>
          <w:p>
            <w:pPr>
              <w:ind w:left="1080" w:hanging="1080"/>
              <w:rPr>
                <w:b/>
              </w:rPr>
            </w:pPr>
            <w:r>
              <w:rPr>
                <w:b/>
              </w:rPr>
              <w:t>Zone 9:</w:t>
            </w:r>
            <w:r>
              <w:rPr>
                <w:b/>
              </w:rPr>
              <w:tab/>
              <w:t>Mons – Centre</w:t>
            </w:r>
          </w:p>
          <w:p>
            <w:pPr>
              <w:ind w:left="1080" w:hanging="1080"/>
              <w:rPr>
                <w:b/>
                <w:sz w:val="8"/>
                <w:szCs w:val="8"/>
              </w:rPr>
            </w:pPr>
          </w:p>
          <w:p>
            <w:pPr>
              <w:ind w:left="1080" w:hanging="1080"/>
              <w:rPr>
                <w:b/>
              </w:rPr>
            </w:pPr>
            <w:r>
              <w:rPr>
                <w:b/>
              </w:rPr>
              <w:t>Zone 10:</w:t>
            </w:r>
            <w:r>
              <w:rPr>
                <w:b/>
              </w:rPr>
              <w:tab/>
              <w:t>Charleroi – Hainaut Sud</w:t>
            </w:r>
          </w:p>
        </w:tc>
        <w:tc>
          <w:tcPr>
            <w:tcW w:w="4514" w:type="dxa"/>
          </w:tcPr>
          <w:p>
            <w:pPr>
              <w:rPr>
                <w:b/>
                <w:lang w:val="fr-BE"/>
              </w:rPr>
            </w:pPr>
            <w:r>
              <w:rPr>
                <w:b/>
                <w:lang w:val="fr-BE"/>
              </w:rPr>
              <w:t>DEBAISIEUX Frédéric</w:t>
            </w:r>
          </w:p>
          <w:p>
            <w:pPr>
              <w:rPr>
                <w:lang w:val="fr-BE"/>
              </w:rPr>
            </w:pPr>
            <w:r>
              <w:rPr>
                <w:lang w:val="fr-BE"/>
              </w:rPr>
              <w:t>I.A.C.F. Walter Ravez</w:t>
            </w:r>
          </w:p>
          <w:p>
            <w:pPr>
              <w:rPr>
                <w:lang w:val="fr-BE"/>
              </w:rPr>
            </w:pPr>
            <w:r>
              <w:rPr>
                <w:lang w:val="fr-BE"/>
              </w:rPr>
              <w:t>Quai Vifquin 22-25</w:t>
            </w:r>
          </w:p>
          <w:p>
            <w:pPr>
              <w:rPr>
                <w:lang w:val="fr-BE"/>
              </w:rPr>
            </w:pPr>
            <w:r>
              <w:rPr>
                <w:lang w:val="fr-BE"/>
              </w:rPr>
              <w:t>7500 Tournai</w:t>
            </w:r>
          </w:p>
          <w:p>
            <w:pPr>
              <w:rPr>
                <w:lang w:val="fr-BE"/>
              </w:rPr>
            </w:pPr>
            <w:r>
              <w:rPr>
                <w:lang w:val="fr-BE"/>
              </w:rPr>
              <w:t xml:space="preserve">Tél. : 0468/42.85.36 </w:t>
            </w:r>
            <w:r>
              <w:rPr>
                <w:lang w:val="en-GB"/>
              </w:rPr>
              <w:t>– Fax: /</w:t>
            </w:r>
          </w:p>
          <w:p>
            <w:pPr>
              <w:rPr>
                <w:b/>
                <w:lang w:val="en-GB"/>
              </w:rPr>
            </w:pPr>
          </w:p>
        </w:tc>
      </w:tr>
    </w:tbl>
    <w:p/>
    <w:p/>
    <w:p>
      <w:pPr>
        <w:pStyle w:val="annexe"/>
      </w:pPr>
      <w:r>
        <w:br w:type="page"/>
      </w:r>
      <w:bookmarkStart w:id="2016" w:name="Annexe_224C"/>
      <w:bookmarkStart w:id="2017" w:name="_Toc272404492"/>
      <w:bookmarkStart w:id="2018" w:name="_Toc295913861"/>
      <w:bookmarkStart w:id="2019" w:name="_Toc423420178"/>
      <w:bookmarkStart w:id="2020" w:name="_Toc450645427"/>
      <w:bookmarkStart w:id="2021" w:name="_Toc453942666"/>
      <w:bookmarkStart w:id="2022" w:name="_Toc454888283"/>
      <w:bookmarkStart w:id="2023" w:name="_Toc486241904"/>
      <w:bookmarkEnd w:id="2016"/>
      <w:r>
        <w:t>Annexe 2.2.4.C. Attestation de demande d’inscription dans l’enseignement maternel</w:t>
      </w:r>
      <w:bookmarkEnd w:id="2017"/>
      <w:bookmarkEnd w:id="2018"/>
      <w:bookmarkEnd w:id="2019"/>
      <w:bookmarkEnd w:id="2020"/>
      <w:bookmarkEnd w:id="2021"/>
      <w:bookmarkEnd w:id="2022"/>
      <w:bookmarkEnd w:id="2023"/>
    </w:p>
    <w:p>
      <w:pPr>
        <w:pStyle w:val="Corpsdetexte"/>
        <w:jc w:val="center"/>
        <w:rPr>
          <w:b/>
          <w:sz w:val="28"/>
        </w:rPr>
      </w:pPr>
    </w:p>
    <w:p>
      <w:pPr>
        <w:pStyle w:val="Corpsdetexte"/>
        <w:jc w:val="center"/>
        <w:rPr>
          <w:b/>
          <w:sz w:val="24"/>
          <w:u w:val="single"/>
        </w:rPr>
      </w:pPr>
      <w:r>
        <w:rPr>
          <w:b/>
          <w:sz w:val="24"/>
          <w:u w:val="single"/>
        </w:rPr>
        <w:t xml:space="preserve">Enseignement subventionné par </w:t>
      </w:r>
      <w:smartTag w:uri="urn:schemas-microsoft-com:office:smarttags" w:element="PersonName">
        <w:smartTagPr>
          <w:attr w:name="ProductID" w:val="la F￩d￩ration Wallonie-Bruxelles"/>
        </w:smartTagPr>
        <w:r>
          <w:rPr>
            <w:b/>
            <w:sz w:val="24"/>
            <w:u w:val="single"/>
          </w:rPr>
          <w:t>la Fédération Wallonie-Bruxelles</w:t>
        </w:r>
      </w:smartTag>
    </w:p>
    <w:p>
      <w:pPr>
        <w:jc w:val="center"/>
        <w:rPr>
          <w:i/>
          <w:sz w:val="16"/>
          <w:szCs w:val="16"/>
        </w:rPr>
      </w:pPr>
    </w:p>
    <w:p>
      <w:pPr>
        <w:jc w:val="center"/>
        <w:rPr>
          <w:i/>
        </w:rPr>
      </w:pPr>
      <w:r>
        <w:rPr>
          <w:i/>
        </w:rPr>
        <w:t>(Application de l’article 88 du Décret-Missions du 24 juillet 1997)</w:t>
      </w:r>
    </w:p>
    <w:p>
      <w:pPr>
        <w:pStyle w:val="Corpsdetexte"/>
        <w:jc w:val="left"/>
      </w:pPr>
    </w:p>
    <w:p>
      <w:pPr>
        <w:pStyle w:val="Corpsdetexte"/>
        <w:jc w:val="left"/>
      </w:pPr>
    </w:p>
    <w:p>
      <w:pPr>
        <w:pStyle w:val="Corpsdetexte"/>
        <w:jc w:val="left"/>
      </w:pPr>
      <w:r>
        <w:t>Cachet de l’établissement et mention de son adresse:</w:t>
      </w:r>
    </w:p>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Style w:val="Corpsdetexte"/>
        <w:spacing w:after="120"/>
        <w:jc w:val="left"/>
      </w:pPr>
      <w:r>
        <w:t>Pouvoir organisateur: ………………………………………………………………………………………….</w:t>
      </w:r>
    </w:p>
    <w:p>
      <w:pPr>
        <w:pStyle w:val="Corpsdetexte"/>
        <w:spacing w:before="120"/>
        <w:jc w:val="left"/>
      </w:pPr>
      <w:r>
        <w:t>Je soussigné(e) (Nom et Titre): ….………………………….…………, agissant au nom du P.O.,</w:t>
      </w:r>
    </w:p>
    <w:p>
      <w:pPr>
        <w:pStyle w:val="Corpsdetexte"/>
        <w:spacing w:before="120"/>
        <w:jc w:val="left"/>
      </w:pPr>
      <w:r>
        <w:t>atteste que Madame / Monsieur ……………………………………………………………………………….</w:t>
      </w:r>
    </w:p>
    <w:p>
      <w:pPr>
        <w:pStyle w:val="Corpsdetexte"/>
        <w:spacing w:before="120"/>
        <w:jc w:val="left"/>
      </w:pPr>
      <w:r>
        <w:t>s’est présenté(e) / ce ……….……… 20……  à l’établissement …………………………………………….</w:t>
      </w:r>
    </w:p>
    <w:p>
      <w:pPr>
        <w:pStyle w:val="Corpsdetexte"/>
        <w:spacing w:before="120"/>
        <w:jc w:val="left"/>
      </w:pPr>
      <w:r>
        <w:t xml:space="preserve">en vue de l’inscription de: ……………………………………………………………, </w:t>
      </w:r>
    </w:p>
    <w:p>
      <w:pPr>
        <w:pStyle w:val="Corpsdetexte"/>
        <w:spacing w:before="120"/>
        <w:jc w:val="left"/>
      </w:pPr>
      <w:r>
        <w:t>né le ……………………………</w:t>
      </w:r>
    </w:p>
    <w:p>
      <w:pPr>
        <w:pStyle w:val="Corpsdetexte"/>
        <w:jc w:val="left"/>
      </w:pPr>
    </w:p>
    <w:p>
      <w:pPr>
        <w:pStyle w:val="Corpsdetexte"/>
        <w:jc w:val="left"/>
      </w:pPr>
      <w:r>
        <w:t>Cette inscription était sollicitée dans:</w:t>
      </w:r>
    </w:p>
    <w:p>
      <w:pPr>
        <w:pStyle w:val="Corpsdetexte"/>
        <w:jc w:val="left"/>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trPr>
          <w:cantSplit/>
          <w:trHeight w:val="397"/>
        </w:trPr>
        <w:tc>
          <w:tcPr>
            <w:tcW w:w="2651" w:type="dxa"/>
            <w:vMerge w:val="restart"/>
            <w:vAlign w:val="center"/>
          </w:tcPr>
          <w:p>
            <w:pPr>
              <w:pStyle w:val="Corpsdetexte"/>
              <w:jc w:val="center"/>
              <w:rPr>
                <w:b/>
                <w:bCs/>
              </w:rPr>
            </w:pPr>
            <w:r>
              <w:rPr>
                <w:b/>
                <w:bCs/>
              </w:rPr>
              <w:t>Enseignement maternel</w:t>
            </w:r>
          </w:p>
        </w:tc>
        <w:tc>
          <w:tcPr>
            <w:tcW w:w="2209" w:type="dxa"/>
            <w:vAlign w:val="center"/>
          </w:tcPr>
          <w:p>
            <w:pPr>
              <w:pStyle w:val="Corpsdetexte"/>
              <w:jc w:val="center"/>
            </w:pPr>
            <w:r>
              <w:t>Année d'études:</w:t>
            </w:r>
          </w:p>
        </w:tc>
      </w:tr>
      <w:tr>
        <w:trPr>
          <w:cantSplit/>
          <w:trHeight w:val="397"/>
        </w:trPr>
        <w:tc>
          <w:tcPr>
            <w:tcW w:w="2651" w:type="dxa"/>
            <w:vMerge/>
            <w:vAlign w:val="center"/>
          </w:tcPr>
          <w:p>
            <w:pPr>
              <w:pStyle w:val="Corpsdetexte"/>
              <w:jc w:val="center"/>
            </w:pPr>
          </w:p>
        </w:tc>
        <w:tc>
          <w:tcPr>
            <w:tcW w:w="2209" w:type="dxa"/>
            <w:vAlign w:val="center"/>
          </w:tcPr>
          <w:p>
            <w:pPr>
              <w:pStyle w:val="Corpsdetexte"/>
              <w:jc w:val="center"/>
            </w:pPr>
          </w:p>
        </w:tc>
      </w:tr>
    </w:tbl>
    <w:p>
      <w:pPr>
        <w:pStyle w:val="Corpsdetexte"/>
        <w:jc w:val="left"/>
      </w:pPr>
    </w:p>
    <w:p>
      <w:pPr>
        <w:pStyle w:val="Corpsdetexte"/>
        <w:jc w:val="left"/>
      </w:pPr>
    </w:p>
    <w:p>
      <w:pPr>
        <w:pStyle w:val="Corpsdetexte"/>
        <w:jc w:val="left"/>
      </w:pPr>
      <w:r>
        <w:t>L’inscription n’a pas été prise pour la raison suivante:</w:t>
      </w:r>
    </w:p>
    <w:p>
      <w:pPr>
        <w:pStyle w:val="Corpsdetexte"/>
      </w:pPr>
    </w:p>
    <w:p>
      <w:pPr>
        <w:pStyle w:val="Corpsdetexte"/>
        <w:numPr>
          <w:ilvl w:val="0"/>
          <w:numId w:val="48"/>
        </w:numPr>
        <w:spacing w:before="60"/>
        <w:ind w:left="357" w:hanging="357"/>
      </w:pPr>
      <w:r>
        <w:t>L’élève ne remplit pas la condition d’âge requise pour être régulièrement inscrit(e)</w:t>
      </w:r>
    </w:p>
    <w:p>
      <w:pPr>
        <w:pStyle w:val="Corpsdetexte"/>
        <w:numPr>
          <w:ilvl w:val="0"/>
          <w:numId w:val="48"/>
        </w:numPr>
        <w:spacing w:before="60"/>
        <w:ind w:left="357" w:hanging="357"/>
      </w:pPr>
      <w:r>
        <w:t>Le nombre maximal d’élèves, limité en raison de l’insuffisance des locaux disponibles, est atteint:</w:t>
      </w:r>
      <w:r>
        <w:br/>
      </w:r>
      <w:r>
        <w:rPr>
          <w:i/>
          <w:u w:val="single"/>
        </w:rPr>
        <w:t xml:space="preserve">déclaration faite à </w:t>
      </w:r>
      <w:smartTag w:uri="urn:schemas-microsoft-com:office:smarttags" w:element="PersonName">
        <w:smartTagPr>
          <w:attr w:name="ProductID" w:val="la Direction"/>
        </w:smartTagPr>
        <w:r>
          <w:rPr>
            <w:i/>
            <w:u w:val="single"/>
          </w:rPr>
          <w:t>la Direction</w:t>
        </w:r>
      </w:smartTag>
      <w:r>
        <w:rPr>
          <w:i/>
          <w:u w:val="single"/>
        </w:rPr>
        <w:t xml:space="preserve"> générale de l’Enseignement obligatoire le</w:t>
      </w:r>
      <w:r>
        <w:rPr>
          <w:i/>
        </w:rPr>
        <w:t xml:space="preserve"> </w:t>
      </w:r>
      <w:r>
        <w:t xml:space="preserve"> …… ……….……….</w:t>
      </w:r>
    </w:p>
    <w:p>
      <w:pPr>
        <w:pStyle w:val="Corpsdetexte"/>
        <w:numPr>
          <w:ilvl w:val="0"/>
          <w:numId w:val="48"/>
        </w:numPr>
        <w:spacing w:before="60"/>
        <w:ind w:left="357" w:hanging="357"/>
      </w:pPr>
      <w:r>
        <w:t>Les parents / la personne investie de l’autorité parentale n’accepte(nt) pas de souscrire aux projets éducatif et pédagogique, au règlement des études et au règlement d’ordre intérieur.</w:t>
      </w:r>
    </w:p>
    <w:p>
      <w:pPr>
        <w:pStyle w:val="Corpsdetexte"/>
      </w:pPr>
    </w:p>
    <w:p>
      <w:pPr>
        <w:pStyle w:val="Corpsdetexte"/>
      </w:pPr>
      <w:r>
        <w:t>Cette attestation mentionne en annexe l’adresse des services où la personne investie de l’autorité parentale peut obtenir une assistance en vue d’une inscription dans un autre établissement.</w:t>
      </w:r>
    </w:p>
    <w:p>
      <w:pPr>
        <w:pStyle w:val="Corpsdetexte"/>
        <w:jc w:val="left"/>
      </w:pPr>
    </w:p>
    <w:p>
      <w:pPr>
        <w:pStyle w:val="Corpsdetexte"/>
        <w:jc w:val="left"/>
      </w:pPr>
    </w:p>
    <w:p>
      <w:pPr>
        <w:pStyle w:val="Corpsdetexte"/>
        <w:jc w:val="left"/>
      </w:pPr>
    </w:p>
    <w:p>
      <w:pPr>
        <w:pStyle w:val="Corpsdetexte"/>
        <w:jc w:val="left"/>
      </w:pPr>
      <w:r>
        <w:t>Date et signature du chef d’établissement</w:t>
      </w:r>
      <w:r>
        <w:tab/>
      </w:r>
      <w:r>
        <w:tab/>
      </w:r>
      <w:r>
        <w:tab/>
      </w:r>
      <w:r>
        <w:tab/>
        <w:t xml:space="preserve">        Pour réception</w:t>
      </w:r>
    </w:p>
    <w:p>
      <w:pPr>
        <w:pStyle w:val="Corpsdetexte"/>
        <w:jc w:val="left"/>
      </w:pPr>
    </w:p>
    <w:p>
      <w:pPr>
        <w:pStyle w:val="Corpsdetexte"/>
        <w:jc w:val="left"/>
      </w:pPr>
    </w:p>
    <w:p>
      <w:pPr>
        <w:pStyle w:val="Corpsdetexte"/>
        <w:jc w:val="left"/>
      </w:pPr>
    </w:p>
    <w:p>
      <w:pPr>
        <w:pStyle w:val="Corpsdetexte"/>
        <w:jc w:val="left"/>
      </w:pPr>
      <w:r>
        <w:t>……………………………………………..</w:t>
      </w:r>
      <w:r>
        <w:tab/>
      </w:r>
      <w:r>
        <w:tab/>
      </w:r>
      <w:r>
        <w:tab/>
      </w:r>
      <w:r>
        <w:tab/>
        <w:t>……………………………</w:t>
      </w:r>
    </w:p>
    <w:p>
      <w:pPr>
        <w:pStyle w:val="Corpsdetexte"/>
        <w:jc w:val="left"/>
      </w:pPr>
    </w:p>
    <w:p>
      <w:pPr>
        <w:pStyle w:val="Corpsdetexte"/>
        <w:jc w:val="left"/>
      </w:pPr>
    </w:p>
    <w:p>
      <w:pPr>
        <w:pStyle w:val="Corpsdetexte"/>
        <w:rPr>
          <w:i/>
          <w:sz w:val="20"/>
        </w:rPr>
      </w:pPr>
      <w:r>
        <w:rPr>
          <w:i/>
          <w:sz w:val="20"/>
        </w:rPr>
        <w:t xml:space="preserve">Ce document est à délivrer au(x) parent(s) </w:t>
      </w:r>
      <w:r>
        <w:rPr>
          <w:i/>
          <w:sz w:val="20"/>
          <w:u w:val="single"/>
        </w:rPr>
        <w:t>et</w:t>
      </w:r>
      <w:r>
        <w:rPr>
          <w:i/>
          <w:sz w:val="20"/>
        </w:rPr>
        <w:t xml:space="preserve"> une copie doit être envoyée à l'organe de représentation et de coordination ou à la commission décentralisée.  Dans le cas où le P.O. n'a pas adhéré à un organe de représentation et de coordination, la copie doit être transmise à </w:t>
      </w:r>
      <w:smartTag w:uri="urn:schemas-microsoft-com:office:smarttags" w:element="PersonName">
        <w:smartTagPr>
          <w:attr w:name="ProductID" w:val="la D.G"/>
        </w:smartTagPr>
        <w:r>
          <w:rPr>
            <w:i/>
            <w:sz w:val="20"/>
          </w:rPr>
          <w:t>la D.G</w:t>
        </w:r>
      </w:smartTag>
      <w:r>
        <w:rPr>
          <w:i/>
          <w:sz w:val="20"/>
        </w:rPr>
        <w:t>.E.O., Rue A. Lavallée, 1 – 3ième étage) à 1080 Bruxelles (Service des inscriptions et de l’assistance aux établissements scolaires).</w:t>
      </w:r>
    </w:p>
    <w:p>
      <w:pPr>
        <w:pStyle w:val="annexe"/>
        <w:rPr>
          <w:bCs/>
          <w:iCs/>
          <w:u w:val="single"/>
        </w:rPr>
      </w:pPr>
      <w:r>
        <w:br w:type="page"/>
      </w:r>
      <w:bookmarkStart w:id="2024" w:name="Annexe_224C_2"/>
      <w:bookmarkStart w:id="2025" w:name="_Toc423420179"/>
      <w:bookmarkStart w:id="2026" w:name="_Toc450645428"/>
      <w:bookmarkStart w:id="2027" w:name="_Toc453942667"/>
      <w:bookmarkStart w:id="2028" w:name="_Toc454888284"/>
      <w:bookmarkStart w:id="2029" w:name="_Toc486241905"/>
      <w:bookmarkEnd w:id="2024"/>
      <w:r>
        <w:t>Annexe 2.2.4.C. (2)</w:t>
      </w:r>
      <w:bookmarkEnd w:id="2025"/>
      <w:bookmarkEnd w:id="2026"/>
      <w:bookmarkEnd w:id="2027"/>
      <w:bookmarkEnd w:id="2028"/>
      <w:bookmarkEnd w:id="2029"/>
    </w:p>
    <w:p>
      <w:pPr>
        <w:pStyle w:val="NormalWeb"/>
        <w:spacing w:before="0"/>
        <w:rPr>
          <w:rFonts w:ascii="Arial" w:hAnsi="Arial" w:cs="Arial"/>
          <w:color w:val="auto"/>
          <w:sz w:val="8"/>
          <w:szCs w:val="8"/>
        </w:rPr>
      </w:pPr>
    </w:p>
    <w:p>
      <w:pPr>
        <w:pStyle w:val="NormalWeb"/>
        <w:spacing w:before="0"/>
        <w:jc w:val="center"/>
        <w:rPr>
          <w:rFonts w:ascii="Arial" w:hAnsi="Arial" w:cs="Arial"/>
          <w:b/>
          <w:bCs/>
          <w:color w:val="auto"/>
          <w:szCs w:val="24"/>
          <w:u w:val="single"/>
        </w:rPr>
      </w:pPr>
      <w:r>
        <w:rPr>
          <w:rFonts w:ascii="Arial" w:hAnsi="Arial" w:cs="Arial"/>
          <w:b/>
          <w:bCs/>
          <w:color w:val="auto"/>
          <w:szCs w:val="24"/>
          <w:u w:val="single"/>
        </w:rPr>
        <w:t>Enseignement officiel subventionné</w:t>
      </w:r>
    </w:p>
    <w:p>
      <w:pPr>
        <w:pStyle w:val="NormalWeb"/>
        <w:spacing w:before="0"/>
        <w:rPr>
          <w:rFonts w:ascii="Arial" w:hAnsi="Arial" w:cs="Arial"/>
          <w:color w:val="auto"/>
          <w:sz w:val="8"/>
          <w:szCs w:val="8"/>
        </w:rPr>
      </w:pPr>
    </w:p>
    <w:p>
      <w:pPr>
        <w:pStyle w:val="NormalWeb"/>
        <w:spacing w:before="0"/>
        <w:rPr>
          <w:rFonts w:ascii="Arial" w:hAnsi="Arial" w:cs="Arial"/>
          <w:b/>
          <w:bCs/>
          <w:color w:val="auto"/>
          <w:sz w:val="20"/>
          <w:szCs w:val="20"/>
          <w:u w:val="single"/>
        </w:rPr>
      </w:pPr>
      <w:r>
        <w:rPr>
          <w:rFonts w:ascii="Arial" w:hAnsi="Arial" w:cs="Arial"/>
          <w:b/>
          <w:bCs/>
          <w:color w:val="auto"/>
          <w:sz w:val="20"/>
          <w:szCs w:val="20"/>
          <w:u w:val="single"/>
        </w:rPr>
        <w:t>Conseil de l'Enseignement des Communes et des Provinces</w:t>
      </w:r>
    </w:p>
    <w:p>
      <w:pPr>
        <w:pStyle w:val="NormalWeb"/>
        <w:spacing w:before="0"/>
        <w:rPr>
          <w:rFonts w:ascii="Arial" w:hAnsi="Arial" w:cs="Arial"/>
          <w:color w:val="auto"/>
          <w:sz w:val="20"/>
          <w:szCs w:val="20"/>
        </w:rPr>
      </w:pPr>
      <w:r>
        <w:rPr>
          <w:rFonts w:ascii="Arial" w:hAnsi="Arial" w:cs="Arial"/>
          <w:color w:val="auto"/>
          <w:sz w:val="20"/>
          <w:szCs w:val="20"/>
        </w:rPr>
        <w:t>Av.des Gaulois,32</w:t>
      </w:r>
    </w:p>
    <w:p>
      <w:pPr>
        <w:pStyle w:val="NormalWeb"/>
        <w:spacing w:before="0"/>
        <w:rPr>
          <w:rFonts w:ascii="Arial" w:hAnsi="Arial" w:cs="Arial"/>
          <w:color w:val="auto"/>
          <w:sz w:val="20"/>
          <w:szCs w:val="20"/>
        </w:rPr>
      </w:pPr>
      <w:r>
        <w:rPr>
          <w:rFonts w:ascii="Arial" w:hAnsi="Arial" w:cs="Arial"/>
          <w:color w:val="auto"/>
          <w:sz w:val="20"/>
          <w:szCs w:val="20"/>
        </w:rPr>
        <w:t>1040 BRUXELLES</w:t>
      </w:r>
    </w:p>
    <w:p>
      <w:pPr>
        <w:pStyle w:val="NormalWeb"/>
        <w:spacing w:before="0"/>
        <w:rPr>
          <w:rFonts w:ascii="Arial" w:hAnsi="Arial" w:cs="Arial"/>
          <w:color w:val="auto"/>
          <w:sz w:val="20"/>
          <w:szCs w:val="20"/>
        </w:rPr>
      </w:pPr>
      <w:r>
        <w:rPr>
          <w:rFonts w:ascii="Arial" w:hAnsi="Arial" w:cs="Arial"/>
          <w:color w:val="auto"/>
          <w:sz w:val="20"/>
          <w:szCs w:val="20"/>
        </w:rPr>
        <w:t>Tél.: 02/736.89.74 - Fax: 02/734.69.71</w:t>
      </w:r>
    </w:p>
    <w:p>
      <w:pPr>
        <w:pStyle w:val="NormalWeb"/>
        <w:spacing w:before="0"/>
        <w:rPr>
          <w:rFonts w:ascii="Arial" w:hAnsi="Arial" w:cs="Arial"/>
          <w:bCs/>
          <w:color w:val="auto"/>
          <w:sz w:val="16"/>
          <w:szCs w:val="16"/>
        </w:rPr>
      </w:pPr>
    </w:p>
    <w:p>
      <w:pPr>
        <w:pStyle w:val="NormalWeb"/>
        <w:spacing w:before="0"/>
        <w:jc w:val="center"/>
        <w:rPr>
          <w:rFonts w:ascii="Arial" w:hAnsi="Arial" w:cs="Arial"/>
          <w:b/>
          <w:bCs/>
          <w:color w:val="auto"/>
          <w:szCs w:val="24"/>
          <w:u w:val="single"/>
        </w:rPr>
      </w:pPr>
      <w:r>
        <w:rPr>
          <w:rFonts w:ascii="Arial" w:hAnsi="Arial" w:cs="Arial"/>
          <w:b/>
          <w:bCs/>
          <w:color w:val="auto"/>
          <w:szCs w:val="24"/>
          <w:u w:val="single"/>
        </w:rPr>
        <w:t>Enseignement libre subventionné catholique</w:t>
      </w:r>
    </w:p>
    <w:p>
      <w:pPr>
        <w:pStyle w:val="NormalWeb"/>
        <w:spacing w:before="0"/>
        <w:jc w:val="center"/>
        <w:rPr>
          <w:rFonts w:ascii="Arial" w:hAnsi="Arial" w:cs="Arial"/>
          <w:b/>
          <w:bCs/>
          <w:color w:val="auto"/>
          <w:sz w:val="16"/>
          <w:szCs w:val="16"/>
          <w:u w:val="single"/>
        </w:rPr>
      </w:pPr>
    </w:p>
    <w:tbl>
      <w:tblPr>
        <w:tblW w:w="0" w:type="auto"/>
        <w:tblCellMar>
          <w:left w:w="70" w:type="dxa"/>
          <w:right w:w="70" w:type="dxa"/>
        </w:tblCellMar>
        <w:tblLook w:val="0000" w:firstRow="0" w:lastRow="0" w:firstColumn="0" w:lastColumn="0" w:noHBand="0" w:noVBand="0"/>
      </w:tblPr>
      <w:tblGrid>
        <w:gridCol w:w="4722"/>
        <w:gridCol w:w="4490"/>
      </w:tblGrid>
      <w:tr>
        <w:tc>
          <w:tcPr>
            <w:tcW w:w="4722" w:type="dxa"/>
          </w:tcPr>
          <w:p>
            <w:pPr>
              <w:rPr>
                <w:rFonts w:cs="Arial"/>
                <w:b/>
                <w:bCs/>
                <w:sz w:val="20"/>
                <w:szCs w:val="20"/>
                <w:u w:val="single"/>
              </w:rPr>
            </w:pPr>
            <w:r>
              <w:rPr>
                <w:rFonts w:cs="Arial"/>
                <w:b/>
                <w:bCs/>
                <w:sz w:val="20"/>
                <w:szCs w:val="20"/>
                <w:u w:val="single"/>
              </w:rPr>
              <w:t>Bruxelles et Brabant Wallon</w:t>
            </w:r>
          </w:p>
          <w:p>
            <w:pPr>
              <w:rPr>
                <w:rFonts w:cs="Arial"/>
                <w:sz w:val="20"/>
                <w:szCs w:val="20"/>
              </w:rPr>
            </w:pPr>
            <w:r>
              <w:rPr>
                <w:rFonts w:cs="Arial"/>
                <w:sz w:val="20"/>
                <w:szCs w:val="20"/>
              </w:rPr>
              <w:t>M. Alain DEHAENE</w:t>
            </w:r>
          </w:p>
          <w:p>
            <w:pPr>
              <w:rPr>
                <w:rFonts w:cs="Arial"/>
                <w:sz w:val="20"/>
                <w:szCs w:val="20"/>
              </w:rPr>
            </w:pPr>
            <w:r>
              <w:rPr>
                <w:rFonts w:cs="Arial"/>
                <w:sz w:val="20"/>
                <w:szCs w:val="20"/>
              </w:rPr>
              <w:t>Avenue de l'Eglise Saint Julien, 15</w:t>
            </w:r>
          </w:p>
          <w:p>
            <w:pPr>
              <w:rPr>
                <w:rFonts w:cs="Arial"/>
                <w:sz w:val="20"/>
                <w:szCs w:val="20"/>
              </w:rPr>
            </w:pPr>
            <w:r>
              <w:rPr>
                <w:rFonts w:cs="Arial"/>
                <w:sz w:val="20"/>
                <w:szCs w:val="20"/>
              </w:rPr>
              <w:t>1160 AUDERGHEM</w:t>
            </w:r>
          </w:p>
          <w:p>
            <w:pPr>
              <w:rPr>
                <w:rFonts w:cs="Arial"/>
                <w:sz w:val="20"/>
                <w:szCs w:val="20"/>
              </w:rPr>
            </w:pPr>
            <w:r>
              <w:rPr>
                <w:rFonts w:cs="Arial"/>
                <w:sz w:val="20"/>
                <w:szCs w:val="20"/>
              </w:rPr>
              <w:t>Tél.: 02/663.06.62 - Fax: 02/672.64.32</w:t>
            </w:r>
          </w:p>
          <w:p>
            <w:pPr>
              <w:rPr>
                <w:rFonts w:cs="Arial"/>
                <w:sz w:val="8"/>
                <w:szCs w:val="8"/>
              </w:rPr>
            </w:pPr>
          </w:p>
          <w:p>
            <w:pPr>
              <w:rPr>
                <w:sz w:val="20"/>
                <w:szCs w:val="20"/>
              </w:rPr>
            </w:pPr>
            <w:r>
              <w:rPr>
                <w:rFonts w:cs="Arial"/>
                <w:b/>
                <w:bCs/>
                <w:sz w:val="20"/>
                <w:szCs w:val="20"/>
                <w:u w:val="single"/>
              </w:rPr>
              <w:t>Province de Liège</w:t>
            </w:r>
          </w:p>
          <w:p>
            <w:pPr>
              <w:rPr>
                <w:sz w:val="20"/>
                <w:szCs w:val="20"/>
              </w:rPr>
            </w:pPr>
            <w:r>
              <w:rPr>
                <w:rFonts w:cs="Arial"/>
                <w:sz w:val="20"/>
                <w:szCs w:val="20"/>
              </w:rPr>
              <w:t>M. Jean-François DELSARTE</w:t>
            </w:r>
          </w:p>
          <w:p>
            <w:pPr>
              <w:rPr>
                <w:sz w:val="20"/>
                <w:szCs w:val="20"/>
              </w:rPr>
            </w:pPr>
            <w:r>
              <w:rPr>
                <w:rFonts w:cs="Arial"/>
                <w:sz w:val="20"/>
                <w:szCs w:val="20"/>
              </w:rPr>
              <w:t>Boulevard d'Avroy, 17</w:t>
            </w:r>
          </w:p>
          <w:p>
            <w:pPr>
              <w:rPr>
                <w:sz w:val="20"/>
                <w:szCs w:val="20"/>
              </w:rPr>
            </w:pPr>
            <w:r>
              <w:rPr>
                <w:rFonts w:cs="Arial"/>
                <w:sz w:val="20"/>
                <w:szCs w:val="20"/>
              </w:rPr>
              <w:t>4000 LIEGE</w:t>
            </w:r>
          </w:p>
          <w:p>
            <w:pPr>
              <w:rPr>
                <w:sz w:val="20"/>
                <w:szCs w:val="20"/>
              </w:rPr>
            </w:pPr>
            <w:r>
              <w:rPr>
                <w:sz w:val="20"/>
                <w:szCs w:val="20"/>
              </w:rPr>
              <w:t>Tél.: 04/230.57.06 - Fax: 04/230.57.05</w:t>
            </w:r>
          </w:p>
        </w:tc>
        <w:tc>
          <w:tcPr>
            <w:tcW w:w="4490" w:type="dxa"/>
          </w:tcPr>
          <w:p>
            <w:pPr>
              <w:rPr>
                <w:sz w:val="20"/>
                <w:szCs w:val="20"/>
              </w:rPr>
            </w:pPr>
            <w:r>
              <w:rPr>
                <w:rFonts w:cs="Arial"/>
                <w:b/>
                <w:bCs/>
                <w:sz w:val="20"/>
                <w:szCs w:val="20"/>
                <w:u w:val="single"/>
              </w:rPr>
              <w:t>Province du Hainaut</w:t>
            </w:r>
          </w:p>
          <w:p>
            <w:pPr>
              <w:rPr>
                <w:sz w:val="20"/>
                <w:szCs w:val="20"/>
              </w:rPr>
            </w:pPr>
            <w:r>
              <w:rPr>
                <w:rFonts w:cs="Arial"/>
                <w:sz w:val="20"/>
                <w:szCs w:val="20"/>
              </w:rPr>
              <w:t>M. François GUILBERT</w:t>
            </w:r>
          </w:p>
          <w:p>
            <w:pPr>
              <w:rPr>
                <w:sz w:val="20"/>
                <w:szCs w:val="20"/>
              </w:rPr>
            </w:pPr>
            <w:r>
              <w:rPr>
                <w:rFonts w:cs="Arial"/>
                <w:sz w:val="20"/>
                <w:szCs w:val="20"/>
              </w:rPr>
              <w:t>Chaussée de Binche, 151</w:t>
            </w:r>
          </w:p>
          <w:p>
            <w:pPr>
              <w:pStyle w:val="En-tte"/>
              <w:tabs>
                <w:tab w:val="clear" w:pos="4536"/>
                <w:tab w:val="clear" w:pos="9072"/>
              </w:tabs>
              <w:rPr>
                <w:rFonts w:cs="Arial"/>
                <w:sz w:val="20"/>
                <w:szCs w:val="20"/>
              </w:rPr>
            </w:pPr>
            <w:r>
              <w:rPr>
                <w:rFonts w:cs="Arial"/>
                <w:sz w:val="20"/>
                <w:szCs w:val="20"/>
              </w:rPr>
              <w:t>7000 MONS</w:t>
            </w:r>
          </w:p>
          <w:p>
            <w:pPr>
              <w:rPr>
                <w:sz w:val="20"/>
                <w:szCs w:val="20"/>
              </w:rPr>
            </w:pPr>
            <w:r>
              <w:rPr>
                <w:rFonts w:cs="Arial"/>
                <w:sz w:val="20"/>
                <w:szCs w:val="20"/>
              </w:rPr>
              <w:t>Tél.: 065/37 73 02 - Fax: 065/37 73 03</w:t>
            </w:r>
          </w:p>
          <w:p>
            <w:pPr>
              <w:pStyle w:val="Textedebulles"/>
              <w:rPr>
                <w:rFonts w:ascii="Arial" w:hAnsi="Arial" w:cs="Arial"/>
                <w:sz w:val="8"/>
                <w:szCs w:val="8"/>
              </w:rPr>
            </w:pPr>
          </w:p>
          <w:p>
            <w:pPr>
              <w:rPr>
                <w:sz w:val="20"/>
                <w:szCs w:val="20"/>
              </w:rPr>
            </w:pPr>
            <w:r>
              <w:rPr>
                <w:rFonts w:cs="Arial"/>
                <w:b/>
                <w:bCs/>
                <w:sz w:val="20"/>
                <w:szCs w:val="20"/>
                <w:u w:val="single"/>
              </w:rPr>
              <w:t>Provinces de Namur et du Luxembourg</w:t>
            </w:r>
          </w:p>
          <w:p>
            <w:pPr>
              <w:rPr>
                <w:sz w:val="20"/>
                <w:szCs w:val="20"/>
              </w:rPr>
            </w:pPr>
            <w:r>
              <w:rPr>
                <w:rFonts w:cs="Arial"/>
                <w:sz w:val="20"/>
                <w:szCs w:val="20"/>
              </w:rPr>
              <w:t>M. Yannick PIELTAIN</w:t>
            </w:r>
          </w:p>
          <w:p>
            <w:pPr>
              <w:rPr>
                <w:sz w:val="20"/>
                <w:szCs w:val="20"/>
              </w:rPr>
            </w:pPr>
            <w:r>
              <w:rPr>
                <w:sz w:val="20"/>
                <w:szCs w:val="20"/>
              </w:rPr>
              <w:t>Rue de l'Evêché, 5</w:t>
            </w:r>
          </w:p>
          <w:p>
            <w:pPr>
              <w:rPr>
                <w:sz w:val="20"/>
                <w:szCs w:val="20"/>
              </w:rPr>
            </w:pPr>
            <w:r>
              <w:rPr>
                <w:sz w:val="20"/>
                <w:szCs w:val="20"/>
              </w:rPr>
              <w:t>5000 NAMUR</w:t>
            </w:r>
          </w:p>
          <w:p>
            <w:pPr>
              <w:rPr>
                <w:sz w:val="20"/>
                <w:szCs w:val="20"/>
              </w:rPr>
            </w:pPr>
            <w:r>
              <w:rPr>
                <w:sz w:val="20"/>
                <w:szCs w:val="20"/>
              </w:rPr>
              <w:t>Tél.: 081/25.03.61 – Fax: 081/25.03.69</w:t>
            </w:r>
          </w:p>
        </w:tc>
      </w:tr>
    </w:tbl>
    <w:p>
      <w:pPr>
        <w:rPr>
          <w:rFonts w:cs="Arial"/>
          <w:sz w:val="8"/>
          <w:szCs w:val="8"/>
        </w:rPr>
      </w:pPr>
    </w:p>
    <w:p>
      <w:pPr>
        <w:pStyle w:val="NormalWeb"/>
        <w:spacing w:before="0"/>
        <w:jc w:val="center"/>
        <w:rPr>
          <w:rFonts w:ascii="Arial" w:hAnsi="Arial" w:cs="Arial"/>
          <w:b/>
          <w:bCs/>
          <w:color w:val="auto"/>
          <w:szCs w:val="24"/>
          <w:u w:val="single"/>
        </w:rPr>
      </w:pPr>
      <w:r>
        <w:rPr>
          <w:rFonts w:ascii="Arial" w:hAnsi="Arial" w:cs="Arial"/>
          <w:b/>
          <w:bCs/>
          <w:color w:val="auto"/>
          <w:szCs w:val="24"/>
          <w:u w:val="single"/>
        </w:rPr>
        <w:t>Enseignement libre subventionné non confessionnel</w:t>
      </w:r>
    </w:p>
    <w:p>
      <w:pPr>
        <w:pStyle w:val="NormalWeb"/>
        <w:spacing w:before="0"/>
        <w:rPr>
          <w:rFonts w:ascii="Arial" w:hAnsi="Arial" w:cs="Arial"/>
          <w:color w:val="auto"/>
          <w:sz w:val="8"/>
          <w:szCs w:val="8"/>
        </w:rPr>
      </w:pPr>
    </w:p>
    <w:p>
      <w:pPr>
        <w:pStyle w:val="NormalWeb"/>
        <w:spacing w:before="0"/>
        <w:rPr>
          <w:rFonts w:ascii="Arial" w:hAnsi="Arial" w:cs="Arial"/>
          <w:b/>
          <w:bCs/>
          <w:color w:val="auto"/>
          <w:sz w:val="20"/>
          <w:szCs w:val="20"/>
          <w:u w:val="single"/>
        </w:rPr>
      </w:pPr>
      <w:r>
        <w:rPr>
          <w:rFonts w:ascii="Arial" w:hAnsi="Arial" w:cs="Arial"/>
          <w:b/>
          <w:bCs/>
          <w:color w:val="auto"/>
          <w:sz w:val="20"/>
          <w:szCs w:val="20"/>
          <w:u w:val="single"/>
        </w:rPr>
        <w:t>FELSI</w:t>
      </w:r>
    </w:p>
    <w:p>
      <w:pPr>
        <w:pStyle w:val="NormalWeb"/>
        <w:spacing w:before="0"/>
        <w:rPr>
          <w:rFonts w:ascii="Arial" w:hAnsi="Arial" w:cs="Arial"/>
          <w:color w:val="auto"/>
          <w:sz w:val="20"/>
          <w:szCs w:val="20"/>
        </w:rPr>
      </w:pPr>
      <w:r>
        <w:rPr>
          <w:rFonts w:ascii="Arial" w:hAnsi="Arial" w:cs="Arial"/>
          <w:color w:val="auto"/>
          <w:sz w:val="20"/>
          <w:szCs w:val="20"/>
        </w:rPr>
        <w:t>M. Michel BETTENS, Secrétaire général,</w:t>
      </w:r>
    </w:p>
    <w:p>
      <w:pPr>
        <w:pStyle w:val="NormalWeb"/>
        <w:spacing w:before="0"/>
        <w:rPr>
          <w:rFonts w:ascii="Arial" w:hAnsi="Arial" w:cs="Arial"/>
          <w:color w:val="auto"/>
          <w:sz w:val="20"/>
          <w:szCs w:val="20"/>
        </w:rPr>
      </w:pPr>
      <w:r>
        <w:rPr>
          <w:rFonts w:ascii="Arial" w:hAnsi="Arial" w:cs="Arial"/>
          <w:color w:val="auto"/>
          <w:sz w:val="20"/>
          <w:szCs w:val="20"/>
        </w:rPr>
        <w:t>Avenue Jupiter, 180</w:t>
      </w:r>
    </w:p>
    <w:p>
      <w:pPr>
        <w:pStyle w:val="NormalWeb"/>
        <w:spacing w:before="0"/>
        <w:rPr>
          <w:rFonts w:ascii="Arial" w:hAnsi="Arial" w:cs="Arial"/>
          <w:color w:val="auto"/>
          <w:sz w:val="20"/>
          <w:szCs w:val="20"/>
        </w:rPr>
      </w:pPr>
      <w:r>
        <w:rPr>
          <w:rFonts w:ascii="Arial" w:hAnsi="Arial" w:cs="Arial"/>
          <w:color w:val="auto"/>
          <w:sz w:val="20"/>
          <w:szCs w:val="20"/>
        </w:rPr>
        <w:t>1190 BRUXELLES</w:t>
      </w:r>
    </w:p>
    <w:p>
      <w:pPr>
        <w:pStyle w:val="NormalWeb"/>
        <w:spacing w:before="0"/>
        <w:rPr>
          <w:rFonts w:ascii="Arial" w:hAnsi="Arial" w:cs="Arial"/>
          <w:color w:val="auto"/>
          <w:sz w:val="20"/>
          <w:szCs w:val="20"/>
        </w:rPr>
      </w:pPr>
      <w:r>
        <w:rPr>
          <w:rFonts w:ascii="Arial" w:hAnsi="Arial" w:cs="Arial"/>
          <w:color w:val="auto"/>
          <w:sz w:val="20"/>
          <w:szCs w:val="20"/>
        </w:rPr>
        <w:t>Tél.: 02/527.37.92.- Fax: 02/537.37.91.</w:t>
      </w:r>
    </w:p>
    <w:p>
      <w:pPr>
        <w:rPr>
          <w:rFonts w:cs="Arial"/>
          <w:sz w:val="8"/>
          <w:szCs w:val="8"/>
        </w:rPr>
      </w:pPr>
    </w:p>
    <w:p>
      <w:pPr>
        <w:pStyle w:val="Corpsdetexte"/>
        <w:jc w:val="center"/>
        <w:rPr>
          <w:b/>
          <w:sz w:val="24"/>
          <w:u w:val="single"/>
        </w:rPr>
      </w:pPr>
      <w:r>
        <w:rPr>
          <w:b/>
          <w:sz w:val="24"/>
          <w:u w:val="single"/>
        </w:rPr>
        <w:t xml:space="preserve">Enseignement organisé par </w:t>
      </w:r>
      <w:smartTag w:uri="urn:schemas-microsoft-com:office:smarttags" w:element="PersonName">
        <w:smartTagPr>
          <w:attr w:name="ProductID" w:val="la F￩d￩ration Wallonie-Bruxelles"/>
        </w:smartTagPr>
        <w:r>
          <w:rPr>
            <w:b/>
            <w:sz w:val="24"/>
            <w:u w:val="single"/>
          </w:rPr>
          <w:t>la Fédération Wallonie-Bruxelles</w:t>
        </w:r>
      </w:smartTag>
    </w:p>
    <w:p>
      <w:pPr>
        <w:autoSpaceDE w:val="0"/>
        <w:autoSpaceDN w:val="0"/>
        <w:adjustRightInd w:val="0"/>
        <w:rPr>
          <w:rFonts w:cs="Arial"/>
          <w:bCs/>
        </w:rPr>
      </w:pPr>
      <w:bookmarkStart w:id="2030" w:name="Annexe_224D"/>
      <w:bookmarkStart w:id="2031" w:name="_Toc272404493"/>
      <w:bookmarkStart w:id="2032" w:name="_Toc295913862"/>
      <w:bookmarkStart w:id="2033" w:name="_Toc423420180"/>
      <w:bookmarkStart w:id="2034" w:name="_Toc450645429"/>
      <w:bookmarkStart w:id="2035" w:name="_Toc453942668"/>
      <w:bookmarkStart w:id="2036" w:name="_Toc454888285"/>
      <w:bookmarkEnd w:id="20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trPr>
          <w:trHeight w:val="1441"/>
        </w:trPr>
        <w:tc>
          <w:tcPr>
            <w:tcW w:w="4546" w:type="dxa"/>
          </w:tcPr>
          <w:p>
            <w:pPr>
              <w:ind w:left="1080" w:hanging="1080"/>
              <w:rPr>
                <w:b/>
              </w:rPr>
            </w:pPr>
            <w:r>
              <w:rPr>
                <w:b/>
              </w:rPr>
              <w:t>Zone 1</w:t>
            </w:r>
            <w:r>
              <w:t xml:space="preserve">: </w:t>
            </w:r>
            <w:r>
              <w:tab/>
            </w:r>
            <w:r>
              <w:rPr>
                <w:b/>
              </w:rPr>
              <w:t>Bruxelles-Capitale</w:t>
            </w:r>
          </w:p>
          <w:p>
            <w:pPr>
              <w:ind w:left="1080" w:hanging="1080"/>
              <w:rPr>
                <w:sz w:val="8"/>
                <w:szCs w:val="8"/>
              </w:rPr>
            </w:pPr>
          </w:p>
          <w:p>
            <w:pPr>
              <w:ind w:left="1080" w:hanging="1080"/>
            </w:pPr>
            <w:r>
              <w:rPr>
                <w:b/>
              </w:rPr>
              <w:t xml:space="preserve">Zone 2: </w:t>
            </w:r>
            <w:r>
              <w:rPr>
                <w:b/>
              </w:rPr>
              <w:tab/>
              <w:t>Brabant Wallon</w:t>
            </w:r>
          </w:p>
          <w:p>
            <w:pPr>
              <w:ind w:left="1080" w:hanging="1080"/>
              <w:rPr>
                <w:b/>
              </w:rPr>
            </w:pPr>
          </w:p>
          <w:p>
            <w:pPr>
              <w:tabs>
                <w:tab w:val="left" w:pos="948"/>
              </w:tabs>
              <w:ind w:firstLine="708"/>
            </w:pPr>
          </w:p>
        </w:tc>
        <w:tc>
          <w:tcPr>
            <w:tcW w:w="4514" w:type="dxa"/>
          </w:tcPr>
          <w:p>
            <w:pPr>
              <w:rPr>
                <w:b/>
                <w:lang w:val="fr-BE"/>
              </w:rPr>
            </w:pPr>
            <w:r>
              <w:rPr>
                <w:b/>
                <w:lang w:val="fr-BE"/>
              </w:rPr>
              <w:t>VANDERHEIDEN Renelde</w:t>
            </w:r>
          </w:p>
          <w:p>
            <w:pPr>
              <w:rPr>
                <w:lang w:val="fr-BE"/>
              </w:rPr>
            </w:pPr>
            <w:r>
              <w:rPr>
                <w:lang w:val="fr-BE"/>
              </w:rPr>
              <w:t>SGEFWB</w:t>
            </w:r>
          </w:p>
          <w:p>
            <w:pPr>
              <w:rPr>
                <w:lang w:val="fr-BE"/>
              </w:rPr>
            </w:pPr>
            <w:r>
              <w:rPr>
                <w:lang w:val="fr-BE"/>
              </w:rPr>
              <w:t>Bld du Jardin botanique 20-22 (1G57)</w:t>
            </w:r>
          </w:p>
          <w:p>
            <w:pPr>
              <w:rPr>
                <w:lang w:val="fr-BE"/>
              </w:rPr>
            </w:pPr>
            <w:r>
              <w:rPr>
                <w:lang w:val="fr-BE"/>
              </w:rPr>
              <w:t>1000 Bruxelles</w:t>
            </w:r>
          </w:p>
          <w:p>
            <w:r>
              <w:rPr>
                <w:lang w:val="fr-BE"/>
              </w:rPr>
              <w:t>Tél. : 02/690.81.78 – Fax : 02/690.81.35</w:t>
            </w:r>
          </w:p>
        </w:tc>
      </w:tr>
      <w:tr>
        <w:trPr>
          <w:trHeight w:val="1391"/>
        </w:trPr>
        <w:tc>
          <w:tcPr>
            <w:tcW w:w="4546" w:type="dxa"/>
          </w:tcPr>
          <w:p>
            <w:pPr>
              <w:ind w:left="1080" w:hanging="1080"/>
              <w:rPr>
                <w:b/>
              </w:rPr>
            </w:pPr>
            <w:r>
              <w:rPr>
                <w:b/>
              </w:rPr>
              <w:t>Zone 3:</w:t>
            </w:r>
            <w:r>
              <w:rPr>
                <w:b/>
              </w:rPr>
              <w:tab/>
              <w:t>Huy-Waremme</w:t>
            </w:r>
          </w:p>
          <w:p>
            <w:pPr>
              <w:ind w:left="1080" w:hanging="1080"/>
              <w:rPr>
                <w:b/>
                <w:sz w:val="8"/>
                <w:szCs w:val="8"/>
              </w:rPr>
            </w:pPr>
          </w:p>
          <w:p>
            <w:pPr>
              <w:ind w:left="1080" w:hanging="1080"/>
              <w:rPr>
                <w:b/>
              </w:rPr>
            </w:pPr>
            <w:r>
              <w:rPr>
                <w:b/>
              </w:rPr>
              <w:t>Zone 6:</w:t>
            </w:r>
            <w:r>
              <w:rPr>
                <w:b/>
              </w:rPr>
              <w:tab/>
              <w:t>Namur</w:t>
            </w:r>
          </w:p>
        </w:tc>
        <w:tc>
          <w:tcPr>
            <w:tcW w:w="4514" w:type="dxa"/>
          </w:tcPr>
          <w:p>
            <w:pPr>
              <w:rPr>
                <w:b/>
                <w:lang w:val="fr-BE"/>
              </w:rPr>
            </w:pPr>
            <w:r>
              <w:rPr>
                <w:b/>
                <w:lang w:val="fr-BE"/>
              </w:rPr>
              <w:t>PERAZZO Gianni</w:t>
            </w:r>
          </w:p>
          <w:p>
            <w:pPr>
              <w:rPr>
                <w:lang w:val="fr-BE"/>
              </w:rPr>
            </w:pPr>
            <w:r>
              <w:rPr>
                <w:lang w:val="fr-BE"/>
              </w:rPr>
              <w:t>SGEFWB</w:t>
            </w:r>
          </w:p>
          <w:p>
            <w:pPr>
              <w:rPr>
                <w:lang w:val="fr-BE"/>
              </w:rPr>
            </w:pPr>
            <w:r>
              <w:rPr>
                <w:lang w:val="fr-BE"/>
              </w:rPr>
              <w:t>Bld du Jardin botanique 20-22 (1G13)</w:t>
            </w:r>
          </w:p>
          <w:p>
            <w:pPr>
              <w:rPr>
                <w:lang w:val="fr-BE"/>
              </w:rPr>
            </w:pPr>
            <w:r>
              <w:rPr>
                <w:lang w:val="fr-BE"/>
              </w:rPr>
              <w:t>1000 Bruxelles</w:t>
            </w:r>
          </w:p>
          <w:p>
            <w:pPr>
              <w:rPr>
                <w:b/>
              </w:rPr>
            </w:pPr>
            <w:r>
              <w:rPr>
                <w:lang w:val="fr-BE"/>
              </w:rPr>
              <w:t>Tél. : 02/690.82.88 – Fax : 02/690.81.35</w:t>
            </w:r>
          </w:p>
        </w:tc>
      </w:tr>
      <w:tr>
        <w:trPr>
          <w:trHeight w:val="1141"/>
        </w:trPr>
        <w:tc>
          <w:tcPr>
            <w:tcW w:w="4546" w:type="dxa"/>
          </w:tcPr>
          <w:p>
            <w:pPr>
              <w:ind w:left="1080" w:hanging="1080"/>
              <w:rPr>
                <w:b/>
              </w:rPr>
            </w:pPr>
            <w:r>
              <w:rPr>
                <w:b/>
              </w:rPr>
              <w:t>Zone 4:</w:t>
            </w:r>
            <w:r>
              <w:rPr>
                <w:b/>
              </w:rPr>
              <w:tab/>
              <w:t>Liège</w:t>
            </w:r>
          </w:p>
          <w:p>
            <w:pPr>
              <w:ind w:left="1080" w:hanging="1080"/>
              <w:rPr>
                <w:b/>
                <w:sz w:val="8"/>
                <w:szCs w:val="8"/>
              </w:rPr>
            </w:pPr>
          </w:p>
          <w:p>
            <w:pPr>
              <w:ind w:left="1080" w:hanging="1080"/>
              <w:rPr>
                <w:b/>
              </w:rPr>
            </w:pPr>
            <w:r>
              <w:rPr>
                <w:b/>
              </w:rPr>
              <w:t>Zone 5:</w:t>
            </w:r>
            <w:r>
              <w:rPr>
                <w:b/>
              </w:rPr>
              <w:tab/>
              <w:t xml:space="preserve">Verviers </w:t>
            </w:r>
          </w:p>
          <w:p>
            <w:pPr>
              <w:ind w:left="1080" w:hanging="1080"/>
              <w:rPr>
                <w:b/>
                <w:sz w:val="8"/>
                <w:szCs w:val="8"/>
              </w:rPr>
            </w:pPr>
          </w:p>
          <w:p>
            <w:pPr>
              <w:ind w:left="1080" w:hanging="1080"/>
              <w:rPr>
                <w:b/>
              </w:rPr>
            </w:pPr>
            <w:r>
              <w:rPr>
                <w:b/>
              </w:rPr>
              <w:t>Zone 7:</w:t>
            </w:r>
            <w:r>
              <w:rPr>
                <w:b/>
              </w:rPr>
              <w:tab/>
              <w:t>Luxembourg</w:t>
            </w:r>
          </w:p>
        </w:tc>
        <w:tc>
          <w:tcPr>
            <w:tcW w:w="4514" w:type="dxa"/>
          </w:tcPr>
          <w:p>
            <w:pPr>
              <w:rPr>
                <w:b/>
                <w:lang w:val="en-GB"/>
              </w:rPr>
            </w:pPr>
            <w:r>
              <w:rPr>
                <w:b/>
                <w:lang w:val="en-GB"/>
              </w:rPr>
              <w:t>SLOTA Isabelle</w:t>
            </w:r>
          </w:p>
          <w:p>
            <w:pPr>
              <w:rPr>
                <w:lang w:val="en-GB"/>
              </w:rPr>
            </w:pPr>
            <w:r>
              <w:rPr>
                <w:lang w:val="en-GB"/>
              </w:rPr>
              <w:t>Rue Henri Fays, 37</w:t>
            </w:r>
          </w:p>
          <w:p>
            <w:pPr>
              <w:rPr>
                <w:lang w:val="en-GB"/>
              </w:rPr>
            </w:pPr>
            <w:r>
              <w:rPr>
                <w:lang w:val="en-GB"/>
              </w:rPr>
              <w:t>4130 Anthisnes</w:t>
            </w:r>
          </w:p>
          <w:p>
            <w:r>
              <w:rPr>
                <w:lang w:val="en-GB"/>
              </w:rPr>
              <w:t>Tél. : 0473/59.22.95 – Fax: /</w:t>
            </w:r>
          </w:p>
        </w:tc>
      </w:tr>
      <w:tr>
        <w:trPr>
          <w:trHeight w:val="1540"/>
        </w:trPr>
        <w:tc>
          <w:tcPr>
            <w:tcW w:w="4546" w:type="dxa"/>
          </w:tcPr>
          <w:p>
            <w:pPr>
              <w:ind w:left="1080" w:hanging="1080"/>
              <w:rPr>
                <w:b/>
              </w:rPr>
            </w:pPr>
            <w:r>
              <w:rPr>
                <w:b/>
              </w:rPr>
              <w:t>Zone 8:</w:t>
            </w:r>
            <w:r>
              <w:rPr>
                <w:b/>
              </w:rPr>
              <w:tab/>
              <w:t>Hainaut occidental</w:t>
            </w:r>
          </w:p>
          <w:p>
            <w:pPr>
              <w:ind w:left="1080" w:hanging="1080"/>
              <w:rPr>
                <w:b/>
                <w:sz w:val="8"/>
                <w:szCs w:val="8"/>
              </w:rPr>
            </w:pPr>
          </w:p>
          <w:p>
            <w:pPr>
              <w:ind w:left="1080" w:hanging="1080"/>
              <w:rPr>
                <w:b/>
              </w:rPr>
            </w:pPr>
            <w:r>
              <w:rPr>
                <w:b/>
              </w:rPr>
              <w:t>Zone 9:</w:t>
            </w:r>
            <w:r>
              <w:rPr>
                <w:b/>
              </w:rPr>
              <w:tab/>
              <w:t>Mons – Centre</w:t>
            </w:r>
          </w:p>
          <w:p>
            <w:pPr>
              <w:ind w:left="1080" w:hanging="1080"/>
              <w:rPr>
                <w:b/>
                <w:sz w:val="8"/>
                <w:szCs w:val="8"/>
              </w:rPr>
            </w:pPr>
          </w:p>
          <w:p>
            <w:pPr>
              <w:ind w:left="1080" w:hanging="1080"/>
              <w:rPr>
                <w:b/>
              </w:rPr>
            </w:pPr>
            <w:r>
              <w:rPr>
                <w:b/>
              </w:rPr>
              <w:t>Zone 10:</w:t>
            </w:r>
            <w:r>
              <w:rPr>
                <w:b/>
              </w:rPr>
              <w:tab/>
              <w:t>Charleroi – Hainaut Sud</w:t>
            </w:r>
          </w:p>
        </w:tc>
        <w:tc>
          <w:tcPr>
            <w:tcW w:w="4514" w:type="dxa"/>
          </w:tcPr>
          <w:p>
            <w:pPr>
              <w:rPr>
                <w:b/>
                <w:lang w:val="fr-BE"/>
              </w:rPr>
            </w:pPr>
            <w:r>
              <w:rPr>
                <w:b/>
                <w:lang w:val="fr-BE"/>
              </w:rPr>
              <w:t>DEBAISIEUX Frédéric</w:t>
            </w:r>
          </w:p>
          <w:p>
            <w:pPr>
              <w:rPr>
                <w:lang w:val="fr-BE"/>
              </w:rPr>
            </w:pPr>
            <w:r>
              <w:rPr>
                <w:lang w:val="fr-BE"/>
              </w:rPr>
              <w:t>I.A.C.F. Walter Ravez</w:t>
            </w:r>
          </w:p>
          <w:p>
            <w:pPr>
              <w:rPr>
                <w:lang w:val="fr-BE"/>
              </w:rPr>
            </w:pPr>
            <w:r>
              <w:rPr>
                <w:lang w:val="fr-BE"/>
              </w:rPr>
              <w:t>Quai Vifquin 22-25</w:t>
            </w:r>
          </w:p>
          <w:p>
            <w:pPr>
              <w:rPr>
                <w:lang w:val="fr-BE"/>
              </w:rPr>
            </w:pPr>
            <w:r>
              <w:rPr>
                <w:lang w:val="fr-BE"/>
              </w:rPr>
              <w:t>7500 Tournai</w:t>
            </w:r>
          </w:p>
          <w:p>
            <w:pPr>
              <w:rPr>
                <w:lang w:val="fr-BE"/>
              </w:rPr>
            </w:pPr>
            <w:r>
              <w:rPr>
                <w:lang w:val="fr-BE"/>
              </w:rPr>
              <w:t xml:space="preserve">Tél. : 0468/42.85.36 </w:t>
            </w:r>
            <w:r>
              <w:rPr>
                <w:lang w:val="en-GB"/>
              </w:rPr>
              <w:t>– Fax: /</w:t>
            </w:r>
          </w:p>
          <w:p>
            <w:pPr>
              <w:rPr>
                <w:b/>
                <w:lang w:val="en-GB"/>
              </w:rPr>
            </w:pPr>
          </w:p>
        </w:tc>
      </w:tr>
    </w:tbl>
    <w:p>
      <w:pPr>
        <w:pStyle w:val="annexe"/>
      </w:pPr>
    </w:p>
    <w:p/>
    <w:p/>
    <w:p/>
    <w:p/>
    <w:p/>
    <w:p/>
    <w:p/>
    <w:p>
      <w:pPr>
        <w:pStyle w:val="annexe"/>
      </w:pPr>
      <w:bookmarkStart w:id="2037" w:name="_Toc486241906"/>
      <w:r>
        <w:t>Annexe 2.2.4.D. Attestation de demande d’inscription dans l’enseignement primaire ordinaire</w:t>
      </w:r>
      <w:bookmarkEnd w:id="2031"/>
      <w:bookmarkEnd w:id="2032"/>
      <w:bookmarkEnd w:id="2033"/>
      <w:bookmarkEnd w:id="2034"/>
      <w:bookmarkEnd w:id="2035"/>
      <w:bookmarkEnd w:id="2036"/>
      <w:bookmarkEnd w:id="2037"/>
    </w:p>
    <w:p>
      <w:pPr>
        <w:pStyle w:val="Corpsdetexte"/>
        <w:jc w:val="center"/>
        <w:rPr>
          <w:b/>
          <w:sz w:val="16"/>
          <w:szCs w:val="16"/>
        </w:rPr>
      </w:pPr>
    </w:p>
    <w:p>
      <w:pPr>
        <w:pStyle w:val="Corpsdetexte"/>
        <w:jc w:val="center"/>
        <w:rPr>
          <w:b/>
          <w:sz w:val="24"/>
          <w:u w:val="single"/>
        </w:rPr>
      </w:pPr>
      <w:r>
        <w:rPr>
          <w:b/>
          <w:sz w:val="24"/>
          <w:u w:val="single"/>
        </w:rPr>
        <w:t xml:space="preserve">Enseignement subventionné par </w:t>
      </w:r>
      <w:smartTag w:uri="urn:schemas-microsoft-com:office:smarttags" w:element="PersonName">
        <w:smartTagPr>
          <w:attr w:name="ProductID" w:val="la F￩d￩ration Wallonie-Bruxelles"/>
        </w:smartTagPr>
        <w:r>
          <w:rPr>
            <w:b/>
            <w:sz w:val="24"/>
            <w:u w:val="single"/>
          </w:rPr>
          <w:t>la Fédération Wallonie-Bruxelles</w:t>
        </w:r>
      </w:smartTag>
    </w:p>
    <w:p>
      <w:pPr>
        <w:jc w:val="center"/>
        <w:rPr>
          <w:i/>
          <w:sz w:val="6"/>
          <w:szCs w:val="6"/>
        </w:rPr>
      </w:pPr>
    </w:p>
    <w:p>
      <w:pPr>
        <w:jc w:val="center"/>
        <w:rPr>
          <w:i/>
        </w:rPr>
      </w:pPr>
      <w:r>
        <w:rPr>
          <w:i/>
        </w:rPr>
        <w:t>(Application de l’article 88 du Décret-Missions du 24 juillet 1997)</w:t>
      </w:r>
    </w:p>
    <w:p>
      <w:pPr>
        <w:pStyle w:val="Corpsdetexte"/>
        <w:jc w:val="left"/>
        <w:rPr>
          <w:sz w:val="24"/>
        </w:rPr>
      </w:pPr>
    </w:p>
    <w:p>
      <w:pPr>
        <w:pStyle w:val="Corpsdetexte"/>
        <w:jc w:val="left"/>
      </w:pPr>
      <w:r>
        <w:t>Cachet de l’établissement et mention de son adresse:</w:t>
      </w:r>
    </w:p>
    <w:p>
      <w:pPr>
        <w:pStyle w:val="Corpsdetexte"/>
        <w:jc w:val="left"/>
        <w:rPr>
          <w:sz w:val="20"/>
          <w:szCs w:val="20"/>
        </w:rPr>
      </w:pPr>
    </w:p>
    <w:p>
      <w:pPr>
        <w:pStyle w:val="Corpsdetexte"/>
        <w:jc w:val="left"/>
        <w:rPr>
          <w:sz w:val="20"/>
          <w:szCs w:val="20"/>
        </w:rPr>
      </w:pPr>
    </w:p>
    <w:p>
      <w:pPr>
        <w:pStyle w:val="Corpsdetexte"/>
        <w:jc w:val="left"/>
        <w:rPr>
          <w:sz w:val="20"/>
          <w:szCs w:val="20"/>
        </w:rPr>
      </w:pPr>
    </w:p>
    <w:p>
      <w:pPr>
        <w:pStyle w:val="Corpsdetexte"/>
        <w:spacing w:after="120"/>
        <w:jc w:val="left"/>
      </w:pPr>
      <w:r>
        <w:t>Pouvoir organisateur: ………………………………………………………………………………………….</w:t>
      </w:r>
    </w:p>
    <w:p>
      <w:pPr>
        <w:pStyle w:val="Corpsdetexte"/>
        <w:spacing w:before="120"/>
        <w:jc w:val="left"/>
      </w:pPr>
      <w:r>
        <w:t>Je soussigné(e) (Nom et Titre): ….……………………………….………, agissant au nom du P.O.</w:t>
      </w:r>
    </w:p>
    <w:p>
      <w:pPr>
        <w:pStyle w:val="Corpsdetexte"/>
        <w:spacing w:before="120"/>
        <w:jc w:val="left"/>
      </w:pPr>
      <w:r>
        <w:t>atteste que Madame / Monsieur ……………………………………………………………………………….</w:t>
      </w:r>
    </w:p>
    <w:p>
      <w:pPr>
        <w:pStyle w:val="Corpsdetexte"/>
        <w:spacing w:before="120"/>
        <w:jc w:val="left"/>
      </w:pPr>
      <w:r>
        <w:t>s’est présenté(e) / ce ……….……… 20……  à l’établissement …………………………………………….</w:t>
      </w:r>
    </w:p>
    <w:p>
      <w:pPr>
        <w:pStyle w:val="Corpsdetexte"/>
        <w:spacing w:before="120"/>
        <w:jc w:val="left"/>
      </w:pPr>
      <w:r>
        <w:t xml:space="preserve">en vue de l’inscription de: ……………………………………………………………, </w:t>
      </w:r>
    </w:p>
    <w:p>
      <w:pPr>
        <w:pStyle w:val="Corpsdetexte"/>
        <w:spacing w:before="120"/>
        <w:jc w:val="left"/>
      </w:pPr>
      <w:r>
        <w:t>né le ……………………………</w:t>
      </w:r>
    </w:p>
    <w:p>
      <w:pPr>
        <w:pStyle w:val="Corpsdetexte"/>
        <w:jc w:val="left"/>
        <w:rPr>
          <w:sz w:val="18"/>
          <w:szCs w:val="18"/>
        </w:rPr>
      </w:pPr>
    </w:p>
    <w:p>
      <w:pPr>
        <w:pStyle w:val="Corpsdetexte"/>
        <w:jc w:val="left"/>
      </w:pPr>
      <w:r>
        <w:t>Cette inscription était sollicitée dans:</w:t>
      </w:r>
    </w:p>
    <w:p>
      <w:pPr>
        <w:pStyle w:val="Corpsdetexte"/>
        <w:jc w:val="left"/>
        <w:rPr>
          <w:sz w:val="8"/>
          <w:szCs w:val="8"/>
        </w:rPr>
      </w:pPr>
    </w:p>
    <w:tbl>
      <w:tblPr>
        <w:tblW w:w="0" w:type="auto"/>
        <w:tblInd w:w="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51"/>
        <w:gridCol w:w="2209"/>
      </w:tblGrid>
      <w:tr>
        <w:trPr>
          <w:cantSplit/>
          <w:trHeight w:val="397"/>
        </w:trPr>
        <w:tc>
          <w:tcPr>
            <w:tcW w:w="2651" w:type="dxa"/>
            <w:vMerge w:val="restart"/>
            <w:vAlign w:val="center"/>
          </w:tcPr>
          <w:p>
            <w:pPr>
              <w:pStyle w:val="Corpsdetexte"/>
              <w:jc w:val="center"/>
              <w:rPr>
                <w:b/>
                <w:bCs/>
              </w:rPr>
            </w:pPr>
            <w:r>
              <w:rPr>
                <w:b/>
                <w:bCs/>
              </w:rPr>
              <w:t>Enseignement primaire</w:t>
            </w:r>
          </w:p>
        </w:tc>
        <w:tc>
          <w:tcPr>
            <w:tcW w:w="2209" w:type="dxa"/>
            <w:vAlign w:val="center"/>
          </w:tcPr>
          <w:p>
            <w:pPr>
              <w:pStyle w:val="Corpsdetexte"/>
              <w:jc w:val="center"/>
            </w:pPr>
            <w:r>
              <w:t>Année d'études:</w:t>
            </w:r>
          </w:p>
        </w:tc>
      </w:tr>
      <w:tr>
        <w:trPr>
          <w:cantSplit/>
          <w:trHeight w:val="397"/>
        </w:trPr>
        <w:tc>
          <w:tcPr>
            <w:tcW w:w="2651" w:type="dxa"/>
            <w:vMerge/>
            <w:vAlign w:val="center"/>
          </w:tcPr>
          <w:p>
            <w:pPr>
              <w:pStyle w:val="Corpsdetexte"/>
              <w:jc w:val="center"/>
            </w:pPr>
          </w:p>
        </w:tc>
        <w:tc>
          <w:tcPr>
            <w:tcW w:w="2209" w:type="dxa"/>
            <w:vAlign w:val="center"/>
          </w:tcPr>
          <w:p>
            <w:pPr>
              <w:pStyle w:val="Corpsdetexte"/>
              <w:jc w:val="center"/>
            </w:pPr>
          </w:p>
        </w:tc>
      </w:tr>
    </w:tbl>
    <w:p>
      <w:pPr>
        <w:pStyle w:val="Corpsdetexte"/>
        <w:jc w:val="left"/>
        <w:rPr>
          <w:sz w:val="24"/>
        </w:rPr>
      </w:pPr>
    </w:p>
    <w:p>
      <w:pPr>
        <w:pStyle w:val="Corpsdetexte"/>
      </w:pPr>
      <w:r>
        <w:t>L’inscription n’a pas été prise pour la raison suivante:</w:t>
      </w:r>
    </w:p>
    <w:p>
      <w:pPr>
        <w:pStyle w:val="Corpsdetexte"/>
        <w:rPr>
          <w:sz w:val="16"/>
          <w:szCs w:val="16"/>
        </w:rPr>
      </w:pPr>
    </w:p>
    <w:p>
      <w:pPr>
        <w:pStyle w:val="Corpsdetexte"/>
        <w:numPr>
          <w:ilvl w:val="0"/>
          <w:numId w:val="48"/>
        </w:numPr>
        <w:ind w:left="357" w:hanging="357"/>
      </w:pPr>
      <w:r>
        <w:t>L’élève ne remplit pas les conditions requises pour être régulièrement inscrit(e)</w:t>
      </w:r>
    </w:p>
    <w:p>
      <w:pPr>
        <w:pStyle w:val="Corpsdetexte"/>
        <w:numPr>
          <w:ilvl w:val="0"/>
          <w:numId w:val="48"/>
        </w:numPr>
        <w:spacing w:before="40"/>
        <w:ind w:left="357" w:hanging="357"/>
      </w:pPr>
      <w:r>
        <w:t>Le nombre maximal d’élèves, limité en raison de l’insuffisance des locaux disponibles, est atteint:</w:t>
      </w:r>
      <w:r>
        <w:br/>
      </w:r>
      <w:r>
        <w:rPr>
          <w:i/>
          <w:u w:val="single"/>
        </w:rPr>
        <w:t xml:space="preserve">déclaration faite à </w:t>
      </w:r>
      <w:smartTag w:uri="urn:schemas-microsoft-com:office:smarttags" w:element="PersonName">
        <w:smartTagPr>
          <w:attr w:name="ProductID" w:val="la Direction"/>
        </w:smartTagPr>
        <w:r>
          <w:rPr>
            <w:i/>
            <w:u w:val="single"/>
          </w:rPr>
          <w:t>la Direction</w:t>
        </w:r>
      </w:smartTag>
      <w:r>
        <w:rPr>
          <w:i/>
          <w:u w:val="single"/>
        </w:rPr>
        <w:t xml:space="preserve"> générale de l’Enseignement obligatoire le</w:t>
      </w:r>
      <w:r>
        <w:rPr>
          <w:i/>
        </w:rPr>
        <w:t xml:space="preserve"> </w:t>
      </w:r>
      <w:r>
        <w:t xml:space="preserve"> …… ……….……….</w:t>
      </w:r>
    </w:p>
    <w:p>
      <w:pPr>
        <w:pStyle w:val="Corpsdetexte"/>
        <w:numPr>
          <w:ilvl w:val="0"/>
          <w:numId w:val="48"/>
        </w:numPr>
        <w:spacing w:before="40"/>
        <w:ind w:left="357" w:hanging="357"/>
      </w:pPr>
      <w:r>
        <w:t>L’élève est venu s’inscrire après le 30 septembre</w:t>
      </w:r>
    </w:p>
    <w:p>
      <w:pPr>
        <w:pStyle w:val="Corpsdetexte"/>
        <w:numPr>
          <w:ilvl w:val="0"/>
          <w:numId w:val="48"/>
        </w:numPr>
        <w:spacing w:before="40"/>
        <w:ind w:left="357" w:hanging="357"/>
      </w:pPr>
      <w:r>
        <w:t>L'élève est venu s'inscrire entre le 2</w:t>
      </w:r>
      <w:r>
        <w:rPr>
          <w:vertAlign w:val="superscript"/>
        </w:rPr>
        <w:t>e</w:t>
      </w:r>
      <w:r>
        <w:t xml:space="preserve"> jour ouvrable de l'année scolaire et le 30 septembre sans motiver cette inscription tardive par des raisons exceptionnelles (motif de refus </w:t>
      </w:r>
      <w:r>
        <w:rPr>
          <w:u w:val="single"/>
        </w:rPr>
        <w:t>uniquement</w:t>
      </w:r>
      <w:r>
        <w:t xml:space="preserve"> valable pour l'enseignement libre subventionné et l'enseignement provincial)</w:t>
      </w:r>
    </w:p>
    <w:p>
      <w:pPr>
        <w:pStyle w:val="Corpsdetexte"/>
        <w:numPr>
          <w:ilvl w:val="0"/>
          <w:numId w:val="48"/>
        </w:numPr>
        <w:spacing w:before="40"/>
        <w:ind w:left="357" w:hanging="357"/>
      </w:pPr>
      <w:r>
        <w:t>L'élève est venu s'inscrire entre le 2</w:t>
      </w:r>
      <w:r>
        <w:rPr>
          <w:vertAlign w:val="superscript"/>
        </w:rPr>
        <w:t>e</w:t>
      </w:r>
      <w:r>
        <w:t xml:space="preserve"> jour ouvrable de l'année scolaire et le 30 septembre sans être domicilié dans la commune où est situé l'école ou sans remplir les conditions de l'article 23, alinéa 4, des lois sur l'enseignement primaire coordonnées par l’arrêté royal du 20/08/1957 et sans motiver cette inscription tardive par des raisons exceptionnelles (motif de refus </w:t>
      </w:r>
      <w:r>
        <w:rPr>
          <w:u w:val="single"/>
        </w:rPr>
        <w:t>uniquement</w:t>
      </w:r>
      <w:r>
        <w:t xml:space="preserve"> valable pour l'enseignement communal)</w:t>
      </w:r>
    </w:p>
    <w:p>
      <w:pPr>
        <w:pStyle w:val="Corpsdetexte"/>
        <w:numPr>
          <w:ilvl w:val="0"/>
          <w:numId w:val="48"/>
        </w:numPr>
        <w:spacing w:before="40"/>
        <w:ind w:left="357" w:hanging="357"/>
      </w:pPr>
      <w:r>
        <w:t>Les parents / la personne investie de l’autorité parentale n’accepte(nt) pas de souscrire aux projets éducatif et pédagogique, au règlement des études et au règlement d’ordre intérieur.</w:t>
      </w:r>
    </w:p>
    <w:p>
      <w:pPr>
        <w:pStyle w:val="Corpsdetexte"/>
        <w:rPr>
          <w:sz w:val="18"/>
          <w:szCs w:val="18"/>
        </w:rPr>
      </w:pPr>
    </w:p>
    <w:p>
      <w:pPr>
        <w:pStyle w:val="Corpsdetexte"/>
      </w:pPr>
      <w:r>
        <w:t>Cette attestation mentionne en annexe l’adresse des services où la personne investie de l’autorité parentale peut obtenir une assistance en vue d’une inscription dans un autre établissement.</w:t>
      </w:r>
    </w:p>
    <w:p>
      <w:pPr>
        <w:pStyle w:val="Corpsdetexte"/>
        <w:jc w:val="left"/>
        <w:rPr>
          <w:sz w:val="18"/>
          <w:szCs w:val="18"/>
        </w:rPr>
      </w:pPr>
    </w:p>
    <w:p>
      <w:pPr>
        <w:pStyle w:val="Corpsdetexte"/>
        <w:jc w:val="left"/>
      </w:pPr>
      <w:r>
        <w:t>Date et signature du chef d’établissement</w:t>
      </w:r>
      <w:r>
        <w:tab/>
      </w:r>
      <w:r>
        <w:tab/>
      </w:r>
      <w:r>
        <w:tab/>
      </w:r>
      <w:r>
        <w:tab/>
        <w:t xml:space="preserve">        Pour réception</w:t>
      </w:r>
    </w:p>
    <w:p>
      <w:pPr>
        <w:pStyle w:val="Corpsdetexte"/>
        <w:jc w:val="left"/>
        <w:rPr>
          <w:sz w:val="20"/>
          <w:szCs w:val="20"/>
        </w:rPr>
      </w:pPr>
    </w:p>
    <w:p>
      <w:pPr>
        <w:pStyle w:val="Corpsdetexte"/>
        <w:jc w:val="left"/>
        <w:rPr>
          <w:sz w:val="20"/>
          <w:szCs w:val="20"/>
        </w:rPr>
      </w:pPr>
    </w:p>
    <w:p>
      <w:pPr>
        <w:pStyle w:val="Corpsdetexte"/>
        <w:jc w:val="left"/>
      </w:pPr>
      <w:r>
        <w:t>……………………………………………..</w:t>
      </w:r>
      <w:r>
        <w:tab/>
      </w:r>
      <w:r>
        <w:tab/>
      </w:r>
      <w:r>
        <w:tab/>
      </w:r>
      <w:r>
        <w:tab/>
        <w:t>……………………………</w:t>
      </w:r>
    </w:p>
    <w:p>
      <w:pPr>
        <w:pStyle w:val="Corpsdetexte"/>
        <w:jc w:val="left"/>
        <w:rPr>
          <w:sz w:val="12"/>
          <w:szCs w:val="12"/>
        </w:rPr>
      </w:pPr>
    </w:p>
    <w:p>
      <w:pPr>
        <w:jc w:val="both"/>
        <w:rPr>
          <w:b/>
          <w:sz w:val="20"/>
          <w:szCs w:val="20"/>
        </w:rPr>
      </w:pPr>
      <w:r>
        <w:rPr>
          <w:b/>
          <w:sz w:val="20"/>
          <w:szCs w:val="20"/>
        </w:rPr>
        <w:t xml:space="preserve">Ce document est à délivrer au(x) parent(s) et une copie doit être envoyée à l'organe de représentation et de coordination ou à la commission décentralisée.  Dans le cas où le P.O. n'a pas adhéré à un organe de représentation et de coordination, la copie doit être transmise à </w:t>
      </w:r>
      <w:smartTag w:uri="urn:schemas-microsoft-com:office:smarttags" w:element="PersonName">
        <w:smartTagPr>
          <w:attr w:name="ProductID" w:val="la D.G"/>
        </w:smartTagPr>
        <w:r>
          <w:rPr>
            <w:b/>
            <w:sz w:val="20"/>
            <w:szCs w:val="20"/>
          </w:rPr>
          <w:t>la D.G</w:t>
        </w:r>
      </w:smartTag>
      <w:r>
        <w:rPr>
          <w:b/>
          <w:sz w:val="20"/>
          <w:szCs w:val="20"/>
        </w:rPr>
        <w:t>.E.O., Rue A. Lavallée, 1 – 3ième étage) à 1080 Bruxelles (Service des inscriptions et de l’assistance aux établissements scolaires).</w:t>
      </w:r>
    </w:p>
    <w:p>
      <w:pPr>
        <w:pStyle w:val="annexe"/>
        <w:rPr>
          <w:bCs/>
          <w:iCs/>
          <w:u w:val="single"/>
        </w:rPr>
      </w:pPr>
      <w:r>
        <w:br w:type="page"/>
      </w:r>
      <w:bookmarkStart w:id="2038" w:name="Annexe_224D_2"/>
      <w:bookmarkStart w:id="2039" w:name="_Toc423420181"/>
      <w:bookmarkStart w:id="2040" w:name="_Toc450645430"/>
      <w:bookmarkStart w:id="2041" w:name="_Toc453942669"/>
      <w:bookmarkStart w:id="2042" w:name="_Toc454888286"/>
      <w:bookmarkStart w:id="2043" w:name="_Toc486241907"/>
      <w:bookmarkEnd w:id="2038"/>
      <w:r>
        <w:t>Annexe 2.2.4.D. (2)</w:t>
      </w:r>
      <w:bookmarkEnd w:id="2039"/>
      <w:bookmarkEnd w:id="2040"/>
      <w:bookmarkEnd w:id="2041"/>
      <w:bookmarkEnd w:id="2042"/>
      <w:bookmarkEnd w:id="2043"/>
    </w:p>
    <w:p>
      <w:pPr>
        <w:pStyle w:val="NormalWeb"/>
        <w:spacing w:before="0"/>
        <w:jc w:val="center"/>
        <w:rPr>
          <w:rFonts w:ascii="Arial" w:hAnsi="Arial" w:cs="Arial"/>
          <w:b/>
          <w:bCs/>
          <w:color w:val="auto"/>
          <w:szCs w:val="24"/>
          <w:u w:val="single"/>
        </w:rPr>
      </w:pPr>
      <w:r>
        <w:rPr>
          <w:rFonts w:ascii="Arial" w:hAnsi="Arial" w:cs="Arial"/>
          <w:b/>
          <w:bCs/>
          <w:color w:val="auto"/>
          <w:szCs w:val="24"/>
          <w:u w:val="single"/>
        </w:rPr>
        <w:t>Enseignement officiel subventionné</w:t>
      </w:r>
    </w:p>
    <w:p>
      <w:pPr>
        <w:pStyle w:val="NormalWeb"/>
        <w:spacing w:before="0"/>
        <w:rPr>
          <w:rFonts w:ascii="Arial" w:hAnsi="Arial" w:cs="Arial"/>
          <w:color w:val="auto"/>
          <w:sz w:val="8"/>
          <w:szCs w:val="8"/>
        </w:rPr>
      </w:pPr>
    </w:p>
    <w:p>
      <w:pPr>
        <w:pStyle w:val="NormalWeb"/>
        <w:spacing w:before="0"/>
        <w:rPr>
          <w:rFonts w:ascii="Arial" w:hAnsi="Arial" w:cs="Arial"/>
          <w:b/>
          <w:bCs/>
          <w:color w:val="auto"/>
          <w:sz w:val="20"/>
          <w:szCs w:val="20"/>
          <w:u w:val="single"/>
        </w:rPr>
      </w:pPr>
      <w:r>
        <w:rPr>
          <w:rFonts w:ascii="Arial" w:hAnsi="Arial" w:cs="Arial"/>
          <w:b/>
          <w:bCs/>
          <w:color w:val="auto"/>
          <w:sz w:val="20"/>
          <w:szCs w:val="20"/>
          <w:u w:val="single"/>
        </w:rPr>
        <w:t>Conseil de l'Enseignement des Communes et des Provinces</w:t>
      </w:r>
    </w:p>
    <w:p>
      <w:pPr>
        <w:pStyle w:val="NormalWeb"/>
        <w:spacing w:before="0"/>
        <w:rPr>
          <w:rFonts w:ascii="Arial" w:hAnsi="Arial" w:cs="Arial"/>
          <w:color w:val="auto"/>
          <w:sz w:val="20"/>
          <w:szCs w:val="20"/>
        </w:rPr>
      </w:pPr>
      <w:r>
        <w:rPr>
          <w:rFonts w:ascii="Arial" w:hAnsi="Arial" w:cs="Arial"/>
          <w:color w:val="auto"/>
          <w:sz w:val="20"/>
          <w:szCs w:val="20"/>
        </w:rPr>
        <w:t>Av.des Gaulois,32</w:t>
      </w:r>
    </w:p>
    <w:p>
      <w:pPr>
        <w:pStyle w:val="NormalWeb"/>
        <w:spacing w:before="0"/>
        <w:rPr>
          <w:rFonts w:ascii="Arial" w:hAnsi="Arial" w:cs="Arial"/>
          <w:color w:val="auto"/>
          <w:sz w:val="20"/>
          <w:szCs w:val="20"/>
        </w:rPr>
      </w:pPr>
      <w:r>
        <w:rPr>
          <w:rFonts w:ascii="Arial" w:hAnsi="Arial" w:cs="Arial"/>
          <w:color w:val="auto"/>
          <w:sz w:val="20"/>
          <w:szCs w:val="20"/>
        </w:rPr>
        <w:t>1040 BRUXELLES</w:t>
      </w:r>
    </w:p>
    <w:p>
      <w:pPr>
        <w:pStyle w:val="NormalWeb"/>
        <w:spacing w:before="0"/>
        <w:rPr>
          <w:rFonts w:ascii="Arial" w:hAnsi="Arial" w:cs="Arial"/>
          <w:color w:val="auto"/>
          <w:sz w:val="20"/>
          <w:szCs w:val="20"/>
        </w:rPr>
      </w:pPr>
      <w:r>
        <w:rPr>
          <w:rFonts w:ascii="Arial" w:hAnsi="Arial" w:cs="Arial"/>
          <w:color w:val="auto"/>
          <w:sz w:val="20"/>
          <w:szCs w:val="20"/>
        </w:rPr>
        <w:t>Tél.: 02/736.89.74 - Fax: 02/734.69.71</w:t>
      </w:r>
    </w:p>
    <w:p>
      <w:pPr>
        <w:pStyle w:val="NormalWeb"/>
        <w:spacing w:before="0"/>
        <w:rPr>
          <w:rFonts w:ascii="Arial" w:hAnsi="Arial" w:cs="Arial"/>
          <w:color w:val="auto"/>
          <w:sz w:val="8"/>
          <w:szCs w:val="8"/>
        </w:rPr>
      </w:pPr>
    </w:p>
    <w:p>
      <w:pPr>
        <w:pStyle w:val="NormalWeb"/>
        <w:spacing w:before="0"/>
        <w:jc w:val="center"/>
        <w:rPr>
          <w:rFonts w:ascii="Arial" w:hAnsi="Arial" w:cs="Arial"/>
          <w:b/>
          <w:bCs/>
          <w:color w:val="auto"/>
          <w:szCs w:val="24"/>
          <w:u w:val="single"/>
        </w:rPr>
      </w:pPr>
      <w:r>
        <w:rPr>
          <w:rFonts w:ascii="Arial" w:hAnsi="Arial" w:cs="Arial"/>
          <w:b/>
          <w:bCs/>
          <w:color w:val="auto"/>
          <w:szCs w:val="24"/>
          <w:u w:val="single"/>
        </w:rPr>
        <w:t>Enseignement libre subventionné catholique</w:t>
      </w:r>
    </w:p>
    <w:p>
      <w:pPr>
        <w:pStyle w:val="En-tte"/>
        <w:tabs>
          <w:tab w:val="clear" w:pos="4536"/>
          <w:tab w:val="clear" w:pos="9072"/>
        </w:tabs>
        <w:rPr>
          <w:rFonts w:cs="Arial"/>
          <w:sz w:val="20"/>
          <w:szCs w:val="20"/>
        </w:rPr>
      </w:pPr>
    </w:p>
    <w:tbl>
      <w:tblPr>
        <w:tblW w:w="0" w:type="auto"/>
        <w:tblCellMar>
          <w:left w:w="70" w:type="dxa"/>
          <w:right w:w="70" w:type="dxa"/>
        </w:tblCellMar>
        <w:tblLook w:val="0000" w:firstRow="0" w:lastRow="0" w:firstColumn="0" w:lastColumn="0" w:noHBand="0" w:noVBand="0"/>
      </w:tblPr>
      <w:tblGrid>
        <w:gridCol w:w="4723"/>
        <w:gridCol w:w="4489"/>
      </w:tblGrid>
      <w:tr>
        <w:tc>
          <w:tcPr>
            <w:tcW w:w="4723" w:type="dxa"/>
          </w:tcPr>
          <w:p>
            <w:pPr>
              <w:rPr>
                <w:rFonts w:cs="Arial"/>
                <w:b/>
                <w:bCs/>
                <w:sz w:val="20"/>
                <w:szCs w:val="20"/>
                <w:u w:val="single"/>
              </w:rPr>
            </w:pPr>
            <w:r>
              <w:rPr>
                <w:rFonts w:cs="Arial"/>
                <w:b/>
                <w:bCs/>
                <w:sz w:val="20"/>
                <w:szCs w:val="20"/>
                <w:u w:val="single"/>
              </w:rPr>
              <w:t>Bruxelles et Brabant Wallon</w:t>
            </w:r>
          </w:p>
          <w:p>
            <w:pPr>
              <w:rPr>
                <w:rFonts w:cs="Arial"/>
                <w:sz w:val="20"/>
                <w:szCs w:val="20"/>
              </w:rPr>
            </w:pPr>
            <w:r>
              <w:rPr>
                <w:rFonts w:cs="Arial"/>
                <w:sz w:val="20"/>
                <w:szCs w:val="20"/>
              </w:rPr>
              <w:t>M. Alain DEHAENE</w:t>
            </w:r>
          </w:p>
          <w:p>
            <w:pPr>
              <w:rPr>
                <w:rFonts w:cs="Arial"/>
                <w:sz w:val="20"/>
                <w:szCs w:val="20"/>
              </w:rPr>
            </w:pPr>
            <w:r>
              <w:rPr>
                <w:rFonts w:cs="Arial"/>
                <w:sz w:val="20"/>
                <w:szCs w:val="20"/>
              </w:rPr>
              <w:t>Avenue de l'Eglise Saint Julien, 15</w:t>
            </w:r>
          </w:p>
          <w:p>
            <w:pPr>
              <w:rPr>
                <w:rFonts w:cs="Arial"/>
                <w:sz w:val="20"/>
                <w:szCs w:val="20"/>
              </w:rPr>
            </w:pPr>
            <w:r>
              <w:rPr>
                <w:rFonts w:cs="Arial"/>
                <w:sz w:val="20"/>
                <w:szCs w:val="20"/>
              </w:rPr>
              <w:t>1160 AUDERGHEM</w:t>
            </w:r>
          </w:p>
          <w:p>
            <w:pPr>
              <w:rPr>
                <w:rFonts w:cs="Arial"/>
                <w:sz w:val="20"/>
                <w:szCs w:val="20"/>
              </w:rPr>
            </w:pPr>
            <w:r>
              <w:rPr>
                <w:rFonts w:cs="Arial"/>
                <w:sz w:val="20"/>
                <w:szCs w:val="20"/>
              </w:rPr>
              <w:t>Tél.: 02/663.06.62 - Fax: 02/672.64.32</w:t>
            </w:r>
          </w:p>
          <w:p>
            <w:pPr>
              <w:rPr>
                <w:rFonts w:cs="Arial"/>
                <w:b/>
                <w:sz w:val="20"/>
                <w:szCs w:val="20"/>
                <w:u w:val="single"/>
              </w:rPr>
            </w:pPr>
          </w:p>
          <w:p>
            <w:pPr>
              <w:rPr>
                <w:rFonts w:cs="Arial"/>
                <w:b/>
                <w:sz w:val="20"/>
                <w:szCs w:val="20"/>
                <w:u w:val="single"/>
              </w:rPr>
            </w:pPr>
            <w:r>
              <w:rPr>
                <w:rFonts w:cs="Arial"/>
                <w:b/>
                <w:bCs/>
                <w:sz w:val="20"/>
                <w:szCs w:val="20"/>
                <w:u w:val="single"/>
              </w:rPr>
              <w:t>Province de Liège</w:t>
            </w:r>
          </w:p>
          <w:p>
            <w:pPr>
              <w:rPr>
                <w:rFonts w:cs="Arial"/>
                <w:sz w:val="20"/>
                <w:szCs w:val="20"/>
              </w:rPr>
            </w:pPr>
            <w:r>
              <w:rPr>
                <w:rFonts w:cs="Arial"/>
                <w:sz w:val="20"/>
                <w:szCs w:val="20"/>
              </w:rPr>
              <w:t>M. Jean-François DELSARTE</w:t>
            </w:r>
          </w:p>
          <w:p>
            <w:pPr>
              <w:rPr>
                <w:rFonts w:cs="Arial"/>
                <w:sz w:val="20"/>
                <w:szCs w:val="20"/>
              </w:rPr>
            </w:pPr>
            <w:r>
              <w:rPr>
                <w:rFonts w:cs="Arial"/>
                <w:sz w:val="20"/>
                <w:szCs w:val="20"/>
              </w:rPr>
              <w:t>Boulevard d'Avroy, 17</w:t>
            </w:r>
          </w:p>
          <w:p>
            <w:pPr>
              <w:rPr>
                <w:rFonts w:cs="Arial"/>
                <w:sz w:val="20"/>
                <w:szCs w:val="20"/>
              </w:rPr>
            </w:pPr>
            <w:r>
              <w:rPr>
                <w:rFonts w:cs="Arial"/>
                <w:sz w:val="20"/>
                <w:szCs w:val="20"/>
              </w:rPr>
              <w:t>4000 LIEGE</w:t>
            </w:r>
          </w:p>
          <w:p>
            <w:pPr>
              <w:rPr>
                <w:rFonts w:cs="Arial"/>
                <w:b/>
                <w:sz w:val="20"/>
                <w:szCs w:val="20"/>
                <w:u w:val="single"/>
              </w:rPr>
            </w:pPr>
            <w:r>
              <w:rPr>
                <w:rFonts w:cs="Arial"/>
                <w:sz w:val="20"/>
                <w:szCs w:val="20"/>
              </w:rPr>
              <w:t>Tél.: 04/230.57.06 - Fax: 04/230.57.05</w:t>
            </w:r>
          </w:p>
        </w:tc>
        <w:tc>
          <w:tcPr>
            <w:tcW w:w="4489" w:type="dxa"/>
          </w:tcPr>
          <w:p>
            <w:pPr>
              <w:rPr>
                <w:rFonts w:cs="Arial"/>
                <w:b/>
                <w:sz w:val="20"/>
                <w:szCs w:val="20"/>
                <w:u w:val="single"/>
              </w:rPr>
            </w:pPr>
            <w:r>
              <w:rPr>
                <w:rFonts w:cs="Arial"/>
                <w:b/>
                <w:bCs/>
                <w:sz w:val="20"/>
                <w:szCs w:val="20"/>
                <w:u w:val="single"/>
              </w:rPr>
              <w:t>Province du Hainaut</w:t>
            </w:r>
          </w:p>
          <w:p>
            <w:pPr>
              <w:rPr>
                <w:rFonts w:cs="Arial"/>
                <w:b/>
                <w:sz w:val="20"/>
                <w:szCs w:val="20"/>
              </w:rPr>
            </w:pPr>
            <w:r>
              <w:rPr>
                <w:rFonts w:cs="Arial"/>
                <w:sz w:val="20"/>
                <w:szCs w:val="20"/>
              </w:rPr>
              <w:t>M. François GUILBERT</w:t>
            </w:r>
          </w:p>
          <w:p>
            <w:pPr>
              <w:rPr>
                <w:rFonts w:cs="Arial"/>
                <w:sz w:val="20"/>
                <w:szCs w:val="20"/>
              </w:rPr>
            </w:pPr>
            <w:r>
              <w:rPr>
                <w:rFonts w:cs="Arial"/>
                <w:sz w:val="20"/>
                <w:szCs w:val="20"/>
              </w:rPr>
              <w:t>Chaussée de Binche, 151</w:t>
            </w:r>
          </w:p>
          <w:p>
            <w:pPr>
              <w:pStyle w:val="En-tte"/>
              <w:tabs>
                <w:tab w:val="clear" w:pos="4536"/>
                <w:tab w:val="clear" w:pos="9072"/>
              </w:tabs>
              <w:rPr>
                <w:rFonts w:cs="Arial"/>
                <w:sz w:val="20"/>
                <w:szCs w:val="20"/>
              </w:rPr>
            </w:pPr>
            <w:r>
              <w:rPr>
                <w:rFonts w:cs="Arial"/>
                <w:sz w:val="20"/>
                <w:szCs w:val="20"/>
              </w:rPr>
              <w:t>7000 MONS</w:t>
            </w:r>
          </w:p>
          <w:p>
            <w:pPr>
              <w:rPr>
                <w:rFonts w:cs="Arial"/>
                <w:b/>
                <w:sz w:val="20"/>
                <w:szCs w:val="20"/>
                <w:u w:val="single"/>
              </w:rPr>
            </w:pPr>
            <w:r>
              <w:rPr>
                <w:rFonts w:cs="Arial"/>
                <w:b/>
                <w:sz w:val="20"/>
                <w:szCs w:val="20"/>
              </w:rPr>
              <w:t>Tél.:</w:t>
            </w:r>
            <w:r>
              <w:rPr>
                <w:rFonts w:cs="Arial"/>
                <w:sz w:val="20"/>
                <w:szCs w:val="20"/>
              </w:rPr>
              <w:t xml:space="preserve"> 065/37 73 02 - Fax: 065/37 73 03</w:t>
            </w:r>
          </w:p>
          <w:p>
            <w:pPr>
              <w:pStyle w:val="Textedebulles"/>
              <w:rPr>
                <w:rFonts w:cs="Arial"/>
                <w:b/>
                <w:sz w:val="20"/>
                <w:szCs w:val="20"/>
                <w:u w:val="single"/>
              </w:rPr>
            </w:pPr>
          </w:p>
          <w:p>
            <w:pPr>
              <w:rPr>
                <w:rFonts w:cs="Arial"/>
                <w:b/>
                <w:sz w:val="20"/>
                <w:szCs w:val="20"/>
                <w:u w:val="single"/>
              </w:rPr>
            </w:pPr>
            <w:r>
              <w:rPr>
                <w:rFonts w:cs="Arial"/>
                <w:b/>
                <w:bCs/>
                <w:sz w:val="20"/>
                <w:szCs w:val="20"/>
                <w:u w:val="single"/>
              </w:rPr>
              <w:t>Provinces de Namur et du Luxembourg</w:t>
            </w:r>
          </w:p>
          <w:p>
            <w:pPr>
              <w:rPr>
                <w:rFonts w:cs="Arial"/>
                <w:sz w:val="20"/>
                <w:szCs w:val="20"/>
              </w:rPr>
            </w:pPr>
            <w:r>
              <w:rPr>
                <w:rFonts w:cs="Arial"/>
                <w:sz w:val="20"/>
                <w:szCs w:val="20"/>
              </w:rPr>
              <w:t>M. Yannick PIELTAIN</w:t>
            </w:r>
          </w:p>
          <w:p>
            <w:pPr>
              <w:rPr>
                <w:rFonts w:cs="Arial"/>
                <w:sz w:val="20"/>
                <w:szCs w:val="20"/>
              </w:rPr>
            </w:pPr>
            <w:r>
              <w:rPr>
                <w:rFonts w:cs="Arial"/>
                <w:sz w:val="20"/>
                <w:szCs w:val="20"/>
              </w:rPr>
              <w:t>Rue de l'Evêché, 5</w:t>
            </w:r>
          </w:p>
          <w:p>
            <w:pPr>
              <w:rPr>
                <w:rFonts w:cs="Arial"/>
                <w:sz w:val="20"/>
                <w:szCs w:val="20"/>
              </w:rPr>
            </w:pPr>
            <w:r>
              <w:rPr>
                <w:rFonts w:cs="Arial"/>
                <w:sz w:val="20"/>
                <w:szCs w:val="20"/>
              </w:rPr>
              <w:t>5000 NAMUR</w:t>
            </w:r>
          </w:p>
          <w:p>
            <w:pPr>
              <w:rPr>
                <w:rFonts w:cs="Arial"/>
                <w:b/>
                <w:sz w:val="20"/>
                <w:szCs w:val="20"/>
                <w:u w:val="single"/>
              </w:rPr>
            </w:pPr>
            <w:r>
              <w:rPr>
                <w:rFonts w:cs="Arial"/>
                <w:sz w:val="20"/>
                <w:szCs w:val="20"/>
                <w:u w:val="single"/>
              </w:rPr>
              <w:t>Tél.: 081/25.03.61 – Fax: 081/25.03.69</w:t>
            </w:r>
          </w:p>
        </w:tc>
      </w:tr>
    </w:tbl>
    <w:p>
      <w:pPr>
        <w:pStyle w:val="NormalWeb"/>
        <w:spacing w:before="0"/>
        <w:rPr>
          <w:rFonts w:ascii="Arial" w:hAnsi="Arial" w:cs="Arial"/>
          <w:color w:val="auto"/>
          <w:sz w:val="16"/>
          <w:szCs w:val="16"/>
        </w:rPr>
      </w:pPr>
    </w:p>
    <w:p>
      <w:pPr>
        <w:pStyle w:val="NormalWeb"/>
        <w:spacing w:before="0"/>
        <w:jc w:val="center"/>
        <w:rPr>
          <w:rFonts w:ascii="Arial" w:hAnsi="Arial" w:cs="Arial"/>
          <w:b/>
          <w:bCs/>
          <w:color w:val="auto"/>
          <w:szCs w:val="24"/>
          <w:u w:val="single"/>
        </w:rPr>
      </w:pPr>
      <w:r>
        <w:rPr>
          <w:rFonts w:ascii="Arial" w:hAnsi="Arial" w:cs="Arial"/>
          <w:b/>
          <w:bCs/>
          <w:color w:val="auto"/>
          <w:szCs w:val="24"/>
          <w:u w:val="single"/>
        </w:rPr>
        <w:t>Enseignement libre subventionné non confessionnel</w:t>
      </w:r>
    </w:p>
    <w:p>
      <w:pPr>
        <w:pStyle w:val="NormalWeb"/>
        <w:spacing w:before="0"/>
        <w:rPr>
          <w:rFonts w:ascii="Arial" w:hAnsi="Arial" w:cs="Arial"/>
          <w:color w:val="auto"/>
          <w:sz w:val="8"/>
          <w:szCs w:val="8"/>
        </w:rPr>
      </w:pPr>
    </w:p>
    <w:p>
      <w:pPr>
        <w:pStyle w:val="NormalWeb"/>
        <w:spacing w:before="0"/>
        <w:rPr>
          <w:rFonts w:ascii="Arial" w:hAnsi="Arial" w:cs="Arial"/>
          <w:b/>
          <w:bCs/>
          <w:color w:val="auto"/>
          <w:sz w:val="20"/>
          <w:szCs w:val="20"/>
          <w:u w:val="single"/>
        </w:rPr>
      </w:pPr>
      <w:r>
        <w:rPr>
          <w:rFonts w:ascii="Arial" w:hAnsi="Arial" w:cs="Arial"/>
          <w:b/>
          <w:bCs/>
          <w:color w:val="auto"/>
          <w:sz w:val="20"/>
          <w:szCs w:val="20"/>
          <w:u w:val="single"/>
        </w:rPr>
        <w:t>FELSI</w:t>
      </w:r>
    </w:p>
    <w:p>
      <w:pPr>
        <w:pStyle w:val="NormalWeb"/>
        <w:spacing w:before="0"/>
        <w:rPr>
          <w:rFonts w:ascii="Arial" w:hAnsi="Arial" w:cs="Arial"/>
          <w:color w:val="auto"/>
          <w:sz w:val="20"/>
          <w:szCs w:val="20"/>
        </w:rPr>
      </w:pPr>
      <w:r>
        <w:rPr>
          <w:rFonts w:ascii="Arial" w:hAnsi="Arial" w:cs="Arial"/>
          <w:color w:val="auto"/>
          <w:sz w:val="20"/>
          <w:szCs w:val="20"/>
        </w:rPr>
        <w:t>M. Michel BETTENS, Secrétaire général,</w:t>
      </w:r>
    </w:p>
    <w:p>
      <w:pPr>
        <w:pStyle w:val="NormalWeb"/>
        <w:spacing w:before="0"/>
        <w:rPr>
          <w:rFonts w:ascii="Arial" w:hAnsi="Arial" w:cs="Arial"/>
          <w:color w:val="auto"/>
          <w:sz w:val="20"/>
          <w:szCs w:val="20"/>
        </w:rPr>
      </w:pPr>
      <w:r>
        <w:rPr>
          <w:rFonts w:ascii="Arial" w:hAnsi="Arial" w:cs="Arial"/>
          <w:color w:val="auto"/>
          <w:sz w:val="20"/>
          <w:szCs w:val="20"/>
        </w:rPr>
        <w:t>Avenue Jupiter, 180</w:t>
      </w:r>
    </w:p>
    <w:p>
      <w:pPr>
        <w:pStyle w:val="NormalWeb"/>
        <w:spacing w:before="0"/>
        <w:rPr>
          <w:rFonts w:ascii="Arial" w:hAnsi="Arial" w:cs="Arial"/>
          <w:color w:val="auto"/>
          <w:sz w:val="20"/>
          <w:szCs w:val="20"/>
        </w:rPr>
      </w:pPr>
      <w:r>
        <w:rPr>
          <w:rFonts w:ascii="Arial" w:hAnsi="Arial" w:cs="Arial"/>
          <w:color w:val="auto"/>
          <w:sz w:val="20"/>
          <w:szCs w:val="20"/>
        </w:rPr>
        <w:t>1190 BRUXELLES</w:t>
      </w:r>
    </w:p>
    <w:p>
      <w:pPr>
        <w:pStyle w:val="NormalWeb"/>
        <w:spacing w:before="0"/>
        <w:rPr>
          <w:rFonts w:ascii="Arial" w:hAnsi="Arial" w:cs="Arial"/>
          <w:color w:val="auto"/>
          <w:sz w:val="20"/>
          <w:szCs w:val="20"/>
        </w:rPr>
      </w:pPr>
      <w:r>
        <w:rPr>
          <w:rFonts w:ascii="Arial" w:hAnsi="Arial" w:cs="Arial"/>
          <w:color w:val="auto"/>
          <w:sz w:val="20"/>
          <w:szCs w:val="20"/>
        </w:rPr>
        <w:t>Tél.: 02/527.37.92.- Fax: 02/537.37.91.</w:t>
      </w:r>
    </w:p>
    <w:p>
      <w:pPr>
        <w:pStyle w:val="NormalWeb"/>
        <w:spacing w:before="0"/>
        <w:rPr>
          <w:rFonts w:ascii="Arial" w:hAnsi="Arial" w:cs="Arial"/>
          <w:color w:val="auto"/>
          <w:sz w:val="8"/>
          <w:szCs w:val="8"/>
        </w:rPr>
      </w:pPr>
    </w:p>
    <w:p>
      <w:pPr>
        <w:pStyle w:val="Corpsdetexte"/>
        <w:jc w:val="center"/>
        <w:rPr>
          <w:b/>
          <w:sz w:val="24"/>
          <w:u w:val="single"/>
        </w:rPr>
      </w:pPr>
      <w:r>
        <w:rPr>
          <w:b/>
          <w:sz w:val="24"/>
          <w:u w:val="single"/>
        </w:rPr>
        <w:t xml:space="preserve">Enseignement organisé par </w:t>
      </w:r>
      <w:smartTag w:uri="urn:schemas-microsoft-com:office:smarttags" w:element="PersonName">
        <w:smartTagPr>
          <w:attr w:name="ProductID" w:val="la F￩d￩ration Wallonie-Bruxelles"/>
        </w:smartTagPr>
        <w:r>
          <w:rPr>
            <w:b/>
            <w:sz w:val="24"/>
            <w:u w:val="single"/>
          </w:rPr>
          <w:t>la Fédération Wallonie-Bruxelles</w:t>
        </w:r>
      </w:smartTag>
    </w:p>
    <w:p>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4514"/>
      </w:tblGrid>
      <w:tr>
        <w:trPr>
          <w:trHeight w:val="1441"/>
        </w:trPr>
        <w:tc>
          <w:tcPr>
            <w:tcW w:w="4546" w:type="dxa"/>
          </w:tcPr>
          <w:p>
            <w:pPr>
              <w:ind w:left="1080" w:hanging="1080"/>
              <w:rPr>
                <w:b/>
              </w:rPr>
            </w:pPr>
            <w:r>
              <w:rPr>
                <w:b/>
              </w:rPr>
              <w:t>Zone 1</w:t>
            </w:r>
            <w:r>
              <w:t xml:space="preserve">: </w:t>
            </w:r>
            <w:r>
              <w:tab/>
            </w:r>
            <w:r>
              <w:rPr>
                <w:b/>
              </w:rPr>
              <w:t>Bruxelles-Capitale</w:t>
            </w:r>
          </w:p>
          <w:p>
            <w:pPr>
              <w:ind w:left="1080" w:hanging="1080"/>
              <w:rPr>
                <w:sz w:val="8"/>
                <w:szCs w:val="8"/>
              </w:rPr>
            </w:pPr>
          </w:p>
          <w:p>
            <w:pPr>
              <w:ind w:left="1080" w:hanging="1080"/>
            </w:pPr>
            <w:r>
              <w:rPr>
                <w:b/>
              </w:rPr>
              <w:t xml:space="preserve">Zone 2: </w:t>
            </w:r>
            <w:r>
              <w:rPr>
                <w:b/>
              </w:rPr>
              <w:tab/>
              <w:t>Brabant Wallon</w:t>
            </w:r>
          </w:p>
          <w:p>
            <w:pPr>
              <w:ind w:left="1080" w:hanging="1080"/>
              <w:rPr>
                <w:b/>
              </w:rPr>
            </w:pPr>
          </w:p>
          <w:p>
            <w:pPr>
              <w:tabs>
                <w:tab w:val="left" w:pos="948"/>
              </w:tabs>
            </w:pPr>
          </w:p>
        </w:tc>
        <w:tc>
          <w:tcPr>
            <w:tcW w:w="4514" w:type="dxa"/>
          </w:tcPr>
          <w:p>
            <w:pPr>
              <w:rPr>
                <w:b/>
                <w:lang w:val="fr-BE"/>
              </w:rPr>
            </w:pPr>
            <w:r>
              <w:rPr>
                <w:b/>
                <w:lang w:val="fr-BE"/>
              </w:rPr>
              <w:t>VANDERHEIDEN Renelde</w:t>
            </w:r>
          </w:p>
          <w:p>
            <w:pPr>
              <w:rPr>
                <w:lang w:val="fr-BE"/>
              </w:rPr>
            </w:pPr>
            <w:r>
              <w:rPr>
                <w:lang w:val="fr-BE"/>
              </w:rPr>
              <w:t>SGEFWB</w:t>
            </w:r>
          </w:p>
          <w:p>
            <w:pPr>
              <w:rPr>
                <w:lang w:val="fr-BE"/>
              </w:rPr>
            </w:pPr>
            <w:r>
              <w:rPr>
                <w:lang w:val="fr-BE"/>
              </w:rPr>
              <w:t>Bld du Jardin botanique 20-22 (1G57)</w:t>
            </w:r>
          </w:p>
          <w:p>
            <w:pPr>
              <w:rPr>
                <w:lang w:val="fr-BE"/>
              </w:rPr>
            </w:pPr>
            <w:r>
              <w:rPr>
                <w:lang w:val="fr-BE"/>
              </w:rPr>
              <w:t>1000 Bruxelles</w:t>
            </w:r>
          </w:p>
          <w:p>
            <w:r>
              <w:rPr>
                <w:lang w:val="fr-BE"/>
              </w:rPr>
              <w:t>Tél. : 02/690.81.78 – Fax : 02/690.81.35</w:t>
            </w:r>
          </w:p>
        </w:tc>
      </w:tr>
      <w:tr>
        <w:trPr>
          <w:trHeight w:val="1391"/>
        </w:trPr>
        <w:tc>
          <w:tcPr>
            <w:tcW w:w="4546" w:type="dxa"/>
          </w:tcPr>
          <w:p>
            <w:pPr>
              <w:ind w:left="1080" w:hanging="1080"/>
              <w:rPr>
                <w:b/>
              </w:rPr>
            </w:pPr>
            <w:r>
              <w:rPr>
                <w:b/>
              </w:rPr>
              <w:t>Zone 3:</w:t>
            </w:r>
            <w:r>
              <w:rPr>
                <w:b/>
              </w:rPr>
              <w:tab/>
              <w:t>Huy-Waremme</w:t>
            </w:r>
          </w:p>
          <w:p>
            <w:pPr>
              <w:ind w:left="1080" w:hanging="1080"/>
              <w:rPr>
                <w:b/>
                <w:sz w:val="8"/>
                <w:szCs w:val="8"/>
              </w:rPr>
            </w:pPr>
          </w:p>
          <w:p>
            <w:pPr>
              <w:ind w:left="1080" w:hanging="1080"/>
              <w:rPr>
                <w:b/>
              </w:rPr>
            </w:pPr>
            <w:r>
              <w:rPr>
                <w:b/>
              </w:rPr>
              <w:t>Zone 6:</w:t>
            </w:r>
            <w:r>
              <w:rPr>
                <w:b/>
              </w:rPr>
              <w:tab/>
              <w:t>Namur</w:t>
            </w:r>
          </w:p>
        </w:tc>
        <w:tc>
          <w:tcPr>
            <w:tcW w:w="4514" w:type="dxa"/>
          </w:tcPr>
          <w:p>
            <w:pPr>
              <w:rPr>
                <w:b/>
                <w:lang w:val="fr-BE"/>
              </w:rPr>
            </w:pPr>
            <w:r>
              <w:rPr>
                <w:b/>
                <w:lang w:val="fr-BE"/>
              </w:rPr>
              <w:t>PERAZZO Gianni</w:t>
            </w:r>
          </w:p>
          <w:p>
            <w:pPr>
              <w:rPr>
                <w:lang w:val="fr-BE"/>
              </w:rPr>
            </w:pPr>
            <w:r>
              <w:rPr>
                <w:lang w:val="fr-BE"/>
              </w:rPr>
              <w:t>SGEFWB</w:t>
            </w:r>
          </w:p>
          <w:p>
            <w:pPr>
              <w:rPr>
                <w:lang w:val="fr-BE"/>
              </w:rPr>
            </w:pPr>
            <w:r>
              <w:rPr>
                <w:lang w:val="fr-BE"/>
              </w:rPr>
              <w:t>Bld du Jardin botanique 20-22 (1G13)</w:t>
            </w:r>
          </w:p>
          <w:p>
            <w:pPr>
              <w:rPr>
                <w:lang w:val="fr-BE"/>
              </w:rPr>
            </w:pPr>
            <w:r>
              <w:rPr>
                <w:lang w:val="fr-BE"/>
              </w:rPr>
              <w:t>1000 Bruxelles</w:t>
            </w:r>
          </w:p>
          <w:p>
            <w:pPr>
              <w:rPr>
                <w:b/>
              </w:rPr>
            </w:pPr>
            <w:r>
              <w:rPr>
                <w:lang w:val="fr-BE"/>
              </w:rPr>
              <w:t>Tél. : 02/690.82.88 – Fax : 02/690.81.35</w:t>
            </w:r>
          </w:p>
        </w:tc>
      </w:tr>
      <w:tr>
        <w:trPr>
          <w:trHeight w:val="1141"/>
        </w:trPr>
        <w:tc>
          <w:tcPr>
            <w:tcW w:w="4546" w:type="dxa"/>
          </w:tcPr>
          <w:p>
            <w:pPr>
              <w:ind w:left="1080" w:hanging="1080"/>
              <w:rPr>
                <w:b/>
              </w:rPr>
            </w:pPr>
            <w:r>
              <w:rPr>
                <w:b/>
              </w:rPr>
              <w:t>Zone 4:</w:t>
            </w:r>
            <w:r>
              <w:rPr>
                <w:b/>
              </w:rPr>
              <w:tab/>
              <w:t>Liège</w:t>
            </w:r>
          </w:p>
          <w:p>
            <w:pPr>
              <w:ind w:left="1080" w:hanging="1080"/>
              <w:rPr>
                <w:b/>
                <w:sz w:val="8"/>
                <w:szCs w:val="8"/>
              </w:rPr>
            </w:pPr>
          </w:p>
          <w:p>
            <w:pPr>
              <w:ind w:left="1080" w:hanging="1080"/>
              <w:rPr>
                <w:b/>
              </w:rPr>
            </w:pPr>
            <w:r>
              <w:rPr>
                <w:b/>
              </w:rPr>
              <w:t>Zone 5:</w:t>
            </w:r>
            <w:r>
              <w:rPr>
                <w:b/>
              </w:rPr>
              <w:tab/>
              <w:t xml:space="preserve">Verviers </w:t>
            </w:r>
          </w:p>
          <w:p>
            <w:pPr>
              <w:ind w:left="1080" w:hanging="1080"/>
              <w:rPr>
                <w:b/>
                <w:sz w:val="8"/>
                <w:szCs w:val="8"/>
              </w:rPr>
            </w:pPr>
          </w:p>
          <w:p>
            <w:pPr>
              <w:ind w:left="1080" w:hanging="1080"/>
              <w:rPr>
                <w:b/>
              </w:rPr>
            </w:pPr>
            <w:r>
              <w:rPr>
                <w:b/>
              </w:rPr>
              <w:t>Zone 7:</w:t>
            </w:r>
            <w:r>
              <w:rPr>
                <w:b/>
              </w:rPr>
              <w:tab/>
              <w:t>Luxembourg</w:t>
            </w:r>
          </w:p>
        </w:tc>
        <w:tc>
          <w:tcPr>
            <w:tcW w:w="4514" w:type="dxa"/>
          </w:tcPr>
          <w:p>
            <w:pPr>
              <w:rPr>
                <w:b/>
                <w:lang w:val="en-GB"/>
              </w:rPr>
            </w:pPr>
            <w:r>
              <w:rPr>
                <w:b/>
                <w:lang w:val="en-GB"/>
              </w:rPr>
              <w:t>SLOTA Isabelle</w:t>
            </w:r>
          </w:p>
          <w:p>
            <w:pPr>
              <w:rPr>
                <w:lang w:val="en-GB"/>
              </w:rPr>
            </w:pPr>
            <w:r>
              <w:rPr>
                <w:lang w:val="en-GB"/>
              </w:rPr>
              <w:t>Rue Henri Fays, 37</w:t>
            </w:r>
          </w:p>
          <w:p>
            <w:pPr>
              <w:rPr>
                <w:lang w:val="en-GB"/>
              </w:rPr>
            </w:pPr>
            <w:r>
              <w:rPr>
                <w:lang w:val="en-GB"/>
              </w:rPr>
              <w:t>4130 Anthisnes</w:t>
            </w:r>
          </w:p>
          <w:p>
            <w:r>
              <w:rPr>
                <w:lang w:val="en-GB"/>
              </w:rPr>
              <w:t>Tél. : 0473/59.22.95 – Fax: /</w:t>
            </w:r>
          </w:p>
        </w:tc>
      </w:tr>
      <w:tr>
        <w:trPr>
          <w:trHeight w:val="1540"/>
        </w:trPr>
        <w:tc>
          <w:tcPr>
            <w:tcW w:w="4546" w:type="dxa"/>
          </w:tcPr>
          <w:p>
            <w:pPr>
              <w:ind w:left="1080" w:hanging="1080"/>
              <w:rPr>
                <w:b/>
              </w:rPr>
            </w:pPr>
            <w:r>
              <w:rPr>
                <w:b/>
              </w:rPr>
              <w:t>Zone 8:</w:t>
            </w:r>
            <w:r>
              <w:rPr>
                <w:b/>
              </w:rPr>
              <w:tab/>
              <w:t>Hainaut occidental</w:t>
            </w:r>
          </w:p>
          <w:p>
            <w:pPr>
              <w:ind w:left="1080" w:hanging="1080"/>
              <w:rPr>
                <w:b/>
                <w:sz w:val="8"/>
                <w:szCs w:val="8"/>
              </w:rPr>
            </w:pPr>
          </w:p>
          <w:p>
            <w:pPr>
              <w:ind w:left="1080" w:hanging="1080"/>
              <w:rPr>
                <w:b/>
              </w:rPr>
            </w:pPr>
            <w:r>
              <w:rPr>
                <w:b/>
              </w:rPr>
              <w:t>Zone 9:</w:t>
            </w:r>
            <w:r>
              <w:rPr>
                <w:b/>
              </w:rPr>
              <w:tab/>
              <w:t>Mons – Centre</w:t>
            </w:r>
          </w:p>
          <w:p>
            <w:pPr>
              <w:ind w:left="1080" w:hanging="1080"/>
              <w:rPr>
                <w:b/>
                <w:sz w:val="8"/>
                <w:szCs w:val="8"/>
              </w:rPr>
            </w:pPr>
          </w:p>
          <w:p>
            <w:pPr>
              <w:ind w:left="1080" w:hanging="1080"/>
              <w:rPr>
                <w:b/>
              </w:rPr>
            </w:pPr>
            <w:r>
              <w:rPr>
                <w:b/>
              </w:rPr>
              <w:t>Zone 10:</w:t>
            </w:r>
            <w:r>
              <w:rPr>
                <w:b/>
              </w:rPr>
              <w:tab/>
              <w:t>Charleroi – Hainaut Sud</w:t>
            </w:r>
          </w:p>
        </w:tc>
        <w:tc>
          <w:tcPr>
            <w:tcW w:w="4514" w:type="dxa"/>
          </w:tcPr>
          <w:p>
            <w:pPr>
              <w:rPr>
                <w:b/>
                <w:lang w:val="fr-BE"/>
              </w:rPr>
            </w:pPr>
            <w:r>
              <w:rPr>
                <w:b/>
                <w:lang w:val="fr-BE"/>
              </w:rPr>
              <w:t>DEBAISIEUX Frédéric</w:t>
            </w:r>
          </w:p>
          <w:p>
            <w:pPr>
              <w:rPr>
                <w:lang w:val="fr-BE"/>
              </w:rPr>
            </w:pPr>
            <w:r>
              <w:rPr>
                <w:lang w:val="fr-BE"/>
              </w:rPr>
              <w:t>I.A.C.F. Walter Ravez</w:t>
            </w:r>
          </w:p>
          <w:p>
            <w:pPr>
              <w:rPr>
                <w:lang w:val="fr-BE"/>
              </w:rPr>
            </w:pPr>
            <w:r>
              <w:rPr>
                <w:lang w:val="fr-BE"/>
              </w:rPr>
              <w:t>Quai Vifquin 22-25</w:t>
            </w:r>
          </w:p>
          <w:p>
            <w:pPr>
              <w:rPr>
                <w:lang w:val="fr-BE"/>
              </w:rPr>
            </w:pPr>
            <w:r>
              <w:rPr>
                <w:lang w:val="fr-BE"/>
              </w:rPr>
              <w:t>7500 Tournai</w:t>
            </w:r>
          </w:p>
          <w:p>
            <w:pPr>
              <w:rPr>
                <w:lang w:val="fr-BE"/>
              </w:rPr>
            </w:pPr>
            <w:r>
              <w:rPr>
                <w:lang w:val="fr-BE"/>
              </w:rPr>
              <w:t xml:space="preserve">Tél. : 0468/42.85.36 </w:t>
            </w:r>
            <w:r>
              <w:rPr>
                <w:lang w:val="en-GB"/>
              </w:rPr>
              <w:t>– Fax: /</w:t>
            </w:r>
          </w:p>
          <w:p>
            <w:pPr>
              <w:rPr>
                <w:b/>
                <w:lang w:val="en-GB"/>
              </w:rPr>
            </w:pPr>
          </w:p>
        </w:tc>
      </w:tr>
    </w:tbl>
    <w:p>
      <w:pPr>
        <w:pStyle w:val="annexe"/>
      </w:pPr>
      <w:r>
        <w:br w:type="page"/>
      </w:r>
      <w:bookmarkStart w:id="2044" w:name="Annexe_224E"/>
      <w:bookmarkStart w:id="2045" w:name="_Toc272404494"/>
      <w:bookmarkStart w:id="2046" w:name="_Toc295913863"/>
      <w:bookmarkStart w:id="2047" w:name="_Toc423420182"/>
      <w:bookmarkStart w:id="2048" w:name="_Toc450645431"/>
      <w:bookmarkStart w:id="2049" w:name="_Toc453942670"/>
      <w:bookmarkStart w:id="2050" w:name="_Toc454888287"/>
      <w:bookmarkStart w:id="2051" w:name="_Toc486241908"/>
      <w:bookmarkEnd w:id="2044"/>
      <w:r>
        <w:t>Annexe 2.2.4.E Attestation de manque de locaux disponibles dans une école</w:t>
      </w:r>
      <w:bookmarkEnd w:id="2045"/>
      <w:bookmarkEnd w:id="2046"/>
      <w:bookmarkEnd w:id="2047"/>
      <w:bookmarkEnd w:id="2048"/>
      <w:bookmarkEnd w:id="2049"/>
      <w:bookmarkEnd w:id="2050"/>
      <w:bookmarkEnd w:id="2051"/>
    </w:p>
    <w:p>
      <w:pPr>
        <w:pStyle w:val="Corpsdetexte"/>
        <w:jc w:val="center"/>
      </w:pPr>
    </w:p>
    <w:p>
      <w:pPr>
        <w:pStyle w:val="Corpsdetexte"/>
        <w:jc w:val="center"/>
        <w:rPr>
          <w:b/>
          <w:sz w:val="24"/>
          <w:u w:val="single"/>
        </w:rPr>
      </w:pPr>
      <w:r>
        <w:rPr>
          <w:b/>
          <w:sz w:val="24"/>
          <w:u w:val="single"/>
        </w:rPr>
        <w:t>Enseignement fondamental ordinaire</w:t>
      </w:r>
    </w:p>
    <w:p>
      <w:pPr>
        <w:pStyle w:val="Corpsdetexte"/>
        <w:jc w:val="center"/>
        <w:rPr>
          <w:b/>
          <w:sz w:val="24"/>
          <w:u w:val="single"/>
        </w:rPr>
      </w:pPr>
    </w:p>
    <w:p>
      <w:pPr>
        <w:jc w:val="center"/>
        <w:rPr>
          <w:i/>
        </w:rPr>
      </w:pPr>
      <w:r>
        <w:rPr>
          <w:i/>
        </w:rPr>
        <w:t>(Application de l’article 88 du Décret-Missions concernant le manque de places disponibles)</w:t>
      </w:r>
    </w:p>
    <w:p>
      <w:pPr>
        <w:pStyle w:val="Corpsdetexte"/>
        <w:jc w:val="left"/>
      </w:pPr>
    </w:p>
    <w:p>
      <w:pPr>
        <w:pStyle w:val="Corpsdetexte"/>
        <w:jc w:val="left"/>
      </w:pPr>
    </w:p>
    <w:p>
      <w:pPr>
        <w:pStyle w:val="Corpsdetexte"/>
        <w:jc w:val="left"/>
      </w:pPr>
    </w:p>
    <w:p>
      <w:pPr>
        <w:pStyle w:val="Corpsdetexte"/>
        <w:jc w:val="left"/>
      </w:pPr>
      <w:r>
        <w:t>Cachet de l’école et mention de son adresse:</w:t>
      </w:r>
    </w:p>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Style w:val="Corpsdetexte"/>
        <w:jc w:val="left"/>
      </w:pPr>
      <w:r>
        <w:t>Pouvoir organisateur: ……………………..………. ………………………………………………………………</w:t>
      </w:r>
    </w:p>
    <w:p>
      <w:pPr>
        <w:pStyle w:val="Corpsdetexte"/>
        <w:jc w:val="left"/>
      </w:pPr>
    </w:p>
    <w:p>
      <w:pPr>
        <w:pStyle w:val="Corpsdetexte"/>
        <w:jc w:val="left"/>
      </w:pPr>
    </w:p>
    <w:p>
      <w:pPr>
        <w:pStyle w:val="Corpsdetexte"/>
        <w:jc w:val="left"/>
      </w:pPr>
      <w:r>
        <w:t xml:space="preserve">Je soussigné(e): ………………………………………………, Chef d'établissement, </w:t>
      </w:r>
    </w:p>
    <w:p>
      <w:pPr>
        <w:pStyle w:val="Corpsdetexte"/>
        <w:jc w:val="left"/>
      </w:pPr>
    </w:p>
    <w:p>
      <w:pPr>
        <w:pStyle w:val="Corpsdetexte"/>
      </w:pPr>
      <w:r>
        <w:t xml:space="preserve">atteste que l’école ne pourra plus, </w:t>
      </w:r>
      <w:r>
        <w:rPr>
          <w:b/>
        </w:rPr>
        <w:t>en raison de l’insuffisance des locaux disponibles</w:t>
      </w:r>
      <w:r>
        <w:t>, accepter aucune demande d’inscription (sauf en cas de désistement) dans les années d'études suivantes, au cours de l'année scolaire 20.… - 20.…:</w:t>
      </w:r>
    </w:p>
    <w:p>
      <w:pPr>
        <w:pStyle w:val="Corpsdetexte"/>
        <w:jc w:val="left"/>
      </w:pPr>
    </w:p>
    <w:p>
      <w:pPr>
        <w:pStyle w:val="Corpsdetexte"/>
        <w:jc w:val="left"/>
      </w:pPr>
    </w:p>
    <w:tbl>
      <w:tblPr>
        <w:tblW w:w="0" w:type="auto"/>
        <w:tblInd w:w="1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71"/>
        <w:gridCol w:w="2729"/>
      </w:tblGrid>
      <w:tr>
        <w:trPr>
          <w:trHeight w:hRule="exact" w:val="340"/>
        </w:trPr>
        <w:tc>
          <w:tcPr>
            <w:tcW w:w="2671" w:type="dxa"/>
            <w:vAlign w:val="center"/>
          </w:tcPr>
          <w:p>
            <w:pPr>
              <w:pStyle w:val="Corpsdetexte"/>
              <w:jc w:val="center"/>
              <w:rPr>
                <w:b/>
              </w:rPr>
            </w:pPr>
            <w:r>
              <w:rPr>
                <w:b/>
              </w:rPr>
              <w:t>Niveau</w:t>
            </w:r>
          </w:p>
        </w:tc>
        <w:tc>
          <w:tcPr>
            <w:tcW w:w="2729" w:type="dxa"/>
            <w:vAlign w:val="center"/>
          </w:tcPr>
          <w:p>
            <w:pPr>
              <w:pStyle w:val="Corpsdetexte"/>
              <w:jc w:val="center"/>
              <w:rPr>
                <w:b/>
              </w:rPr>
            </w:pPr>
            <w:r>
              <w:rPr>
                <w:b/>
              </w:rPr>
              <w:t>Année d'études</w:t>
            </w:r>
          </w:p>
        </w:tc>
      </w:tr>
      <w:tr>
        <w:trPr>
          <w:trHeight w:hRule="exact" w:val="340"/>
        </w:trPr>
        <w:tc>
          <w:tcPr>
            <w:tcW w:w="2671" w:type="dxa"/>
            <w:vAlign w:val="center"/>
          </w:tcPr>
          <w:p>
            <w:pPr>
              <w:pStyle w:val="Corpsdetexte"/>
              <w:jc w:val="center"/>
              <w:rPr>
                <w:vertAlign w:val="subscript"/>
              </w:rPr>
            </w:pPr>
            <w:r>
              <w:t>Maternel – Primaire</w:t>
            </w:r>
          </w:p>
        </w:tc>
        <w:tc>
          <w:tcPr>
            <w:tcW w:w="2729" w:type="dxa"/>
            <w:vAlign w:val="center"/>
          </w:tcPr>
          <w:p>
            <w:pPr>
              <w:pStyle w:val="Corpsdetexte"/>
              <w:jc w:val="center"/>
            </w:pPr>
          </w:p>
        </w:tc>
      </w:tr>
      <w:tr>
        <w:trPr>
          <w:trHeight w:hRule="exact" w:val="340"/>
        </w:trPr>
        <w:tc>
          <w:tcPr>
            <w:tcW w:w="2671" w:type="dxa"/>
            <w:vAlign w:val="center"/>
          </w:tcPr>
          <w:p>
            <w:pPr>
              <w:pStyle w:val="Corpsdetexte"/>
              <w:jc w:val="center"/>
              <w:rPr>
                <w:vertAlign w:val="subscript"/>
              </w:rPr>
            </w:pPr>
            <w:r>
              <w:t>Maternel – Primaire</w:t>
            </w:r>
          </w:p>
        </w:tc>
        <w:tc>
          <w:tcPr>
            <w:tcW w:w="2729" w:type="dxa"/>
            <w:vAlign w:val="center"/>
          </w:tcPr>
          <w:p>
            <w:pPr>
              <w:pStyle w:val="Corpsdetexte"/>
              <w:jc w:val="center"/>
            </w:pPr>
          </w:p>
        </w:tc>
      </w:tr>
      <w:tr>
        <w:trPr>
          <w:trHeight w:hRule="exact" w:val="340"/>
        </w:trPr>
        <w:tc>
          <w:tcPr>
            <w:tcW w:w="2671" w:type="dxa"/>
            <w:vAlign w:val="center"/>
          </w:tcPr>
          <w:p>
            <w:pPr>
              <w:pStyle w:val="Corpsdetexte"/>
              <w:jc w:val="center"/>
              <w:rPr>
                <w:vertAlign w:val="subscript"/>
              </w:rPr>
            </w:pPr>
            <w:r>
              <w:t>Maternel – Primaire</w:t>
            </w:r>
          </w:p>
        </w:tc>
        <w:tc>
          <w:tcPr>
            <w:tcW w:w="2729" w:type="dxa"/>
            <w:vAlign w:val="center"/>
          </w:tcPr>
          <w:p>
            <w:pPr>
              <w:pStyle w:val="Corpsdetexte"/>
              <w:jc w:val="center"/>
            </w:pPr>
          </w:p>
        </w:tc>
      </w:tr>
      <w:tr>
        <w:trPr>
          <w:trHeight w:hRule="exact" w:val="340"/>
        </w:trPr>
        <w:tc>
          <w:tcPr>
            <w:tcW w:w="2671" w:type="dxa"/>
            <w:vAlign w:val="center"/>
          </w:tcPr>
          <w:p>
            <w:pPr>
              <w:pStyle w:val="Corpsdetexte"/>
              <w:jc w:val="center"/>
              <w:rPr>
                <w:vertAlign w:val="subscript"/>
              </w:rPr>
            </w:pPr>
            <w:r>
              <w:t>Maternel – Primaire</w:t>
            </w:r>
          </w:p>
        </w:tc>
        <w:tc>
          <w:tcPr>
            <w:tcW w:w="2729" w:type="dxa"/>
            <w:vAlign w:val="center"/>
          </w:tcPr>
          <w:p>
            <w:pPr>
              <w:pStyle w:val="Corpsdetexte"/>
              <w:jc w:val="center"/>
            </w:pPr>
          </w:p>
        </w:tc>
      </w:tr>
      <w:tr>
        <w:trPr>
          <w:trHeight w:hRule="exact" w:val="340"/>
        </w:trPr>
        <w:tc>
          <w:tcPr>
            <w:tcW w:w="2671" w:type="dxa"/>
            <w:vAlign w:val="center"/>
          </w:tcPr>
          <w:p>
            <w:pPr>
              <w:pStyle w:val="Corpsdetexte"/>
              <w:jc w:val="center"/>
              <w:rPr>
                <w:vertAlign w:val="subscript"/>
              </w:rPr>
            </w:pPr>
            <w:r>
              <w:t>Maternel – Primaire</w:t>
            </w:r>
          </w:p>
        </w:tc>
        <w:tc>
          <w:tcPr>
            <w:tcW w:w="2729" w:type="dxa"/>
            <w:vAlign w:val="center"/>
          </w:tcPr>
          <w:p>
            <w:pPr>
              <w:pStyle w:val="Corpsdetexte"/>
              <w:jc w:val="center"/>
            </w:pPr>
          </w:p>
        </w:tc>
      </w:tr>
      <w:tr>
        <w:trPr>
          <w:trHeight w:hRule="exact" w:val="340"/>
        </w:trPr>
        <w:tc>
          <w:tcPr>
            <w:tcW w:w="2671" w:type="dxa"/>
            <w:vAlign w:val="center"/>
          </w:tcPr>
          <w:p>
            <w:pPr>
              <w:pStyle w:val="Corpsdetexte"/>
              <w:jc w:val="center"/>
              <w:rPr>
                <w:vertAlign w:val="subscript"/>
              </w:rPr>
            </w:pPr>
            <w:r>
              <w:t>Maternel – Primaire</w:t>
            </w:r>
          </w:p>
        </w:tc>
        <w:tc>
          <w:tcPr>
            <w:tcW w:w="2729" w:type="dxa"/>
            <w:vAlign w:val="center"/>
          </w:tcPr>
          <w:p>
            <w:pPr>
              <w:pStyle w:val="Corpsdetexte"/>
              <w:jc w:val="center"/>
            </w:pPr>
          </w:p>
        </w:tc>
      </w:tr>
    </w:tbl>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Style w:val="Corpsdetexte"/>
        <w:jc w:val="left"/>
      </w:pPr>
      <w:r>
        <w:t>Date et signature:</w:t>
      </w:r>
    </w:p>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Style w:val="Corpsdetexte"/>
        <w:jc w:val="left"/>
      </w:pPr>
    </w:p>
    <w:p>
      <w:pPr>
        <w:pBdr>
          <w:top w:val="single" w:sz="4" w:space="1" w:color="auto"/>
          <w:left w:val="single" w:sz="4" w:space="4" w:color="auto"/>
          <w:bottom w:val="single" w:sz="4" w:space="1" w:color="auto"/>
          <w:right w:val="single" w:sz="4" w:space="4" w:color="auto"/>
        </w:pBdr>
        <w:jc w:val="center"/>
      </w:pPr>
      <w:r>
        <w:rPr>
          <w:smallCaps/>
          <w:sz w:val="20"/>
        </w:rPr>
        <w:t xml:space="preserve">Ce document est à adresser à </w:t>
      </w:r>
      <w:smartTag w:uri="urn:schemas-microsoft-com:office:smarttags" w:element="PersonName">
        <w:smartTagPr>
          <w:attr w:name="ProductID" w:val="LA DIRECTION GENERALE"/>
        </w:smartTagPr>
        <w:r>
          <w:rPr>
            <w:smallCaps/>
            <w:sz w:val="20"/>
          </w:rPr>
          <w:t>la Direction Générale</w:t>
        </w:r>
      </w:smartTag>
      <w:r>
        <w:rPr>
          <w:smallCaps/>
          <w:sz w:val="20"/>
        </w:rPr>
        <w:t xml:space="preserve"> de l’Enseignement Obligatoire:</w:t>
      </w:r>
    </w:p>
    <w:p>
      <w:pPr>
        <w:pBdr>
          <w:top w:val="single" w:sz="4" w:space="1" w:color="auto"/>
          <w:left w:val="single" w:sz="4" w:space="4" w:color="auto"/>
          <w:bottom w:val="single" w:sz="4" w:space="1" w:color="auto"/>
          <w:right w:val="single" w:sz="4" w:space="4" w:color="auto"/>
        </w:pBdr>
        <w:jc w:val="center"/>
        <w:rPr>
          <w:smallCaps/>
          <w:sz w:val="20"/>
        </w:rPr>
      </w:pPr>
      <w:r>
        <w:rPr>
          <w:smallCaps/>
          <w:sz w:val="20"/>
        </w:rPr>
        <w:t>service des inscriptions et de l’assistance aux etablisements scolaires</w:t>
      </w:r>
    </w:p>
    <w:p>
      <w:pPr>
        <w:pBdr>
          <w:top w:val="single" w:sz="4" w:space="1" w:color="auto"/>
          <w:left w:val="single" w:sz="4" w:space="4" w:color="auto"/>
          <w:bottom w:val="single" w:sz="4" w:space="1" w:color="auto"/>
          <w:right w:val="single" w:sz="4" w:space="4" w:color="auto"/>
        </w:pBdr>
        <w:jc w:val="center"/>
        <w:rPr>
          <w:smallCaps/>
          <w:sz w:val="20"/>
        </w:rPr>
      </w:pPr>
      <w:r>
        <w:rPr>
          <w:smallCaps/>
          <w:sz w:val="20"/>
        </w:rPr>
        <w:t>rue Adolphe Lavallée, 1 – 3ème étage</w:t>
      </w:r>
    </w:p>
    <w:p>
      <w:pPr>
        <w:pBdr>
          <w:top w:val="single" w:sz="4" w:space="1" w:color="auto"/>
          <w:left w:val="single" w:sz="4" w:space="4" w:color="auto"/>
          <w:bottom w:val="single" w:sz="4" w:space="1" w:color="auto"/>
          <w:right w:val="single" w:sz="4" w:space="4" w:color="auto"/>
        </w:pBdr>
        <w:jc w:val="center"/>
      </w:pPr>
      <w:r>
        <w:rPr>
          <w:smallCaps/>
          <w:sz w:val="20"/>
        </w:rPr>
        <w:t>1080 Bruxelles</w:t>
      </w:r>
    </w:p>
    <w:p/>
    <w:p/>
    <w:p>
      <w:pPr>
        <w:pStyle w:val="Titre40"/>
        <w:spacing w:after="0"/>
        <w:rPr>
          <w:smallCaps w:val="0"/>
          <w:spacing w:val="0"/>
          <w:sz w:val="20"/>
          <w:lang w:val="fr-FR"/>
        </w:rPr>
      </w:pPr>
    </w:p>
    <w:p>
      <w:pPr>
        <w:rPr>
          <w:sz w:val="16"/>
          <w:szCs w:val="16"/>
        </w:rPr>
      </w:pPr>
    </w:p>
    <w:p>
      <w:pPr>
        <w:rPr>
          <w:rFonts w:cs="Arial"/>
          <w:sz w:val="2"/>
          <w:szCs w:val="15"/>
        </w:rPr>
      </w:pPr>
      <w:r>
        <w:br w:type="page"/>
      </w:r>
      <w:bookmarkStart w:id="2052" w:name="_Annexe_2.2.A."/>
      <w:bookmarkEnd w:id="1979"/>
      <w:bookmarkEnd w:id="1980"/>
      <w:bookmarkEnd w:id="2052"/>
    </w:p>
    <w:p>
      <w:pPr>
        <w:pStyle w:val="annexe"/>
      </w:pPr>
      <w:bookmarkStart w:id="2053" w:name="_Annexe_2.1.5."/>
      <w:bookmarkStart w:id="2054" w:name="_Toc165786186"/>
      <w:bookmarkStart w:id="2055" w:name="_Toc265141665"/>
      <w:bookmarkStart w:id="2056" w:name="Annexe_23A"/>
      <w:bookmarkStart w:id="2057" w:name="_Toc295913864"/>
      <w:bookmarkStart w:id="2058" w:name="_Toc423420183"/>
      <w:bookmarkStart w:id="2059" w:name="_Toc450645432"/>
      <w:bookmarkStart w:id="2060" w:name="_Toc453942671"/>
      <w:bookmarkStart w:id="2061" w:name="_Toc454888288"/>
      <w:bookmarkStart w:id="2062" w:name="_Toc486241909"/>
      <w:bookmarkEnd w:id="2053"/>
      <w:r>
        <w:t>Annexe 2.3.A.</w:t>
      </w:r>
      <w:bookmarkEnd w:id="2054"/>
      <w:bookmarkEnd w:id="2055"/>
      <w:r>
        <w:t xml:space="preserve"> </w:t>
      </w:r>
      <w:bookmarkEnd w:id="2056"/>
      <w:r>
        <w:t>Demande de dérogation d’âge – Attestation d’avis de la direction de l’école</w:t>
      </w:r>
      <w:bookmarkEnd w:id="2057"/>
      <w:bookmarkEnd w:id="2058"/>
      <w:bookmarkEnd w:id="2059"/>
      <w:bookmarkEnd w:id="2060"/>
      <w:bookmarkEnd w:id="2061"/>
      <w:bookmarkEnd w:id="2062"/>
    </w:p>
    <w:p>
      <w:pPr>
        <w:pStyle w:val="Corpsdetexte2"/>
        <w:rPr>
          <w:b/>
          <w:highlight w:val="red"/>
        </w:rPr>
      </w:pPr>
    </w:p>
    <w:p>
      <w:pPr>
        <w:autoSpaceDE w:val="0"/>
        <w:autoSpaceDN w:val="0"/>
        <w:adjustRightInd w:val="0"/>
        <w:spacing w:before="120"/>
        <w:jc w:val="both"/>
        <w:rPr>
          <w:rFonts w:cs="Arial"/>
          <w:szCs w:val="22"/>
        </w:rPr>
      </w:pPr>
      <w:r>
        <w:rPr>
          <w:rFonts w:cs="Arial"/>
          <w:szCs w:val="22"/>
        </w:rPr>
        <w:t>Application de l’article 1er, § 4 et § 4bis</w:t>
      </w:r>
      <w:r>
        <w:rPr>
          <w:rFonts w:cs="Arial"/>
          <w:i/>
          <w:iCs/>
          <w:szCs w:val="22"/>
        </w:rPr>
        <w:t xml:space="preserve"> </w:t>
      </w:r>
      <w:r>
        <w:rPr>
          <w:rFonts w:cs="Arial"/>
          <w:szCs w:val="22"/>
        </w:rPr>
        <w:t>de la loi du 29 juin 1983 concernant l’obligation scolaire.</w:t>
      </w:r>
    </w:p>
    <w:p>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tc>
          <w:tcPr>
            <w:tcW w:w="9779" w:type="dxa"/>
            <w:shd w:val="pct10" w:color="auto" w:fill="auto"/>
          </w:tcPr>
          <w:p>
            <w:pPr>
              <w:jc w:val="center"/>
              <w:rPr>
                <w:b/>
                <w:szCs w:val="22"/>
              </w:rPr>
            </w:pPr>
          </w:p>
          <w:p>
            <w:pPr>
              <w:jc w:val="center"/>
              <w:rPr>
                <w:b/>
                <w:szCs w:val="22"/>
              </w:rPr>
            </w:pPr>
            <w:r>
              <w:rPr>
                <w:b/>
                <w:szCs w:val="22"/>
              </w:rPr>
              <w:t>ATTESTATION D’AVIS</w:t>
            </w:r>
          </w:p>
          <w:p>
            <w:pPr>
              <w:jc w:val="center"/>
              <w:rPr>
                <w:b/>
                <w:szCs w:val="22"/>
              </w:rPr>
            </w:pPr>
          </w:p>
        </w:tc>
      </w:tr>
    </w:tbl>
    <w:p>
      <w:pPr>
        <w:rPr>
          <w:szCs w:val="22"/>
        </w:rPr>
      </w:pPr>
    </w:p>
    <w:p>
      <w:pPr>
        <w:autoSpaceDE w:val="0"/>
        <w:autoSpaceDN w:val="0"/>
        <w:adjustRightInd w:val="0"/>
        <w:rPr>
          <w:rFonts w:cs="Arial"/>
          <w:szCs w:val="22"/>
        </w:rPr>
      </w:pPr>
      <w:r>
        <w:rPr>
          <w:rFonts w:cs="Arial"/>
          <w:szCs w:val="22"/>
        </w:rPr>
        <w:t>Je soussigné(e)...................................................................................... directeur,</w:t>
      </w:r>
    </w:p>
    <w:p>
      <w:pPr>
        <w:autoSpaceDE w:val="0"/>
        <w:autoSpaceDN w:val="0"/>
        <w:adjustRightInd w:val="0"/>
        <w:rPr>
          <w:rFonts w:cs="Arial"/>
          <w:szCs w:val="22"/>
        </w:rPr>
      </w:pPr>
      <w:r>
        <w:rPr>
          <w:rFonts w:cs="Arial"/>
          <w:szCs w:val="22"/>
        </w:rPr>
        <w:t>atteste que les parents de l’élève ou les personnes visées à l’article 1er, de la loi précitée,</w:t>
      </w:r>
    </w:p>
    <w:p>
      <w:pPr>
        <w:autoSpaceDE w:val="0"/>
        <w:autoSpaceDN w:val="0"/>
        <w:adjustRightInd w:val="0"/>
        <w:rPr>
          <w:rFonts w:cs="Arial"/>
          <w:szCs w:val="22"/>
        </w:rPr>
      </w:pPr>
      <w:r>
        <w:rPr>
          <w:rFonts w:cs="Arial"/>
          <w:szCs w:val="22"/>
        </w:rPr>
        <w:t>nom de l’élève :.......................................................................................................</w:t>
      </w:r>
    </w:p>
    <w:p>
      <w:pPr>
        <w:autoSpaceDE w:val="0"/>
        <w:autoSpaceDN w:val="0"/>
        <w:adjustRightInd w:val="0"/>
        <w:rPr>
          <w:rFonts w:cs="Arial"/>
          <w:szCs w:val="22"/>
        </w:rPr>
      </w:pPr>
      <w:r>
        <w:rPr>
          <w:rFonts w:cs="Arial"/>
          <w:szCs w:val="22"/>
        </w:rPr>
        <w:t>né(e) le :..................................................................................................................</w:t>
      </w:r>
    </w:p>
    <w:p>
      <w:pPr>
        <w:autoSpaceDE w:val="0"/>
        <w:autoSpaceDN w:val="0"/>
        <w:adjustRightInd w:val="0"/>
        <w:rPr>
          <w:rFonts w:cs="Arial"/>
          <w:szCs w:val="22"/>
        </w:rPr>
      </w:pPr>
      <w:r>
        <w:rPr>
          <w:rFonts w:cs="Arial"/>
          <w:szCs w:val="22"/>
        </w:rPr>
        <w:t>se trouvant, durant l’année scolaire ................. en (année d’études)................</w:t>
      </w:r>
    </w:p>
    <w:p>
      <w:pPr>
        <w:autoSpaceDE w:val="0"/>
        <w:autoSpaceDN w:val="0"/>
        <w:adjustRightInd w:val="0"/>
        <w:rPr>
          <w:rFonts w:cs="Arial"/>
          <w:szCs w:val="22"/>
        </w:rPr>
      </w:pPr>
      <w:r>
        <w:rPr>
          <w:rFonts w:cs="Arial"/>
          <w:szCs w:val="22"/>
        </w:rPr>
        <w:t>dans mon établissement :</w:t>
      </w:r>
    </w:p>
    <w:p>
      <w:pPr>
        <w:autoSpaceDE w:val="0"/>
        <w:autoSpaceDN w:val="0"/>
        <w:adjustRightInd w:val="0"/>
        <w:rPr>
          <w:rFonts w:cs="Arial"/>
          <w:i/>
          <w:iCs/>
          <w:szCs w:val="22"/>
        </w:rPr>
      </w:pPr>
    </w:p>
    <w:p>
      <w:pPr>
        <w:autoSpaceDE w:val="0"/>
        <w:autoSpaceDN w:val="0"/>
        <w:adjustRightInd w:val="0"/>
        <w:rPr>
          <w:rFonts w:cs="Arial"/>
          <w:i/>
          <w:iCs/>
          <w:szCs w:val="22"/>
        </w:rPr>
      </w:pPr>
      <w:r>
        <w:rPr>
          <w:rFonts w:cs="Arial"/>
          <w:i/>
          <w:iCs/>
          <w:szCs w:val="22"/>
        </w:rPr>
        <w:t>Dénomination et adresse complète de l’école fréquentée l’année scolaire qui précède celle pour laquelle une dérogation est demandée :</w:t>
      </w:r>
    </w:p>
    <w:p>
      <w:pPr>
        <w:autoSpaceDE w:val="0"/>
        <w:autoSpaceDN w:val="0"/>
        <w:adjustRightInd w:val="0"/>
        <w:rPr>
          <w:rFonts w:cs="Arial"/>
          <w:szCs w:val="22"/>
        </w:rPr>
      </w:pPr>
      <w:r>
        <w:rPr>
          <w:rFonts w:cs="Arial"/>
          <w:szCs w:val="22"/>
        </w:rPr>
        <w:t>................................................................................................................</w:t>
      </w:r>
    </w:p>
    <w:p>
      <w:pPr>
        <w:autoSpaceDE w:val="0"/>
        <w:autoSpaceDN w:val="0"/>
        <w:adjustRightInd w:val="0"/>
        <w:rPr>
          <w:rFonts w:cs="Arial"/>
          <w:szCs w:val="22"/>
        </w:rPr>
      </w:pPr>
      <w:r>
        <w:rPr>
          <w:rFonts w:cs="Arial"/>
          <w:szCs w:val="22"/>
        </w:rPr>
        <w:t>................................................................................................................</w:t>
      </w:r>
    </w:p>
    <w:p>
      <w:pPr>
        <w:autoSpaceDE w:val="0"/>
        <w:autoSpaceDN w:val="0"/>
        <w:adjustRightInd w:val="0"/>
        <w:rPr>
          <w:rFonts w:cs="Arial"/>
          <w:szCs w:val="22"/>
        </w:rPr>
      </w:pPr>
    </w:p>
    <w:p>
      <w:pPr>
        <w:autoSpaceDE w:val="0"/>
        <w:autoSpaceDN w:val="0"/>
        <w:adjustRightInd w:val="0"/>
        <w:jc w:val="center"/>
        <w:rPr>
          <w:rFonts w:cs="Arial"/>
          <w:szCs w:val="22"/>
        </w:rPr>
      </w:pPr>
      <w:r>
        <w:rPr>
          <w:rFonts w:cs="Arial"/>
          <w:szCs w:val="22"/>
        </w:rPr>
        <w:t>ont obtenu de ma part un avis</w:t>
      </w:r>
    </w:p>
    <w:p>
      <w:pPr>
        <w:autoSpaceDE w:val="0"/>
        <w:autoSpaceDN w:val="0"/>
        <w:adjustRightInd w:val="0"/>
        <w:jc w:val="center"/>
        <w:rPr>
          <w:rFonts w:cs="Arial"/>
          <w:szCs w:val="22"/>
        </w:rPr>
      </w:pPr>
    </w:p>
    <w:p>
      <w:pPr>
        <w:autoSpaceDE w:val="0"/>
        <w:autoSpaceDN w:val="0"/>
        <w:adjustRightInd w:val="0"/>
        <w:jc w:val="center"/>
        <w:rPr>
          <w:rFonts w:cs="Arial"/>
          <w:szCs w:val="22"/>
        </w:rPr>
      </w:pPr>
      <w:r>
        <w:rPr>
          <w:rFonts w:cs="Arial"/>
          <w:b/>
          <w:szCs w:val="22"/>
        </w:rPr>
        <w:t>favorable-défavorable</w:t>
      </w:r>
      <w:r>
        <w:rPr>
          <w:rFonts w:cs="Arial"/>
          <w:szCs w:val="22"/>
        </w:rPr>
        <w:t xml:space="preserve"> (1)</w:t>
      </w:r>
    </w:p>
    <w:p>
      <w:pPr>
        <w:autoSpaceDE w:val="0"/>
        <w:autoSpaceDN w:val="0"/>
        <w:adjustRightInd w:val="0"/>
        <w:jc w:val="center"/>
        <w:rPr>
          <w:rFonts w:cs="Arial"/>
          <w:szCs w:val="22"/>
        </w:rPr>
      </w:pPr>
    </w:p>
    <w:p>
      <w:pPr>
        <w:autoSpaceDE w:val="0"/>
        <w:autoSpaceDN w:val="0"/>
        <w:adjustRightInd w:val="0"/>
        <w:jc w:val="center"/>
        <w:rPr>
          <w:rFonts w:cs="Arial"/>
          <w:szCs w:val="22"/>
        </w:rPr>
      </w:pPr>
    </w:p>
    <w:p>
      <w:pPr>
        <w:pStyle w:val="Paragraphedeliste"/>
        <w:numPr>
          <w:ilvl w:val="0"/>
          <w:numId w:val="181"/>
        </w:numPr>
        <w:spacing w:after="200" w:line="276" w:lineRule="auto"/>
        <w:contextualSpacing/>
        <w:jc w:val="both"/>
        <w:rPr>
          <w:rFonts w:cs="Arial"/>
          <w:szCs w:val="22"/>
        </w:rPr>
      </w:pPr>
      <w:r>
        <w:rPr>
          <w:rFonts w:cs="Arial"/>
          <w:szCs w:val="22"/>
        </w:rPr>
        <w:t xml:space="preserve">Concernant l’opportunité de fréquenter la première année de l’enseignement primaire dès l’âge de cinq ans; </w:t>
      </w:r>
    </w:p>
    <w:p>
      <w:pPr>
        <w:pStyle w:val="Paragraphedeliste"/>
        <w:jc w:val="both"/>
        <w:rPr>
          <w:rFonts w:cs="Arial"/>
          <w:szCs w:val="22"/>
        </w:rPr>
      </w:pPr>
    </w:p>
    <w:p>
      <w:pPr>
        <w:pStyle w:val="Paragraphedeliste"/>
        <w:numPr>
          <w:ilvl w:val="0"/>
          <w:numId w:val="181"/>
        </w:numPr>
        <w:spacing w:after="200" w:line="276" w:lineRule="auto"/>
        <w:contextualSpacing/>
        <w:jc w:val="both"/>
        <w:rPr>
          <w:rFonts w:cs="Arial"/>
          <w:b/>
          <w:szCs w:val="22"/>
        </w:rPr>
      </w:pPr>
      <w:r>
        <w:rPr>
          <w:rFonts w:cs="Arial"/>
          <w:szCs w:val="22"/>
        </w:rPr>
        <w:t xml:space="preserve">Concernant l’opportunité de fréquenter l’enseignement maternel au cours de la première année de scolarité obligatoire, auquel cas il est tenu de fréquenter régulièrement l’école ; </w:t>
      </w:r>
      <w:r>
        <w:rPr>
          <w:rFonts w:cs="Arial"/>
          <w:b/>
          <w:szCs w:val="22"/>
        </w:rPr>
        <w:t xml:space="preserve">cet avis est </w:t>
      </w:r>
      <w:r>
        <w:rPr>
          <w:rFonts w:cs="Arial"/>
          <w:b/>
          <w:szCs w:val="22"/>
          <w:u w:val="single"/>
        </w:rPr>
        <w:t>obligatoirement accompagné</w:t>
      </w:r>
      <w:r>
        <w:rPr>
          <w:rFonts w:cs="Arial"/>
          <w:b/>
          <w:szCs w:val="22"/>
        </w:rPr>
        <w:t xml:space="preserve"> du dossier différencié d’apprentissage reprenant, pour l’élève concerné, les éléments motivés décrit à l’article 7 de l’arrêté du 8 mars 2017.</w:t>
      </w:r>
    </w:p>
    <w:p>
      <w:pPr>
        <w:pStyle w:val="Paragraphedeliste"/>
        <w:jc w:val="both"/>
        <w:rPr>
          <w:rFonts w:cs="Arial"/>
          <w:szCs w:val="22"/>
        </w:rPr>
      </w:pPr>
    </w:p>
    <w:p>
      <w:pPr>
        <w:pStyle w:val="Paragraphedeliste"/>
        <w:numPr>
          <w:ilvl w:val="0"/>
          <w:numId w:val="181"/>
        </w:numPr>
        <w:spacing w:after="200" w:line="276" w:lineRule="auto"/>
        <w:contextualSpacing/>
        <w:jc w:val="both"/>
        <w:rPr>
          <w:rFonts w:cs="Arial"/>
          <w:szCs w:val="22"/>
        </w:rPr>
      </w:pPr>
      <w:r>
        <w:rPr>
          <w:rFonts w:cs="Arial"/>
          <w:szCs w:val="22"/>
        </w:rPr>
        <w:t xml:space="preserve">Concernant l’opportunité de fréquenter l’enseignement primaire pendant une huitième année, auquel cas il peut, au cours de cette huitième année, être admis en sixième année; </w:t>
      </w:r>
    </w:p>
    <w:p>
      <w:pPr>
        <w:pStyle w:val="Paragraphedeliste"/>
        <w:rPr>
          <w:rFonts w:cs="Arial"/>
          <w:szCs w:val="22"/>
        </w:rPr>
      </w:pPr>
    </w:p>
    <w:p>
      <w:pPr>
        <w:pStyle w:val="Paragraphedeliste"/>
        <w:numPr>
          <w:ilvl w:val="0"/>
          <w:numId w:val="181"/>
        </w:numPr>
        <w:spacing w:after="200" w:line="276" w:lineRule="auto"/>
        <w:contextualSpacing/>
        <w:jc w:val="both"/>
        <w:rPr>
          <w:rFonts w:cs="Arial"/>
          <w:szCs w:val="22"/>
        </w:rPr>
      </w:pPr>
      <w:r>
        <w:rPr>
          <w:rFonts w:cs="Arial"/>
          <w:szCs w:val="22"/>
        </w:rPr>
        <w:t xml:space="preserve">Concernant l’opportunité de fréquenter l’enseignement primaire pendant une neuvième année à la suite d’une maladie de longue durée. </w:t>
      </w:r>
    </w:p>
    <w:p>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w:t>
      </w:r>
    </w:p>
    <w:p>
      <w:pPr>
        <w:autoSpaceDE w:val="0"/>
        <w:autoSpaceDN w:val="0"/>
        <w:adjustRightInd w:val="0"/>
        <w:jc w:val="both"/>
        <w:rPr>
          <w:rFonts w:cs="Arial"/>
          <w:szCs w:val="22"/>
        </w:rPr>
      </w:pPr>
    </w:p>
    <w:p>
      <w:pPr>
        <w:autoSpaceDE w:val="0"/>
        <w:autoSpaceDN w:val="0"/>
        <w:adjustRightInd w:val="0"/>
        <w:rPr>
          <w:rFonts w:cs="Arial"/>
          <w:szCs w:val="22"/>
        </w:rPr>
      </w:pPr>
      <w:r>
        <w:rPr>
          <w:rFonts w:cs="Arial"/>
          <w:szCs w:val="22"/>
        </w:rPr>
        <w:t>le....................................</w:t>
      </w:r>
    </w:p>
    <w:p>
      <w:pPr>
        <w:autoSpaceDE w:val="0"/>
        <w:autoSpaceDN w:val="0"/>
        <w:adjustRightInd w:val="0"/>
        <w:rPr>
          <w:rFonts w:cs="Arial"/>
          <w:szCs w:val="22"/>
        </w:rPr>
      </w:pPr>
    </w:p>
    <w:p>
      <w:pPr>
        <w:autoSpaceDE w:val="0"/>
        <w:autoSpaceDN w:val="0"/>
        <w:adjustRightInd w:val="0"/>
        <w:rPr>
          <w:rFonts w:cs="Arial"/>
          <w:szCs w:val="22"/>
        </w:rPr>
      </w:pPr>
      <w:r>
        <w:rPr>
          <w:rFonts w:cs="Arial"/>
          <w:szCs w:val="22"/>
        </w:rPr>
        <w:t>Le Directeur,</w:t>
      </w: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rPr>
          <w:highlight w:val="red"/>
        </w:rPr>
      </w:pPr>
      <w:r>
        <w:rPr>
          <w:rFonts w:cs="Arial"/>
          <w:szCs w:val="22"/>
        </w:rPr>
        <w:t>(1) Biffer la mention inutile</w:t>
      </w:r>
    </w:p>
    <w:p>
      <w:pPr>
        <w:pStyle w:val="annexe"/>
      </w:pPr>
      <w:bookmarkStart w:id="2063" w:name="_Annexe_2.2.B."/>
      <w:bookmarkStart w:id="2064" w:name="_Toc165786187"/>
      <w:bookmarkStart w:id="2065" w:name="_Toc265141666"/>
      <w:bookmarkStart w:id="2066" w:name="_Toc295913865"/>
      <w:bookmarkEnd w:id="2063"/>
      <w:r>
        <w:rPr>
          <w:highlight w:val="red"/>
        </w:rPr>
        <w:br w:type="page"/>
      </w:r>
      <w:bookmarkStart w:id="2067" w:name="Annexe_23B"/>
      <w:bookmarkStart w:id="2068" w:name="_Toc423420184"/>
      <w:bookmarkStart w:id="2069" w:name="_Toc450645433"/>
      <w:bookmarkStart w:id="2070" w:name="_Toc453942672"/>
      <w:bookmarkStart w:id="2071" w:name="_Toc454888289"/>
      <w:bookmarkStart w:id="2072" w:name="_Toc486241910"/>
      <w:r>
        <w:t>Annexe 2.3.B.</w:t>
      </w:r>
      <w:bookmarkEnd w:id="2064"/>
      <w:bookmarkEnd w:id="2065"/>
      <w:r>
        <w:t xml:space="preserve"> </w:t>
      </w:r>
      <w:bookmarkEnd w:id="2067"/>
      <w:r>
        <w:t>Demande de dérogation d’âge – Avis du CPMS</w:t>
      </w:r>
      <w:bookmarkEnd w:id="2066"/>
      <w:bookmarkEnd w:id="2068"/>
      <w:bookmarkEnd w:id="2069"/>
      <w:bookmarkEnd w:id="2070"/>
      <w:bookmarkEnd w:id="2071"/>
      <w:bookmarkEnd w:id="2072"/>
    </w:p>
    <w:p>
      <w:pPr>
        <w:pStyle w:val="Corpsdetexte2"/>
        <w:rPr>
          <w:highlight w:val="red"/>
        </w:rPr>
      </w:pPr>
    </w:p>
    <w:p>
      <w:pPr>
        <w:autoSpaceDE w:val="0"/>
        <w:autoSpaceDN w:val="0"/>
        <w:adjustRightInd w:val="0"/>
        <w:spacing w:before="120"/>
        <w:jc w:val="both"/>
        <w:rPr>
          <w:rFonts w:cs="Arial"/>
          <w:szCs w:val="22"/>
        </w:rPr>
      </w:pPr>
      <w:r>
        <w:rPr>
          <w:rFonts w:cs="Arial"/>
          <w:szCs w:val="22"/>
        </w:rPr>
        <w:t>Application de l’article 1er, § 4 et § 4bis de la loi du 29 juin 1983 concernant l’obligation scolaire.</w:t>
      </w:r>
    </w:p>
    <w:p>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tc>
          <w:tcPr>
            <w:tcW w:w="9779" w:type="dxa"/>
            <w:shd w:val="pct10" w:color="auto" w:fill="auto"/>
          </w:tcPr>
          <w:p>
            <w:pPr>
              <w:jc w:val="center"/>
              <w:rPr>
                <w:b/>
                <w:szCs w:val="22"/>
              </w:rPr>
            </w:pPr>
          </w:p>
          <w:p>
            <w:pPr>
              <w:jc w:val="center"/>
              <w:rPr>
                <w:b/>
                <w:szCs w:val="22"/>
              </w:rPr>
            </w:pPr>
            <w:r>
              <w:rPr>
                <w:b/>
                <w:szCs w:val="22"/>
              </w:rPr>
              <w:t>ATTESTATION D’AVIS</w:t>
            </w:r>
          </w:p>
          <w:p>
            <w:pPr>
              <w:jc w:val="center"/>
              <w:rPr>
                <w:b/>
                <w:szCs w:val="22"/>
              </w:rPr>
            </w:pPr>
          </w:p>
        </w:tc>
      </w:tr>
    </w:tbl>
    <w:p>
      <w:pPr>
        <w:rPr>
          <w:szCs w:val="22"/>
        </w:rPr>
      </w:pPr>
    </w:p>
    <w:p>
      <w:pPr>
        <w:autoSpaceDE w:val="0"/>
        <w:autoSpaceDN w:val="0"/>
        <w:adjustRightInd w:val="0"/>
        <w:jc w:val="both"/>
        <w:rPr>
          <w:rFonts w:cs="Arial"/>
          <w:szCs w:val="22"/>
        </w:rPr>
      </w:pPr>
      <w:r>
        <w:rPr>
          <w:rFonts w:cs="Arial"/>
          <w:szCs w:val="22"/>
        </w:rPr>
        <w:t>Je soussigné(e)...................................................................................... directeur du centre P.M.S, atteste que les parents de l’élève ou les personnes visées à l’article 1</w:t>
      </w:r>
      <w:r>
        <w:rPr>
          <w:rFonts w:cs="Arial"/>
          <w:szCs w:val="22"/>
          <w:vertAlign w:val="superscript"/>
        </w:rPr>
        <w:t>er</w:t>
      </w:r>
      <w:r>
        <w:rPr>
          <w:rFonts w:cs="Arial"/>
          <w:szCs w:val="22"/>
        </w:rPr>
        <w:t>, de la loi précitée,</w:t>
      </w:r>
    </w:p>
    <w:p>
      <w:pPr>
        <w:autoSpaceDE w:val="0"/>
        <w:autoSpaceDN w:val="0"/>
        <w:adjustRightInd w:val="0"/>
        <w:rPr>
          <w:rFonts w:cs="Arial"/>
          <w:szCs w:val="22"/>
        </w:rPr>
      </w:pPr>
    </w:p>
    <w:p>
      <w:pPr>
        <w:autoSpaceDE w:val="0"/>
        <w:autoSpaceDN w:val="0"/>
        <w:adjustRightInd w:val="0"/>
        <w:rPr>
          <w:rFonts w:cs="Arial"/>
          <w:szCs w:val="22"/>
        </w:rPr>
      </w:pPr>
      <w:r>
        <w:rPr>
          <w:rFonts w:cs="Arial"/>
          <w:szCs w:val="22"/>
        </w:rPr>
        <w:t>nom de l’élève :.......................................................................................................</w:t>
      </w:r>
    </w:p>
    <w:p>
      <w:pPr>
        <w:autoSpaceDE w:val="0"/>
        <w:autoSpaceDN w:val="0"/>
        <w:adjustRightInd w:val="0"/>
        <w:rPr>
          <w:rFonts w:cs="Arial"/>
          <w:szCs w:val="22"/>
        </w:rPr>
      </w:pPr>
      <w:r>
        <w:rPr>
          <w:rFonts w:cs="Arial"/>
          <w:szCs w:val="22"/>
        </w:rPr>
        <w:t>né(e) le :..................................................................................................................</w:t>
      </w: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jc w:val="center"/>
        <w:rPr>
          <w:rFonts w:cs="Arial"/>
          <w:szCs w:val="22"/>
        </w:rPr>
      </w:pPr>
      <w:r>
        <w:rPr>
          <w:rFonts w:cs="Arial"/>
          <w:szCs w:val="22"/>
        </w:rPr>
        <w:t>ont obtenu de ma part un avis</w:t>
      </w:r>
    </w:p>
    <w:p>
      <w:pPr>
        <w:autoSpaceDE w:val="0"/>
        <w:autoSpaceDN w:val="0"/>
        <w:adjustRightInd w:val="0"/>
        <w:jc w:val="center"/>
        <w:rPr>
          <w:rFonts w:cs="Arial"/>
          <w:szCs w:val="22"/>
        </w:rPr>
      </w:pPr>
    </w:p>
    <w:p>
      <w:pPr>
        <w:autoSpaceDE w:val="0"/>
        <w:autoSpaceDN w:val="0"/>
        <w:adjustRightInd w:val="0"/>
        <w:jc w:val="center"/>
        <w:rPr>
          <w:rFonts w:cs="Arial"/>
          <w:szCs w:val="22"/>
        </w:rPr>
      </w:pPr>
      <w:r>
        <w:rPr>
          <w:rFonts w:cs="Arial"/>
          <w:b/>
          <w:szCs w:val="22"/>
        </w:rPr>
        <w:t>favorable-défavorable</w:t>
      </w:r>
      <w:r>
        <w:rPr>
          <w:rFonts w:cs="Arial"/>
          <w:szCs w:val="22"/>
        </w:rPr>
        <w:t xml:space="preserve"> (1)</w:t>
      </w:r>
    </w:p>
    <w:p>
      <w:pPr>
        <w:autoSpaceDE w:val="0"/>
        <w:autoSpaceDN w:val="0"/>
        <w:adjustRightInd w:val="0"/>
        <w:jc w:val="center"/>
        <w:rPr>
          <w:rFonts w:cs="Arial"/>
          <w:szCs w:val="22"/>
        </w:rPr>
      </w:pPr>
    </w:p>
    <w:p>
      <w:pPr>
        <w:autoSpaceDE w:val="0"/>
        <w:autoSpaceDN w:val="0"/>
        <w:adjustRightInd w:val="0"/>
        <w:jc w:val="center"/>
        <w:rPr>
          <w:rFonts w:cs="Arial"/>
          <w:szCs w:val="22"/>
        </w:rPr>
      </w:pPr>
      <w:r>
        <w:rPr>
          <w:rFonts w:cs="Arial"/>
          <w:szCs w:val="22"/>
        </w:rPr>
        <w:t>Concernant</w:t>
      </w:r>
    </w:p>
    <w:p>
      <w:pPr>
        <w:autoSpaceDE w:val="0"/>
        <w:autoSpaceDN w:val="0"/>
        <w:adjustRightInd w:val="0"/>
        <w:jc w:val="center"/>
        <w:rPr>
          <w:rFonts w:cs="Arial"/>
          <w:szCs w:val="22"/>
        </w:rPr>
      </w:pPr>
    </w:p>
    <w:p>
      <w:pPr>
        <w:autoSpaceDE w:val="0"/>
        <w:autoSpaceDN w:val="0"/>
        <w:adjustRightInd w:val="0"/>
        <w:jc w:val="center"/>
        <w:rPr>
          <w:rFonts w:cs="Arial"/>
          <w:szCs w:val="22"/>
        </w:rPr>
      </w:pPr>
    </w:p>
    <w:p>
      <w:pPr>
        <w:numPr>
          <w:ilvl w:val="0"/>
          <w:numId w:val="182"/>
        </w:numPr>
        <w:autoSpaceDE w:val="0"/>
        <w:autoSpaceDN w:val="0"/>
        <w:adjustRightInd w:val="0"/>
        <w:jc w:val="both"/>
        <w:rPr>
          <w:rFonts w:cs="Arial"/>
          <w:szCs w:val="22"/>
        </w:rPr>
      </w:pPr>
      <w:r>
        <w:rPr>
          <w:rFonts w:cs="Arial"/>
          <w:szCs w:val="22"/>
        </w:rPr>
        <w:t xml:space="preserve">l’opportunité de fréquenter la première année de l’enseignement primaire dès l’âge de cinq ans ; </w:t>
      </w:r>
    </w:p>
    <w:p>
      <w:pPr>
        <w:autoSpaceDE w:val="0"/>
        <w:autoSpaceDN w:val="0"/>
        <w:adjustRightInd w:val="0"/>
        <w:jc w:val="both"/>
        <w:rPr>
          <w:rFonts w:cs="Arial"/>
          <w:szCs w:val="22"/>
        </w:rPr>
      </w:pPr>
    </w:p>
    <w:p>
      <w:pPr>
        <w:autoSpaceDE w:val="0"/>
        <w:autoSpaceDN w:val="0"/>
        <w:adjustRightInd w:val="0"/>
        <w:jc w:val="both"/>
        <w:rPr>
          <w:rFonts w:cs="Arial"/>
          <w:szCs w:val="22"/>
        </w:rPr>
      </w:pPr>
    </w:p>
    <w:p>
      <w:pPr>
        <w:numPr>
          <w:ilvl w:val="0"/>
          <w:numId w:val="182"/>
        </w:numPr>
        <w:autoSpaceDE w:val="0"/>
        <w:autoSpaceDN w:val="0"/>
        <w:adjustRightInd w:val="0"/>
        <w:jc w:val="both"/>
        <w:rPr>
          <w:rFonts w:cs="Arial"/>
          <w:b/>
          <w:szCs w:val="22"/>
        </w:rPr>
      </w:pPr>
      <w:r>
        <w:rPr>
          <w:rFonts w:cs="Arial"/>
          <w:szCs w:val="22"/>
        </w:rPr>
        <w:t>l’opportunité de fréquenter l’enseignement maternel au cours de la première année de scolarité obligatoire, auquel cas il est tenu de fréquenter régulièrement l’école ;</w:t>
      </w:r>
    </w:p>
    <w:p>
      <w:pPr>
        <w:autoSpaceDE w:val="0"/>
        <w:autoSpaceDN w:val="0"/>
        <w:adjustRightInd w:val="0"/>
        <w:jc w:val="both"/>
        <w:rPr>
          <w:rFonts w:cs="Arial"/>
          <w:szCs w:val="22"/>
        </w:rPr>
      </w:pPr>
    </w:p>
    <w:p>
      <w:pPr>
        <w:autoSpaceDE w:val="0"/>
        <w:autoSpaceDN w:val="0"/>
        <w:adjustRightInd w:val="0"/>
        <w:jc w:val="both"/>
        <w:rPr>
          <w:rFonts w:cs="Arial"/>
          <w:szCs w:val="22"/>
        </w:rPr>
      </w:pPr>
    </w:p>
    <w:p>
      <w:pPr>
        <w:numPr>
          <w:ilvl w:val="0"/>
          <w:numId w:val="182"/>
        </w:numPr>
        <w:autoSpaceDE w:val="0"/>
        <w:autoSpaceDN w:val="0"/>
        <w:adjustRightInd w:val="0"/>
        <w:jc w:val="both"/>
        <w:rPr>
          <w:rFonts w:cs="Arial"/>
          <w:szCs w:val="22"/>
        </w:rPr>
      </w:pPr>
      <w:r>
        <w:rPr>
          <w:rFonts w:cs="Arial"/>
          <w:szCs w:val="22"/>
        </w:rPr>
        <w:t xml:space="preserve">l’opportunité de fréquenter l’enseignement primaire pendant une huitième année, auquel cas il peut, au cours de cette huitième année, être admis en sixième année ; </w:t>
      </w:r>
    </w:p>
    <w:p>
      <w:pPr>
        <w:autoSpaceDE w:val="0"/>
        <w:autoSpaceDN w:val="0"/>
        <w:adjustRightInd w:val="0"/>
        <w:jc w:val="both"/>
        <w:rPr>
          <w:rFonts w:cs="Arial"/>
          <w:szCs w:val="22"/>
        </w:rPr>
      </w:pPr>
    </w:p>
    <w:p>
      <w:pPr>
        <w:autoSpaceDE w:val="0"/>
        <w:autoSpaceDN w:val="0"/>
        <w:adjustRightInd w:val="0"/>
        <w:jc w:val="both"/>
        <w:rPr>
          <w:rFonts w:cs="Arial"/>
          <w:szCs w:val="22"/>
        </w:rPr>
      </w:pPr>
    </w:p>
    <w:p>
      <w:pPr>
        <w:numPr>
          <w:ilvl w:val="0"/>
          <w:numId w:val="182"/>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w:t>
      </w:r>
    </w:p>
    <w:p>
      <w:pPr>
        <w:autoSpaceDE w:val="0"/>
        <w:autoSpaceDN w:val="0"/>
        <w:adjustRightInd w:val="0"/>
        <w:jc w:val="both"/>
        <w:rPr>
          <w:rFonts w:cs="Arial"/>
          <w:szCs w:val="22"/>
        </w:rPr>
      </w:pP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L’avis a été remis aux parents ou aux personnes visées à l’article 1</w:t>
      </w:r>
      <w:r>
        <w:rPr>
          <w:rFonts w:cs="Arial"/>
          <w:szCs w:val="22"/>
          <w:vertAlign w:val="superscript"/>
        </w:rPr>
        <w:t>er</w:t>
      </w:r>
      <w:r>
        <w:rPr>
          <w:rFonts w:cs="Arial"/>
          <w:szCs w:val="22"/>
        </w:rPr>
        <w:t xml:space="preserve"> le .....................</w:t>
      </w:r>
    </w:p>
    <w:p>
      <w:pPr>
        <w:autoSpaceDE w:val="0"/>
        <w:autoSpaceDN w:val="0"/>
        <w:adjustRightInd w:val="0"/>
        <w:jc w:val="both"/>
        <w:rPr>
          <w:rFonts w:cs="Arial"/>
          <w:szCs w:val="22"/>
        </w:rPr>
      </w:pPr>
    </w:p>
    <w:p>
      <w:pPr>
        <w:autoSpaceDE w:val="0"/>
        <w:autoSpaceDN w:val="0"/>
        <w:adjustRightInd w:val="0"/>
        <w:jc w:val="both"/>
        <w:rPr>
          <w:rFonts w:cs="Arial"/>
          <w:szCs w:val="22"/>
        </w:rPr>
      </w:pPr>
    </w:p>
    <w:p>
      <w:pPr>
        <w:autoSpaceDE w:val="0"/>
        <w:autoSpaceDN w:val="0"/>
        <w:adjustRightInd w:val="0"/>
        <w:rPr>
          <w:rFonts w:cs="Arial"/>
          <w:szCs w:val="22"/>
        </w:rPr>
      </w:pPr>
      <w:r>
        <w:rPr>
          <w:rFonts w:cs="Arial"/>
          <w:szCs w:val="22"/>
        </w:rPr>
        <w:t>le....................................</w:t>
      </w:r>
    </w:p>
    <w:p>
      <w:pPr>
        <w:autoSpaceDE w:val="0"/>
        <w:autoSpaceDN w:val="0"/>
        <w:adjustRightInd w:val="0"/>
        <w:rPr>
          <w:rFonts w:cs="Arial"/>
          <w:szCs w:val="22"/>
        </w:rPr>
      </w:pPr>
    </w:p>
    <w:p>
      <w:pPr>
        <w:autoSpaceDE w:val="0"/>
        <w:autoSpaceDN w:val="0"/>
        <w:adjustRightInd w:val="0"/>
        <w:rPr>
          <w:rFonts w:cs="Arial"/>
          <w:szCs w:val="22"/>
        </w:rPr>
      </w:pPr>
      <w:r>
        <w:rPr>
          <w:rFonts w:cs="Arial"/>
          <w:szCs w:val="22"/>
        </w:rPr>
        <w:t>Le Directeur,</w:t>
      </w: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autoSpaceDE w:val="0"/>
        <w:autoSpaceDN w:val="0"/>
        <w:adjustRightInd w:val="0"/>
        <w:rPr>
          <w:rFonts w:cs="Arial"/>
          <w:szCs w:val="22"/>
        </w:rPr>
      </w:pPr>
    </w:p>
    <w:p>
      <w:pPr>
        <w:rPr>
          <w:highlight w:val="red"/>
        </w:rPr>
      </w:pPr>
      <w:r>
        <w:rPr>
          <w:rFonts w:cs="Arial"/>
          <w:szCs w:val="22"/>
        </w:rPr>
        <w:t>(1) Biffer la mention inutile.</w:t>
      </w:r>
    </w:p>
    <w:p>
      <w:pPr>
        <w:rPr>
          <w:highlight w:val="red"/>
        </w:rPr>
      </w:pPr>
    </w:p>
    <w:p>
      <w:pPr>
        <w:rPr>
          <w:b/>
          <w:highlight w:val="red"/>
        </w:rPr>
      </w:pPr>
    </w:p>
    <w:p>
      <w:pPr>
        <w:pStyle w:val="annexe"/>
      </w:pPr>
      <w:bookmarkStart w:id="2073" w:name="_Annexe_2.2.C."/>
      <w:bookmarkStart w:id="2074" w:name="_Toc165786188"/>
      <w:bookmarkStart w:id="2075" w:name="_Toc265141667"/>
      <w:bookmarkStart w:id="2076" w:name="_Toc295913866"/>
      <w:bookmarkEnd w:id="2073"/>
      <w:r>
        <w:rPr>
          <w:highlight w:val="red"/>
        </w:rPr>
        <w:br w:type="page"/>
      </w:r>
      <w:bookmarkStart w:id="2077" w:name="Annexe_23C"/>
      <w:bookmarkStart w:id="2078" w:name="_Toc423420185"/>
      <w:bookmarkStart w:id="2079" w:name="_Toc450645434"/>
      <w:bookmarkStart w:id="2080" w:name="_Toc453942673"/>
      <w:bookmarkStart w:id="2081" w:name="_Toc454888290"/>
      <w:bookmarkStart w:id="2082" w:name="_Toc486241911"/>
      <w:r>
        <w:t>Annexe 2.3.C.</w:t>
      </w:r>
      <w:bookmarkEnd w:id="2074"/>
      <w:bookmarkEnd w:id="2075"/>
      <w:r>
        <w:t xml:space="preserve"> </w:t>
      </w:r>
      <w:bookmarkEnd w:id="2077"/>
      <w:r>
        <w:t>Demande de dérogation d’âge – Déclaration des parents</w:t>
      </w:r>
      <w:bookmarkEnd w:id="2076"/>
      <w:bookmarkEnd w:id="2078"/>
      <w:bookmarkEnd w:id="2079"/>
      <w:bookmarkEnd w:id="2080"/>
      <w:bookmarkEnd w:id="2081"/>
      <w:bookmarkEnd w:id="2082"/>
    </w:p>
    <w:p>
      <w:pPr>
        <w:jc w:val="center"/>
        <w:rPr>
          <w:sz w:val="16"/>
          <w:highlight w:val="red"/>
        </w:rPr>
      </w:pPr>
    </w:p>
    <w:p>
      <w:pPr>
        <w:autoSpaceDE w:val="0"/>
        <w:autoSpaceDN w:val="0"/>
        <w:adjustRightInd w:val="0"/>
        <w:spacing w:before="120"/>
        <w:jc w:val="both"/>
        <w:rPr>
          <w:rFonts w:cs="Arial"/>
          <w:szCs w:val="22"/>
        </w:rPr>
      </w:pPr>
      <w:bookmarkStart w:id="2083" w:name="_Annexe_2.3.A."/>
      <w:bookmarkEnd w:id="2083"/>
      <w:r>
        <w:rPr>
          <w:rFonts w:cs="Arial"/>
          <w:szCs w:val="22"/>
        </w:rPr>
        <w:t>Application de l’article 1er, § 4</w:t>
      </w:r>
      <w:r>
        <w:rPr>
          <w:rFonts w:cs="Arial"/>
          <w:i/>
          <w:iCs/>
          <w:szCs w:val="22"/>
        </w:rPr>
        <w:t xml:space="preserve"> </w:t>
      </w:r>
      <w:r>
        <w:rPr>
          <w:rFonts w:cs="Arial"/>
          <w:szCs w:val="22"/>
        </w:rPr>
        <w:t>et § 4bis de la loi du 29 juin 1983 concernant l’obligation scolaire.</w:t>
      </w:r>
    </w:p>
    <w:p>
      <w:pPr>
        <w:jc w:val="center"/>
        <w:rPr>
          <w:szCs w:val="22"/>
        </w:rPr>
      </w:pPr>
    </w:p>
    <w:tbl>
      <w:tblPr>
        <w:tblW w:w="0" w:type="auto"/>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9779"/>
      </w:tblGrid>
      <w:tr>
        <w:tc>
          <w:tcPr>
            <w:tcW w:w="9779" w:type="dxa"/>
            <w:shd w:val="pct10" w:color="auto" w:fill="auto"/>
          </w:tcPr>
          <w:p>
            <w:pPr>
              <w:jc w:val="center"/>
              <w:rPr>
                <w:b/>
                <w:szCs w:val="22"/>
              </w:rPr>
            </w:pPr>
          </w:p>
          <w:p>
            <w:pPr>
              <w:jc w:val="center"/>
              <w:rPr>
                <w:b/>
                <w:szCs w:val="22"/>
              </w:rPr>
            </w:pPr>
            <w:r>
              <w:rPr>
                <w:b/>
                <w:szCs w:val="22"/>
              </w:rPr>
              <w:t>DECLARATION DU CHEF DE FAMILLE</w:t>
            </w:r>
          </w:p>
          <w:p>
            <w:pPr>
              <w:jc w:val="center"/>
              <w:rPr>
                <w:b/>
                <w:szCs w:val="22"/>
              </w:rPr>
            </w:pPr>
          </w:p>
        </w:tc>
      </w:tr>
    </w:tbl>
    <w:p>
      <w:pPr>
        <w:rPr>
          <w:szCs w:val="22"/>
        </w:rPr>
      </w:pPr>
    </w:p>
    <w:p>
      <w:pPr>
        <w:autoSpaceDE w:val="0"/>
        <w:autoSpaceDN w:val="0"/>
        <w:adjustRightInd w:val="0"/>
        <w:jc w:val="center"/>
        <w:rPr>
          <w:rFonts w:cs="Arial"/>
          <w:b/>
          <w:szCs w:val="22"/>
        </w:rPr>
      </w:pPr>
    </w:p>
    <w:p>
      <w:pPr>
        <w:autoSpaceDE w:val="0"/>
        <w:autoSpaceDN w:val="0"/>
        <w:adjustRightInd w:val="0"/>
        <w:jc w:val="both"/>
        <w:rPr>
          <w:rFonts w:cs="Arial"/>
          <w:szCs w:val="22"/>
        </w:rPr>
      </w:pPr>
      <w:r>
        <w:rPr>
          <w:rFonts w:cs="Arial"/>
          <w:szCs w:val="22"/>
        </w:rPr>
        <w:t>Je soussigné(e)</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(nom en lettres capitales, prénoms) :......................................................................</w:t>
      </w:r>
    </w:p>
    <w:p>
      <w:pPr>
        <w:autoSpaceDE w:val="0"/>
        <w:autoSpaceDN w:val="0"/>
        <w:adjustRightInd w:val="0"/>
        <w:jc w:val="both"/>
        <w:rPr>
          <w:rFonts w:cs="Arial"/>
          <w:szCs w:val="22"/>
        </w:rPr>
      </w:pPr>
      <w:r>
        <w:rPr>
          <w:rFonts w:cs="Arial"/>
          <w:szCs w:val="22"/>
        </w:rPr>
        <w:t>domicilié(e) (adresse complète) :...........................................................................</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personne investie de l’autorité parentale ou assumant la garde en droit ou en fait de l’enfant (nom et prénom): ...............................................................................</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né(e) le:..................................................................................................................</w:t>
      </w:r>
    </w:p>
    <w:p>
      <w:pPr>
        <w:autoSpaceDE w:val="0"/>
        <w:autoSpaceDN w:val="0"/>
        <w:adjustRightInd w:val="0"/>
        <w:jc w:val="both"/>
        <w:rPr>
          <w:rFonts w:cs="Arial"/>
          <w:szCs w:val="22"/>
        </w:rPr>
      </w:pPr>
    </w:p>
    <w:p>
      <w:pPr>
        <w:autoSpaceDE w:val="0"/>
        <w:autoSpaceDN w:val="0"/>
        <w:adjustRightInd w:val="0"/>
        <w:rPr>
          <w:rFonts w:cs="Arial"/>
          <w:szCs w:val="22"/>
        </w:rPr>
      </w:pPr>
      <w:r>
        <w:rPr>
          <w:rFonts w:cs="Arial"/>
          <w:szCs w:val="22"/>
        </w:rPr>
        <w:t>sollicite pour l’enfant</w:t>
      </w:r>
      <w:r>
        <w:rPr>
          <w:rStyle w:val="Appelnotedebasdep"/>
          <w:rFonts w:cs="Arial"/>
          <w:szCs w:val="22"/>
        </w:rPr>
        <w:footnoteReference w:id="90"/>
      </w:r>
      <w:r>
        <w:rPr>
          <w:rFonts w:cs="Arial"/>
          <w:szCs w:val="22"/>
        </w:rPr>
        <w:t>,</w:t>
      </w:r>
    </w:p>
    <w:p>
      <w:pPr>
        <w:autoSpaceDE w:val="0"/>
        <w:autoSpaceDN w:val="0"/>
        <w:adjustRightInd w:val="0"/>
        <w:rPr>
          <w:rFonts w:cs="Arial"/>
          <w:szCs w:val="22"/>
        </w:rPr>
      </w:pPr>
    </w:p>
    <w:p>
      <w:pPr>
        <w:autoSpaceDE w:val="0"/>
        <w:autoSpaceDN w:val="0"/>
        <w:adjustRightInd w:val="0"/>
        <w:rPr>
          <w:rFonts w:cs="Arial"/>
          <w:szCs w:val="22"/>
        </w:rPr>
      </w:pPr>
    </w:p>
    <w:p>
      <w:pPr>
        <w:numPr>
          <w:ilvl w:val="0"/>
          <w:numId w:val="183"/>
        </w:numPr>
        <w:autoSpaceDE w:val="0"/>
        <w:autoSpaceDN w:val="0"/>
        <w:adjustRightInd w:val="0"/>
        <w:rPr>
          <w:rFonts w:cs="Arial"/>
          <w:szCs w:val="22"/>
        </w:rPr>
      </w:pPr>
      <w:r>
        <w:rPr>
          <w:rFonts w:cs="Arial"/>
          <w:szCs w:val="22"/>
        </w:rPr>
        <w:t>l’opportunité de fréquenter la première année de l’enseignement primaire dès l’âge de cinq ans (dérogation 1) ;</w:t>
      </w:r>
    </w:p>
    <w:p>
      <w:pPr>
        <w:autoSpaceDE w:val="0"/>
        <w:autoSpaceDN w:val="0"/>
        <w:adjustRightInd w:val="0"/>
        <w:ind w:left="720"/>
        <w:rPr>
          <w:rFonts w:cs="Arial"/>
          <w:szCs w:val="22"/>
        </w:rPr>
      </w:pPr>
    </w:p>
    <w:p>
      <w:pPr>
        <w:numPr>
          <w:ilvl w:val="0"/>
          <w:numId w:val="183"/>
        </w:numPr>
        <w:autoSpaceDE w:val="0"/>
        <w:autoSpaceDN w:val="0"/>
        <w:adjustRightInd w:val="0"/>
        <w:jc w:val="both"/>
        <w:rPr>
          <w:rFonts w:cs="Arial"/>
          <w:b/>
          <w:szCs w:val="22"/>
        </w:rPr>
      </w:pPr>
      <w:r>
        <w:rPr>
          <w:rFonts w:cs="Arial"/>
          <w:szCs w:val="22"/>
        </w:rPr>
        <w:t>l’opportunité de fréquenter l’enseignement maternel au cours de la première année de scolarité obligatoire, auquel cas il est tenu de fréquenter régulièrement l’école (dérogation 2) ;</w:t>
      </w:r>
    </w:p>
    <w:p>
      <w:pPr>
        <w:autoSpaceDE w:val="0"/>
        <w:autoSpaceDN w:val="0"/>
        <w:adjustRightInd w:val="0"/>
        <w:ind w:left="720"/>
        <w:jc w:val="both"/>
        <w:rPr>
          <w:rFonts w:cs="Arial"/>
          <w:b/>
          <w:szCs w:val="22"/>
        </w:rPr>
      </w:pPr>
    </w:p>
    <w:p>
      <w:pPr>
        <w:numPr>
          <w:ilvl w:val="0"/>
          <w:numId w:val="183"/>
        </w:numPr>
        <w:autoSpaceDE w:val="0"/>
        <w:autoSpaceDN w:val="0"/>
        <w:adjustRightInd w:val="0"/>
        <w:jc w:val="both"/>
        <w:rPr>
          <w:rFonts w:cs="Arial"/>
          <w:szCs w:val="22"/>
        </w:rPr>
      </w:pPr>
      <w:r>
        <w:rPr>
          <w:rFonts w:cs="Arial"/>
          <w:szCs w:val="22"/>
        </w:rPr>
        <w:t>l’opportunité de fréquenter l’enseignement primaire pendant une huitième année, auquel cas il peut, au cours de cette huitième année, être admis en sixième année (dérogation 3) ;</w:t>
      </w:r>
    </w:p>
    <w:p>
      <w:pPr>
        <w:autoSpaceDE w:val="0"/>
        <w:autoSpaceDN w:val="0"/>
        <w:adjustRightInd w:val="0"/>
        <w:ind w:left="720"/>
        <w:jc w:val="both"/>
        <w:rPr>
          <w:rFonts w:cs="Arial"/>
          <w:szCs w:val="22"/>
        </w:rPr>
      </w:pPr>
    </w:p>
    <w:p>
      <w:pPr>
        <w:numPr>
          <w:ilvl w:val="0"/>
          <w:numId w:val="183"/>
        </w:numPr>
        <w:autoSpaceDE w:val="0"/>
        <w:autoSpaceDN w:val="0"/>
        <w:adjustRightInd w:val="0"/>
        <w:jc w:val="both"/>
        <w:rPr>
          <w:rFonts w:cs="Arial"/>
          <w:szCs w:val="22"/>
        </w:rPr>
      </w:pPr>
      <w:r>
        <w:rPr>
          <w:rFonts w:cs="Arial"/>
          <w:szCs w:val="22"/>
        </w:rPr>
        <w:t xml:space="preserve">l’opportunité de fréquenter l’enseignement primaire pendant une neuvième année à la suite d’une maladie de longue durée (dérogation 4). </w:t>
      </w:r>
    </w:p>
    <w:p>
      <w:pPr>
        <w:autoSpaceDE w:val="0"/>
        <w:autoSpaceDN w:val="0"/>
        <w:adjustRightInd w:val="0"/>
        <w:jc w:val="both"/>
        <w:rPr>
          <w:rFonts w:cs="Arial"/>
          <w:szCs w:val="22"/>
        </w:rPr>
      </w:pPr>
    </w:p>
    <w:p>
      <w:pPr>
        <w:autoSpaceDE w:val="0"/>
        <w:autoSpaceDN w:val="0"/>
        <w:adjustRightInd w:val="0"/>
        <w:jc w:val="both"/>
        <w:rPr>
          <w:rFonts w:cs="Arial"/>
          <w:szCs w:val="22"/>
        </w:rPr>
      </w:pPr>
      <w:r>
        <w:rPr>
          <w:rFonts w:cs="Arial"/>
          <w:szCs w:val="22"/>
        </w:rPr>
        <w:t>La présente déclaration est faite sur base :</w:t>
      </w:r>
    </w:p>
    <w:p>
      <w:pPr>
        <w:autoSpaceDE w:val="0"/>
        <w:autoSpaceDN w:val="0"/>
        <w:adjustRightInd w:val="0"/>
        <w:jc w:val="both"/>
        <w:rPr>
          <w:rFonts w:cs="Arial"/>
          <w:szCs w:val="22"/>
        </w:rPr>
      </w:pPr>
    </w:p>
    <w:p>
      <w:pPr>
        <w:pStyle w:val="Paragraphedeliste"/>
        <w:numPr>
          <w:ilvl w:val="0"/>
          <w:numId w:val="184"/>
        </w:numPr>
        <w:autoSpaceDE w:val="0"/>
        <w:autoSpaceDN w:val="0"/>
        <w:adjustRightInd w:val="0"/>
        <w:contextualSpacing/>
        <w:jc w:val="both"/>
        <w:rPr>
          <w:rFonts w:cs="Arial"/>
          <w:szCs w:val="22"/>
        </w:rPr>
      </w:pPr>
      <w:r>
        <w:rPr>
          <w:rFonts w:cs="Arial"/>
          <w:szCs w:val="22"/>
        </w:rPr>
        <w:t>(Dérogation 2) de l’attestation</w:t>
      </w:r>
      <w:r>
        <w:rPr>
          <w:rStyle w:val="Appelnotedebasdep"/>
          <w:rFonts w:cs="Arial"/>
          <w:szCs w:val="22"/>
        </w:rPr>
        <w:footnoteReference w:id="91"/>
      </w:r>
      <w:r>
        <w:rPr>
          <w:rFonts w:cs="Arial"/>
          <w:szCs w:val="22"/>
        </w:rPr>
        <w:t xml:space="preserve"> jointe à la présente et délivrée par :</w:t>
      </w:r>
    </w:p>
    <w:p>
      <w:pPr>
        <w:pStyle w:val="Paragraphedeliste"/>
        <w:autoSpaceDE w:val="0"/>
        <w:autoSpaceDN w:val="0"/>
        <w:adjustRightInd w:val="0"/>
        <w:ind w:left="780"/>
        <w:jc w:val="both"/>
        <w:rPr>
          <w:rFonts w:cs="Arial"/>
          <w:szCs w:val="22"/>
        </w:rPr>
      </w:pPr>
      <w:r>
        <w:rPr>
          <w:rFonts w:cs="Arial"/>
          <w:szCs w:val="22"/>
        </w:rPr>
        <w:t>:........................................................................................................................................................................................................................................................................................................................................................................</w:t>
      </w: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numPr>
          <w:ilvl w:val="0"/>
          <w:numId w:val="184"/>
        </w:numPr>
        <w:autoSpaceDE w:val="0"/>
        <w:autoSpaceDN w:val="0"/>
        <w:adjustRightInd w:val="0"/>
        <w:contextualSpacing/>
        <w:jc w:val="both"/>
        <w:rPr>
          <w:rFonts w:cs="Arial"/>
          <w:szCs w:val="22"/>
        </w:rPr>
      </w:pPr>
      <w:r>
        <w:rPr>
          <w:rFonts w:cs="Arial"/>
          <w:szCs w:val="22"/>
        </w:rPr>
        <w:t>de l’avis</w:t>
      </w:r>
      <w:r>
        <w:rPr>
          <w:rStyle w:val="Appelnotedebasdep"/>
          <w:rFonts w:cs="Arial"/>
          <w:szCs w:val="22"/>
        </w:rPr>
        <w:footnoteReference w:id="92"/>
      </w:r>
      <w:r>
        <w:rPr>
          <w:rFonts w:cs="Arial"/>
          <w:szCs w:val="22"/>
        </w:rPr>
        <w:t xml:space="preserve"> favorable - défavorable</w:t>
      </w:r>
      <w:r>
        <w:rPr>
          <w:rStyle w:val="Appelnotedebasdep"/>
          <w:rFonts w:cs="Arial"/>
          <w:szCs w:val="22"/>
        </w:rPr>
        <w:footnoteReference w:id="93"/>
      </w:r>
      <w:r>
        <w:rPr>
          <w:rFonts w:cs="Arial"/>
          <w:szCs w:val="22"/>
        </w:rPr>
        <w:t xml:space="preserve">  de la direction de l’école :</w:t>
      </w:r>
    </w:p>
    <w:p>
      <w:pPr>
        <w:autoSpaceDE w:val="0"/>
        <w:autoSpaceDN w:val="0"/>
        <w:adjustRightInd w:val="0"/>
        <w:ind w:left="780"/>
        <w:jc w:val="both"/>
        <w:rPr>
          <w:rFonts w:cs="Arial"/>
          <w:szCs w:val="22"/>
        </w:rPr>
      </w:pPr>
      <w:r>
        <w:rPr>
          <w:rFonts w:cs="Arial"/>
          <w:szCs w:val="22"/>
        </w:rPr>
        <w:t xml:space="preserve">(dénomination et adresse complète) </w:t>
      </w:r>
    </w:p>
    <w:p>
      <w:pPr>
        <w:autoSpaceDE w:val="0"/>
        <w:autoSpaceDN w:val="0"/>
        <w:adjustRightInd w:val="0"/>
        <w:ind w:left="780"/>
        <w:jc w:val="both"/>
        <w:rPr>
          <w:rFonts w:cs="Arial"/>
          <w:szCs w:val="22"/>
        </w:rPr>
      </w:pPr>
      <w:r>
        <w:rPr>
          <w:rFonts w:cs="Arial"/>
          <w:szCs w:val="22"/>
        </w:rPr>
        <w:t>:........................................................................................................................................................................................................................................................................................................................................................................</w:t>
      </w: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numPr>
          <w:ilvl w:val="0"/>
          <w:numId w:val="184"/>
        </w:numPr>
        <w:autoSpaceDE w:val="0"/>
        <w:autoSpaceDN w:val="0"/>
        <w:adjustRightInd w:val="0"/>
        <w:contextualSpacing/>
        <w:jc w:val="both"/>
        <w:rPr>
          <w:rFonts w:cs="Arial"/>
          <w:szCs w:val="22"/>
        </w:rPr>
      </w:pPr>
      <w:r>
        <w:rPr>
          <w:rFonts w:cs="Arial"/>
          <w:szCs w:val="22"/>
        </w:rPr>
        <w:t>de l’avis favorable - défavorable</w:t>
      </w:r>
      <w:r>
        <w:rPr>
          <w:rFonts w:cs="Arial"/>
          <w:szCs w:val="22"/>
          <w:vertAlign w:val="superscript"/>
        </w:rPr>
        <w:footnoteReference w:id="94"/>
      </w:r>
      <w:r>
        <w:rPr>
          <w:rFonts w:cs="Arial"/>
          <w:szCs w:val="22"/>
        </w:rPr>
        <w:t xml:space="preserve"> du centre PMS </w:t>
      </w:r>
    </w:p>
    <w:p>
      <w:pPr>
        <w:pStyle w:val="Paragraphedeliste"/>
        <w:autoSpaceDE w:val="0"/>
        <w:autoSpaceDN w:val="0"/>
        <w:adjustRightInd w:val="0"/>
        <w:ind w:left="780"/>
        <w:jc w:val="both"/>
        <w:rPr>
          <w:rFonts w:cs="Arial"/>
          <w:szCs w:val="22"/>
        </w:rPr>
      </w:pPr>
      <w:r>
        <w:rPr>
          <w:rFonts w:cs="Arial"/>
          <w:szCs w:val="22"/>
        </w:rPr>
        <w:t xml:space="preserve">(dénomination et adresse complète) </w:t>
      </w:r>
    </w:p>
    <w:p>
      <w:pPr>
        <w:pStyle w:val="Paragraphedeliste"/>
        <w:autoSpaceDE w:val="0"/>
        <w:autoSpaceDN w:val="0"/>
        <w:adjustRightInd w:val="0"/>
        <w:ind w:left="780"/>
        <w:jc w:val="both"/>
        <w:rPr>
          <w:rFonts w:cs="Arial"/>
          <w:szCs w:val="22"/>
        </w:rPr>
      </w:pPr>
      <w:r>
        <w:rPr>
          <w:rFonts w:cs="Arial"/>
          <w:szCs w:val="22"/>
        </w:rPr>
        <w:t>:.................................................................................................................................................................................................................................................................................................................................................................................</w:t>
      </w: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r>
        <w:rPr>
          <w:rFonts w:cs="Arial"/>
          <w:szCs w:val="22"/>
        </w:rPr>
        <w:t>Remis à l’école le................................................................</w:t>
      </w: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ascii="Helvetica" w:eastAsia="MS Mincho" w:hAnsi="Helvetica" w:cs="Helvetica"/>
          <w:szCs w:val="22"/>
        </w:rPr>
      </w:pPr>
      <w:r>
        <w:rPr>
          <w:rFonts w:cs="Arial"/>
          <w:szCs w:val="22"/>
        </w:rPr>
        <w:t xml:space="preserve">En cas de dérogation 2, le dossier comprenant cette annexe C complétée, l’attestation, l’avis complet du directeur de l’établissement scolaire et l’avis complet du centre PMS est transmis à l’inspection avant le 30 mai par la direction de l’école/les responsables légaux </w:t>
      </w:r>
      <w:r>
        <w:rPr>
          <w:rFonts w:ascii="Helvetica" w:eastAsia="MS Mincho" w:hAnsi="Helvetica" w:cs="Helvetica"/>
          <w:szCs w:val="22"/>
        </w:rPr>
        <w:t>où les parents souhaitent inscrire leur enfant.</w:t>
      </w: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r>
        <w:rPr>
          <w:rFonts w:cs="Arial"/>
          <w:szCs w:val="22"/>
        </w:rPr>
        <w:t>En cas de dérogation 3 et 4 le dossier comprenant cette annexe C complétée, l’avis du directeur de l’établissement scolaire et l’avis du centre PMS est transmis à la Direction Générale de l’Enseignement Obligatoire.</w:t>
      </w: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p>
    <w:p>
      <w:pPr>
        <w:pStyle w:val="Paragraphedeliste"/>
        <w:autoSpaceDE w:val="0"/>
        <w:autoSpaceDN w:val="0"/>
        <w:adjustRightInd w:val="0"/>
        <w:ind w:left="780"/>
        <w:jc w:val="both"/>
        <w:rPr>
          <w:rFonts w:cs="Arial"/>
          <w:szCs w:val="22"/>
        </w:rPr>
      </w:pPr>
      <w:r>
        <w:rPr>
          <w:rFonts w:cs="Arial"/>
          <w:szCs w:val="22"/>
        </w:rPr>
        <w:t>Le ……………</w:t>
      </w:r>
    </w:p>
    <w:p>
      <w:pPr>
        <w:autoSpaceDE w:val="0"/>
        <w:autoSpaceDN w:val="0"/>
        <w:adjustRightInd w:val="0"/>
        <w:jc w:val="both"/>
        <w:rPr>
          <w:rFonts w:cs="Arial"/>
          <w:szCs w:val="22"/>
        </w:rPr>
      </w:pPr>
    </w:p>
    <w:p>
      <w:pPr>
        <w:autoSpaceDE w:val="0"/>
        <w:autoSpaceDN w:val="0"/>
        <w:adjustRightInd w:val="0"/>
        <w:jc w:val="center"/>
        <w:rPr>
          <w:rFonts w:cs="Arial"/>
          <w:szCs w:val="22"/>
        </w:rPr>
      </w:pPr>
      <w:r>
        <w:rPr>
          <w:rFonts w:cs="Arial"/>
          <w:szCs w:val="22"/>
        </w:rPr>
        <w:t>Signature :</w:t>
      </w:r>
    </w:p>
    <w:p>
      <w:pPr>
        <w:autoSpaceDE w:val="0"/>
        <w:autoSpaceDN w:val="0"/>
        <w:adjustRightInd w:val="0"/>
        <w:rPr>
          <w:rFonts w:cs="Arial"/>
          <w:szCs w:val="22"/>
        </w:rPr>
      </w:pPr>
    </w:p>
    <w:p>
      <w:pPr>
        <w:autoSpaceDE w:val="0"/>
        <w:autoSpaceDN w:val="0"/>
        <w:adjustRightInd w:val="0"/>
        <w:rPr>
          <w:rFonts w:cs="Arial"/>
          <w:szCs w:val="22"/>
        </w:rPr>
      </w:pPr>
    </w:p>
    <w:p>
      <w:pPr>
        <w:ind w:firstLine="709"/>
      </w:pPr>
      <w:r>
        <w:rPr>
          <w:rFonts w:ascii="Helvetica" w:eastAsia="MS Mincho" w:hAnsi="Helvetica" w:cs="Helvetica"/>
          <w:szCs w:val="22"/>
        </w:rPr>
        <w:t>……………………………………………</w:t>
      </w:r>
    </w:p>
    <w:p>
      <w:pPr>
        <w:pStyle w:val="annexe"/>
      </w:pPr>
      <w:r>
        <w:br w:type="page"/>
      </w:r>
      <w:bookmarkStart w:id="2084" w:name="_Annexe_2.4.A."/>
      <w:bookmarkStart w:id="2085" w:name="Annexe_24A"/>
      <w:bookmarkStart w:id="2086" w:name="_Toc232818762"/>
      <w:bookmarkStart w:id="2087" w:name="_Toc295932167"/>
      <w:bookmarkStart w:id="2088" w:name="_Toc423420186"/>
      <w:bookmarkStart w:id="2089" w:name="_Toc450645435"/>
      <w:bookmarkStart w:id="2090" w:name="_Toc453942674"/>
      <w:bookmarkStart w:id="2091" w:name="_Toc454888291"/>
      <w:bookmarkStart w:id="2092" w:name="_Toc486241912"/>
      <w:bookmarkStart w:id="2093" w:name="_Toc226359885"/>
      <w:bookmarkStart w:id="2094" w:name="_Toc226360005"/>
      <w:bookmarkStart w:id="2095" w:name="_Toc226360444"/>
      <w:bookmarkStart w:id="2096" w:name="_Toc226361418"/>
      <w:bookmarkStart w:id="2097" w:name="_Toc226364305"/>
      <w:bookmarkStart w:id="2098" w:name="_Toc226364768"/>
      <w:bookmarkStart w:id="2099" w:name="_Toc165786189"/>
      <w:bookmarkStart w:id="2100" w:name="_Toc265141668"/>
      <w:bookmarkEnd w:id="2084"/>
      <w:bookmarkEnd w:id="2085"/>
      <w:r>
        <w:t>Annexe 2.4.A.</w:t>
      </w:r>
      <w:bookmarkEnd w:id="2086"/>
      <w:r>
        <w:t xml:space="preserve"> Demande d’autorisation de changement d’école ou d’implantation à comptage séparé en cours d’année scolaire ou en cours de cycle: FWB </w:t>
      </w:r>
      <w:r>
        <w:sym w:font="Wingdings" w:char="F0E0"/>
      </w:r>
      <w:r>
        <w:t xml:space="preserve"> FWB – Formule I</w:t>
      </w:r>
      <w:bookmarkEnd w:id="2087"/>
      <w:bookmarkEnd w:id="2088"/>
      <w:bookmarkEnd w:id="2089"/>
      <w:bookmarkEnd w:id="2090"/>
      <w:bookmarkEnd w:id="2091"/>
      <w:bookmarkEnd w:id="2092"/>
    </w:p>
    <w:p>
      <w:pPr>
        <w:ind w:right="-648" w:hanging="720"/>
        <w:jc w:val="both"/>
        <w:rPr>
          <w:b/>
          <w:spacing w:val="2"/>
          <w:sz w:val="6"/>
          <w:szCs w:val="6"/>
        </w:rPr>
      </w:pPr>
    </w:p>
    <w:p>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SEPARE </w:t>
      </w:r>
      <w:r>
        <w:rPr>
          <w:b/>
        </w:rPr>
        <w:t>EN COURS D’ANNEE SCOLAIRE OU EN COURS DE CYCLE</w:t>
      </w:r>
    </w:p>
    <w:p>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pPr>
        <w:spacing w:before="120"/>
        <w:ind w:right="-646" w:hanging="720"/>
        <w:jc w:val="center"/>
        <w:rPr>
          <w:b/>
          <w:spacing w:val="2"/>
          <w:u w:val="single"/>
        </w:rPr>
      </w:pPr>
      <w:r>
        <w:rPr>
          <w:b/>
          <w:spacing w:val="2"/>
          <w:u w:val="single"/>
        </w:rPr>
        <w:t>FORMULE I</w:t>
      </w:r>
    </w:p>
    <w:p>
      <w:pPr>
        <w:ind w:right="-648" w:hanging="720"/>
        <w:jc w:val="center"/>
        <w:rPr>
          <w:spacing w:val="2"/>
        </w:rPr>
      </w:pPr>
      <w:r>
        <w:rPr>
          <w:spacing w:val="2"/>
        </w:rPr>
        <w:t>à remplir en 1 exemplaire</w:t>
      </w:r>
    </w:p>
    <w:p>
      <w:pPr>
        <w:ind w:right="-648" w:hanging="720"/>
        <w:jc w:val="both"/>
        <w:rPr>
          <w:spacing w:val="2"/>
          <w:sz w:val="6"/>
          <w:szCs w:val="6"/>
        </w:rPr>
      </w:pPr>
    </w:p>
    <w:p>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Le(s) soussigné(s)</w:t>
      </w:r>
      <w:r>
        <w:rPr>
          <w:spacing w:val="2"/>
        </w:rPr>
        <w:t xml:space="preserve"> (nom en imprimé, prénom):</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domicilié(s) à</w:t>
      </w:r>
      <w:r>
        <w:rPr>
          <w:spacing w:val="2"/>
        </w:rPr>
        <w:t xml:space="preserve"> (rue, n°, code postal, commune):</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………………………………tél.:…………………E-mail……………………………………….…………..……...</w:t>
      </w:r>
    </w:p>
    <w:p>
      <w:pPr>
        <w:pBdr>
          <w:top w:val="single" w:sz="4" w:space="1" w:color="auto"/>
          <w:left w:val="single" w:sz="4" w:space="4" w:color="auto"/>
          <w:bottom w:val="single" w:sz="4" w:space="1" w:color="auto"/>
          <w:right w:val="single" w:sz="4" w:space="4" w:color="auto"/>
        </w:pBdr>
        <w:ind w:right="-648" w:hanging="720"/>
        <w:jc w:val="both"/>
        <w:rPr>
          <w:szCs w:val="22"/>
        </w:rPr>
      </w:pPr>
      <w:r>
        <w:rPr>
          <w:szCs w:val="22"/>
        </w:rPr>
        <w:t>si la demande est la conséquence d’un changement de domicile, indiquer aussi la nouvelle adresse:</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Style w:val="Corpsdetexte3"/>
        <w:ind w:right="-648" w:hanging="720"/>
      </w:pPr>
      <w:r>
        <w:t>agissant en qualité de personne(s) investie(s) de l’autorité parentale, demande à pouvoir changer l’élève mentionné ci-après:</w:t>
      </w:r>
    </w:p>
    <w:p>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Nom</w:t>
      </w:r>
      <w:r>
        <w:rPr>
          <w:spacing w:val="2"/>
        </w:rPr>
        <w:t xml:space="preserve"> en imprimé: ………………………………………………………..……………………………………….…..</w:t>
      </w:r>
    </w:p>
    <w:p>
      <w:pPr>
        <w:pBdr>
          <w:top w:val="single" w:sz="4" w:space="1" w:color="auto"/>
          <w:left w:val="single" w:sz="4" w:space="4" w:color="auto"/>
          <w:bottom w:val="single" w:sz="4" w:space="1" w:color="auto"/>
          <w:right w:val="single" w:sz="4" w:space="4" w:color="auto"/>
        </w:pBdr>
        <w:ind w:right="-648" w:hanging="720"/>
        <w:jc w:val="both"/>
        <w:rPr>
          <w:spacing w:val="2"/>
        </w:rPr>
      </w:pPr>
      <w:r>
        <w:rPr>
          <w:b/>
          <w:spacing w:val="2"/>
        </w:rPr>
        <w:t>Prénom</w:t>
      </w: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Date de naissance: ……….Année d’étude suivie:       </w:t>
      </w:r>
    </w:p>
    <w:p>
      <w:pPr>
        <w:pBdr>
          <w:top w:val="single" w:sz="4" w:space="1" w:color="auto"/>
          <w:left w:val="single" w:sz="4" w:space="4" w:color="auto"/>
          <w:bottom w:val="single" w:sz="4" w:space="1" w:color="auto"/>
          <w:right w:val="single" w:sz="4" w:space="4" w:color="auto"/>
        </w:pBdr>
        <w:ind w:right="-648" w:hanging="720"/>
        <w:jc w:val="both"/>
        <w:rPr>
          <w:spacing w:val="2"/>
          <w:sz w:val="18"/>
          <w:szCs w:val="18"/>
        </w:rPr>
      </w:pPr>
      <w:r>
        <w:rPr>
          <w:spacing w:val="2"/>
          <w:sz w:val="18"/>
          <w:szCs w:val="18"/>
        </w:rPr>
        <w:t xml:space="preserve">Choix du cours philosophique: </w:t>
      </w:r>
    </w:p>
    <w:p>
      <w:pPr>
        <w:pBdr>
          <w:top w:val="single" w:sz="4" w:space="1" w:color="auto"/>
          <w:left w:val="single" w:sz="4" w:space="4" w:color="auto"/>
          <w:bottom w:val="single" w:sz="4" w:space="1" w:color="auto"/>
          <w:right w:val="single" w:sz="4" w:space="4" w:color="auto"/>
        </w:pBdr>
        <w:ind w:right="-648" w:hanging="720"/>
        <w:jc w:val="both"/>
        <w:rPr>
          <w:spacing w:val="2"/>
          <w:sz w:val="10"/>
          <w:szCs w:val="10"/>
        </w:rPr>
      </w:pPr>
      <w:r>
        <w:rPr>
          <w:spacing w:val="2"/>
          <w:sz w:val="18"/>
          <w:szCs w:val="18"/>
        </w:rPr>
        <w:sym w:font="Wingdings" w:char="F06D"/>
      </w:r>
      <w:r>
        <w:rPr>
          <w:spacing w:val="2"/>
          <w:sz w:val="18"/>
          <w:szCs w:val="18"/>
        </w:rPr>
        <w:t xml:space="preserve">religion catholique  </w:t>
      </w:r>
      <w:r>
        <w:rPr>
          <w:spacing w:val="2"/>
          <w:sz w:val="18"/>
          <w:szCs w:val="18"/>
        </w:rPr>
        <w:sym w:font="Wingdings" w:char="F06D"/>
      </w:r>
      <w:r>
        <w:rPr>
          <w:spacing w:val="2"/>
          <w:sz w:val="18"/>
          <w:szCs w:val="18"/>
        </w:rPr>
        <w:t xml:space="preserve">religion protestante  </w:t>
      </w:r>
      <w:r>
        <w:rPr>
          <w:spacing w:val="2"/>
          <w:sz w:val="18"/>
          <w:szCs w:val="18"/>
        </w:rPr>
        <w:sym w:font="Wingdings" w:char="F06D"/>
      </w:r>
      <w:r>
        <w:rPr>
          <w:spacing w:val="2"/>
          <w:sz w:val="18"/>
          <w:szCs w:val="18"/>
        </w:rPr>
        <w:t xml:space="preserve">religion israélite  </w:t>
      </w:r>
      <w:r>
        <w:rPr>
          <w:spacing w:val="2"/>
          <w:sz w:val="18"/>
          <w:szCs w:val="18"/>
        </w:rPr>
        <w:sym w:font="Wingdings" w:char="F06D"/>
      </w:r>
      <w:r>
        <w:rPr>
          <w:spacing w:val="2"/>
          <w:sz w:val="18"/>
          <w:szCs w:val="18"/>
        </w:rPr>
        <w:t xml:space="preserve">religion orthodoxe  </w:t>
      </w:r>
      <w:r>
        <w:rPr>
          <w:spacing w:val="2"/>
          <w:sz w:val="18"/>
          <w:szCs w:val="18"/>
        </w:rPr>
        <w:sym w:font="Wingdings" w:char="F06D"/>
      </w:r>
      <w:r>
        <w:rPr>
          <w:spacing w:val="2"/>
          <w:sz w:val="18"/>
          <w:szCs w:val="18"/>
        </w:rPr>
        <w:t xml:space="preserve">religion islamique  </w:t>
      </w:r>
      <w:r>
        <w:rPr>
          <w:spacing w:val="2"/>
          <w:sz w:val="18"/>
          <w:szCs w:val="18"/>
        </w:rPr>
        <w:sym w:font="Wingdings" w:char="F06D"/>
      </w:r>
      <w:r>
        <w:rPr>
          <w:spacing w:val="2"/>
          <w:sz w:val="18"/>
          <w:szCs w:val="18"/>
        </w:rPr>
        <w:t xml:space="preserve">morale </w:t>
      </w:r>
      <w:r>
        <w:rPr>
          <w:spacing w:val="2"/>
          <w:sz w:val="10"/>
          <w:szCs w:val="10"/>
        </w:rPr>
        <w:t>non confessionnelle</w:t>
      </w:r>
    </w:p>
    <w:p>
      <w:pPr>
        <w:pStyle w:val="Corpsdetexte2"/>
        <w:pBdr>
          <w:top w:val="single" w:sz="4" w:space="1" w:color="auto"/>
          <w:left w:val="single" w:sz="4" w:space="4" w:color="auto"/>
          <w:bottom w:val="single" w:sz="4" w:space="1" w:color="auto"/>
          <w:right w:val="single" w:sz="4" w:space="4" w:color="auto"/>
        </w:pBdr>
        <w:ind w:right="-648" w:hanging="720"/>
        <w:rPr>
          <w:spacing w:val="2"/>
        </w:rPr>
      </w:pPr>
      <w:r>
        <w:rPr>
          <w:spacing w:val="2"/>
        </w:rPr>
        <w:t>Domicile (s’il diffère de celui du soussigné):</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Style w:val="Corpsdetexte"/>
        <w:ind w:right="-648" w:hanging="720"/>
        <w:rPr>
          <w:sz w:val="12"/>
          <w:szCs w:val="12"/>
        </w:rPr>
      </w:pPr>
      <w:r>
        <w:rPr>
          <w:sz w:val="12"/>
          <w:szCs w:val="12"/>
        </w:rPr>
        <w:t>*Biffer la mention inutile</w:t>
      </w:r>
    </w:p>
    <w:p>
      <w:pPr>
        <w:pStyle w:val="Corpsdetexte"/>
        <w:ind w:right="-648" w:hanging="720"/>
        <w:jc w:val="center"/>
        <w:rPr>
          <w:b/>
          <w:u w:val="single"/>
        </w:rPr>
      </w:pPr>
      <w:r>
        <w:rPr>
          <w:b/>
          <w:u w:val="single"/>
        </w:rPr>
        <w:t>Ecole/implantation de départ</w:t>
      </w:r>
    </w:p>
    <w:p>
      <w:pPr>
        <w:pStyle w:val="Corpsdetexte"/>
        <w:ind w:right="-648" w:hanging="720"/>
        <w:rPr>
          <w:sz w:val="8"/>
          <w:szCs w:val="8"/>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Niveau maternel – primaire (*) de </w:t>
      </w:r>
      <w:smartTag w:uri="urn:schemas-microsoft-com:office:smarttags" w:element="PersonName">
        <w:smartTagPr>
          <w:attr w:name="ProductID" w:val="la F￩d￩ration Wallonie-Bruxelles"/>
        </w:smartTagPr>
        <w:r>
          <w:rPr>
            <w:spacing w:val="2"/>
          </w:rPr>
          <w:t>la Fédération Wallonie-Bruxelles</w:t>
        </w:r>
      </w:smartTag>
      <w:r>
        <w:rPr>
          <w:spacing w:val="2"/>
        </w:rPr>
        <w:t xml:space="preserve"> – provinciale – communale – libre (*)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Adresse (commune, code postal, rue, n°): </w:t>
      </w:r>
      <w:r>
        <w:rPr>
          <w:spacing w:val="2"/>
        </w:rPr>
        <w:tab/>
      </w:r>
      <w:r>
        <w:rPr>
          <w:spacing w:val="2"/>
        </w:rPr>
        <w:tab/>
      </w:r>
      <w:r>
        <w:rPr>
          <w:spacing w:val="2"/>
        </w:rPr>
        <w:tab/>
        <w:t>N°Fase: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Adresse de l’implantation où l’enfant se trouve: </w:t>
      </w:r>
      <w:r>
        <w:rPr>
          <w:spacing w:val="2"/>
        </w:rPr>
        <w:tab/>
      </w:r>
      <w:r>
        <w:rPr>
          <w:spacing w:val="2"/>
        </w:rPr>
        <w:tab/>
      </w:r>
      <w:r>
        <w:rPr>
          <w:spacing w:val="2"/>
        </w:rPr>
        <w:tab/>
        <w:t>N°Fase: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Style w:val="Corpsdetexte"/>
        <w:ind w:right="-648" w:hanging="720"/>
        <w:rPr>
          <w:sz w:val="8"/>
          <w:szCs w:val="8"/>
        </w:rPr>
      </w:pPr>
      <w:r>
        <w:rPr>
          <w:sz w:val="12"/>
          <w:szCs w:val="12"/>
        </w:rPr>
        <w:t>*Biffer la mention inutile</w:t>
      </w:r>
    </w:p>
    <w:p>
      <w:pPr>
        <w:pStyle w:val="Corpsdetexte"/>
        <w:ind w:right="-648" w:hanging="720"/>
        <w:jc w:val="center"/>
        <w:rPr>
          <w:b/>
          <w:u w:val="single"/>
        </w:rPr>
      </w:pPr>
      <w:r>
        <w:rPr>
          <w:b/>
          <w:u w:val="single"/>
        </w:rPr>
        <w:t>Nouvelle école/implantation d'arrivée</w:t>
      </w:r>
    </w:p>
    <w:p>
      <w:pPr>
        <w:pStyle w:val="Corpsdetexte"/>
        <w:ind w:right="-648" w:hanging="720"/>
        <w:rPr>
          <w:b/>
          <w:sz w:val="8"/>
          <w:szCs w:val="8"/>
          <w:u w:val="single"/>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Niveau maternel – primaire (*) de </w:t>
      </w:r>
      <w:smartTag w:uri="urn:schemas-microsoft-com:office:smarttags" w:element="PersonName">
        <w:smartTagPr>
          <w:attr w:name="ProductID" w:val="la F￩d￩ration Wallonie-Bruxelles"/>
        </w:smartTagPr>
        <w:r>
          <w:rPr>
            <w:spacing w:val="2"/>
          </w:rPr>
          <w:t>la Fédération Wallonie-Bruxelles</w:t>
        </w:r>
      </w:smartTag>
      <w:r>
        <w:rPr>
          <w:spacing w:val="2"/>
        </w:rPr>
        <w:t xml:space="preserve"> – provinciale – communale – libre (*)</w:t>
      </w:r>
    </w:p>
    <w:p>
      <w:pPr>
        <w:pBdr>
          <w:top w:val="single" w:sz="4" w:space="1" w:color="auto"/>
          <w:left w:val="single" w:sz="4" w:space="4" w:color="auto"/>
          <w:bottom w:val="single" w:sz="4" w:space="1" w:color="auto"/>
          <w:right w:val="single" w:sz="4" w:space="4" w:color="auto"/>
        </w:pBdr>
        <w:ind w:right="-648" w:hanging="720"/>
        <w:jc w:val="both"/>
        <w:rPr>
          <w:spacing w:val="2"/>
          <w:sz w:val="12"/>
          <w:szCs w:val="12"/>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Adresse (commune, code postal, rue, n°):</w:t>
      </w:r>
      <w:r>
        <w:rPr>
          <w:spacing w:val="2"/>
        </w:rPr>
        <w:tab/>
      </w:r>
      <w:r>
        <w:rPr>
          <w:spacing w:val="2"/>
        </w:rPr>
        <w:tab/>
      </w:r>
      <w:r>
        <w:rPr>
          <w:spacing w:val="2"/>
        </w:rPr>
        <w:tab/>
      </w:r>
      <w:r>
        <w:rPr>
          <w:spacing w:val="2"/>
        </w:rPr>
        <w:tab/>
        <w:t>N°Fase: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Adresse de l’implantation où l’enfant irait:</w:t>
      </w:r>
      <w:r>
        <w:rPr>
          <w:spacing w:val="2"/>
        </w:rPr>
        <w:tab/>
      </w:r>
      <w:r>
        <w:rPr>
          <w:spacing w:val="2"/>
        </w:rPr>
        <w:tab/>
      </w:r>
      <w:r>
        <w:rPr>
          <w:spacing w:val="2"/>
        </w:rPr>
        <w:tab/>
      </w:r>
      <w:r>
        <w:rPr>
          <w:spacing w:val="2"/>
        </w:rPr>
        <w:tab/>
        <w:t>N°Fase: …………………………………..</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w:t>
      </w:r>
    </w:p>
    <w:p>
      <w:pPr>
        <w:ind w:right="-648" w:hanging="720"/>
        <w:jc w:val="center"/>
        <w:rPr>
          <w:b/>
          <w:spacing w:val="2"/>
        </w:rPr>
      </w:pPr>
      <w:r>
        <w:rPr>
          <w:b/>
          <w:spacing w:val="2"/>
        </w:rPr>
        <w:t>Pour le(s) motif(s) suivant(s):</w:t>
      </w:r>
    </w:p>
    <w:p>
      <w:pPr>
        <w:pBdr>
          <w:top w:val="single" w:sz="4" w:space="1" w:color="auto"/>
          <w:left w:val="single" w:sz="4" w:space="4" w:color="auto"/>
          <w:bottom w:val="single" w:sz="4" w:space="0" w:color="auto"/>
          <w:right w:val="single" w:sz="4" w:space="4" w:color="auto"/>
        </w:pBdr>
        <w:ind w:right="-648" w:hanging="720"/>
        <w:jc w:val="both"/>
        <w:rPr>
          <w:spacing w:val="2"/>
        </w:rPr>
      </w:pPr>
    </w:p>
    <w:p>
      <w:pPr>
        <w:pBdr>
          <w:top w:val="single" w:sz="4" w:space="1" w:color="auto"/>
          <w:left w:val="single" w:sz="4" w:space="4" w:color="auto"/>
          <w:bottom w:val="single" w:sz="4" w:space="0" w:color="auto"/>
          <w:right w:val="single" w:sz="4" w:space="4" w:color="auto"/>
        </w:pBdr>
        <w:ind w:right="-648" w:hanging="720"/>
        <w:jc w:val="both"/>
        <w:rPr>
          <w:spacing w:val="2"/>
        </w:rPr>
      </w:pPr>
    </w:p>
    <w:p>
      <w:pPr>
        <w:pBdr>
          <w:top w:val="single" w:sz="4" w:space="1" w:color="auto"/>
          <w:left w:val="single" w:sz="4" w:space="4" w:color="auto"/>
          <w:bottom w:val="single" w:sz="4" w:space="0" w:color="auto"/>
          <w:right w:val="single" w:sz="4" w:space="4" w:color="auto"/>
        </w:pBdr>
        <w:ind w:right="-648" w:hanging="720"/>
        <w:jc w:val="both"/>
        <w:rPr>
          <w:spacing w:val="2"/>
        </w:rPr>
      </w:pPr>
    </w:p>
    <w:p>
      <w:pPr>
        <w:pBdr>
          <w:top w:val="single" w:sz="4" w:space="1" w:color="auto"/>
          <w:left w:val="single" w:sz="4" w:space="4" w:color="auto"/>
          <w:bottom w:val="single" w:sz="4" w:space="0" w:color="auto"/>
          <w:right w:val="single" w:sz="4" w:space="4" w:color="auto"/>
        </w:pBdr>
        <w:ind w:right="-648" w:hanging="720"/>
        <w:jc w:val="both"/>
        <w:rPr>
          <w:spacing w:val="2"/>
        </w:rPr>
      </w:pPr>
    </w:p>
    <w:p>
      <w:pPr>
        <w:pBdr>
          <w:top w:val="single" w:sz="4" w:space="1" w:color="auto"/>
          <w:left w:val="single" w:sz="4" w:space="4" w:color="auto"/>
          <w:bottom w:val="single" w:sz="4" w:space="0" w:color="auto"/>
          <w:right w:val="single" w:sz="4" w:space="4" w:color="auto"/>
        </w:pBdr>
        <w:ind w:right="-648" w:hanging="720"/>
        <w:jc w:val="both"/>
        <w:rPr>
          <w:spacing w:val="2"/>
        </w:rPr>
      </w:pPr>
    </w:p>
    <w:p>
      <w:pPr>
        <w:pBdr>
          <w:top w:val="single" w:sz="4" w:space="1" w:color="auto"/>
          <w:left w:val="single" w:sz="4" w:space="4" w:color="auto"/>
          <w:bottom w:val="single" w:sz="4" w:space="0" w:color="auto"/>
          <w:right w:val="single" w:sz="4" w:space="4" w:color="auto"/>
        </w:pBdr>
        <w:ind w:left="-720" w:right="-648"/>
        <w:jc w:val="center"/>
        <w:rPr>
          <w:spacing w:val="2"/>
          <w:sz w:val="18"/>
          <w:szCs w:val="18"/>
        </w:rPr>
      </w:pPr>
      <w:r>
        <w:rPr>
          <w:b/>
          <w:spacing w:val="2"/>
          <w:sz w:val="16"/>
          <w:szCs w:val="16"/>
        </w:rPr>
        <w:t>Pour les changements introduits au 30 juin et après, mentionner vos disponibilités pendant la période des vacances d’été</w:t>
      </w:r>
      <w:r>
        <w:rPr>
          <w:spacing w:val="2"/>
          <w:sz w:val="18"/>
          <w:szCs w:val="18"/>
        </w:rPr>
        <w:t>.</w:t>
      </w:r>
    </w:p>
    <w:p>
      <w:pPr>
        <w:ind w:right="-648" w:hanging="720"/>
        <w:jc w:val="both"/>
        <w:rPr>
          <w:i/>
          <w:smallCaps/>
          <w:sz w:val="12"/>
          <w:szCs w:val="12"/>
        </w:rPr>
      </w:pPr>
    </w:p>
    <w:p>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szCs w:val="20"/>
        </w:rPr>
        <w:t xml:space="preserve">Documents justificatifs joints: </w:t>
      </w:r>
    </w:p>
    <w:p>
      <w:pPr>
        <w:pBdr>
          <w:top w:val="single" w:sz="4" w:space="1" w:color="auto"/>
          <w:left w:val="single" w:sz="4" w:space="4" w:color="auto"/>
          <w:bottom w:val="single" w:sz="4" w:space="1" w:color="auto"/>
          <w:right w:val="single" w:sz="4" w:space="4" w:color="auto"/>
        </w:pBdr>
        <w:ind w:right="-648" w:hanging="720"/>
        <w:jc w:val="both"/>
        <w:rPr>
          <w:smallCaps/>
          <w:sz w:val="16"/>
          <w:szCs w:val="16"/>
        </w:rPr>
      </w:pPr>
    </w:p>
    <w:p>
      <w:pPr>
        <w:ind w:right="-648" w:hanging="720"/>
        <w:jc w:val="both"/>
        <w:rPr>
          <w:b/>
          <w:i/>
          <w:smallCaps/>
          <w:sz w:val="2"/>
          <w:szCs w:val="2"/>
          <w:u w:val="single"/>
        </w:rPr>
      </w:pPr>
    </w:p>
    <w:p>
      <w:pPr>
        <w:pBdr>
          <w:top w:val="single" w:sz="4" w:space="1" w:color="auto"/>
          <w:left w:val="single" w:sz="4" w:space="4" w:color="auto"/>
          <w:bottom w:val="single" w:sz="4" w:space="1" w:color="auto"/>
          <w:right w:val="single" w:sz="4" w:space="4" w:color="auto"/>
        </w:pBdr>
        <w:ind w:right="-648" w:hanging="720"/>
        <w:jc w:val="both"/>
        <w:rPr>
          <w:spacing w:val="2"/>
          <w:sz w:val="20"/>
          <w:u w:val="single"/>
        </w:rPr>
      </w:pPr>
    </w:p>
    <w:p>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u w:val="single"/>
        </w:rPr>
        <w:t>Date de dépôt des formulaires</w:t>
      </w:r>
      <w:r>
        <w:rPr>
          <w:spacing w:val="2"/>
          <w:sz w:val="20"/>
        </w:rPr>
        <w:t xml:space="preserve"> auprès de </w:t>
      </w:r>
      <w:smartTag w:uri="urn:schemas-microsoft-com:office:smarttags" w:element="PersonName">
        <w:smartTagPr>
          <w:attr w:name="ProductID" w:val="la Direction"/>
        </w:smartTagPr>
        <w:r>
          <w:rPr>
            <w:spacing w:val="2"/>
            <w:sz w:val="20"/>
          </w:rPr>
          <w:t>la Direction</w:t>
        </w:r>
      </w:smartTag>
      <w:r>
        <w:rPr>
          <w:spacing w:val="2"/>
          <w:sz w:val="20"/>
        </w:rPr>
        <w:t xml:space="preserve"> de l’école:</w:t>
      </w:r>
      <w:r>
        <w:rPr>
          <w:spacing w:val="2"/>
          <w:sz w:val="20"/>
          <w:szCs w:val="20"/>
        </w:rPr>
        <w:t xml:space="preserve"> ………………………………………………………….</w:t>
      </w:r>
    </w:p>
    <w:p>
      <w:pPr>
        <w:pBdr>
          <w:top w:val="single" w:sz="4" w:space="1" w:color="auto"/>
          <w:left w:val="single" w:sz="4" w:space="4" w:color="auto"/>
          <w:bottom w:val="single" w:sz="4" w:space="1" w:color="auto"/>
          <w:right w:val="single" w:sz="4" w:space="4" w:color="auto"/>
        </w:pBdr>
        <w:ind w:right="-648" w:hanging="720"/>
        <w:jc w:val="both"/>
        <w:rPr>
          <w:spacing w:val="2"/>
          <w:sz w:val="16"/>
          <w:szCs w:val="16"/>
        </w:rPr>
      </w:pPr>
    </w:p>
    <w:p>
      <w:pPr>
        <w:pBdr>
          <w:top w:val="single" w:sz="4" w:space="1" w:color="auto"/>
          <w:left w:val="single" w:sz="4" w:space="4" w:color="auto"/>
          <w:bottom w:val="single" w:sz="4" w:space="1" w:color="auto"/>
          <w:right w:val="single" w:sz="4" w:space="4" w:color="auto"/>
        </w:pBdr>
        <w:ind w:right="-648" w:hanging="720"/>
        <w:jc w:val="both"/>
        <w:rPr>
          <w:spacing w:val="2"/>
          <w:sz w:val="20"/>
          <w:szCs w:val="20"/>
        </w:rPr>
      </w:pPr>
      <w:r>
        <w:rPr>
          <w:spacing w:val="2"/>
          <w:sz w:val="20"/>
          <w:szCs w:val="20"/>
          <w:u w:val="single"/>
        </w:rPr>
        <w:t xml:space="preserve">Signature </w:t>
      </w:r>
      <w:r>
        <w:rPr>
          <w:spacing w:val="2"/>
          <w:sz w:val="20"/>
          <w:szCs w:val="20"/>
        </w:rPr>
        <w:t>de la (des) personne (s) investie(s) de l’autorité parentale </w:t>
      </w:r>
    </w:p>
    <w:p>
      <w:pPr>
        <w:pBdr>
          <w:top w:val="single" w:sz="4" w:space="1" w:color="auto"/>
          <w:left w:val="single" w:sz="4" w:space="4" w:color="auto"/>
          <w:bottom w:val="single" w:sz="4" w:space="1" w:color="auto"/>
          <w:right w:val="single" w:sz="4" w:space="4" w:color="auto"/>
        </w:pBdr>
        <w:ind w:right="-648" w:hanging="720"/>
        <w:jc w:val="both"/>
        <w:rPr>
          <w:spacing w:val="2"/>
          <w:sz w:val="16"/>
          <w:szCs w:val="16"/>
        </w:rPr>
      </w:pPr>
    </w:p>
    <w:p>
      <w:pPr>
        <w:pStyle w:val="annexe"/>
      </w:pPr>
      <w:r>
        <w:rPr>
          <w:smallCaps/>
          <w:sz w:val="16"/>
          <w:szCs w:val="16"/>
        </w:rPr>
        <w:br w:type="page"/>
      </w:r>
      <w:bookmarkStart w:id="2101" w:name="Annexe_24A_2"/>
      <w:bookmarkStart w:id="2102" w:name="_Toc423420187"/>
      <w:bookmarkStart w:id="2103" w:name="_Toc450645436"/>
      <w:bookmarkStart w:id="2104" w:name="_Toc453942675"/>
      <w:bookmarkStart w:id="2105" w:name="_Toc454888292"/>
      <w:bookmarkStart w:id="2106" w:name="_Toc486241913"/>
      <w:bookmarkEnd w:id="2101"/>
      <w:r>
        <w:t>Annexe 2.4.A. (2)</w:t>
      </w:r>
      <w:bookmarkEnd w:id="2102"/>
      <w:bookmarkEnd w:id="2103"/>
      <w:bookmarkEnd w:id="2104"/>
      <w:bookmarkEnd w:id="2105"/>
      <w:bookmarkEnd w:id="2106"/>
    </w:p>
    <w:p>
      <w:pPr>
        <w:ind w:right="-648" w:hanging="720"/>
        <w:jc w:val="both"/>
        <w:rPr>
          <w:i/>
          <w:smallCaps/>
          <w:sz w:val="16"/>
          <w:szCs w:val="16"/>
        </w:rPr>
      </w:pPr>
    </w:p>
    <w:p>
      <w:pPr>
        <w:pBdr>
          <w:top w:val="single" w:sz="4" w:space="1" w:color="auto"/>
          <w:left w:val="single" w:sz="4" w:space="11" w:color="auto"/>
          <w:bottom w:val="single" w:sz="4" w:space="2" w:color="auto"/>
          <w:right w:val="single" w:sz="4" w:space="4" w:color="auto"/>
        </w:pBdr>
        <w:ind w:right="-648" w:hanging="720"/>
        <w:jc w:val="center"/>
        <w:rPr>
          <w:spacing w:val="2"/>
          <w:u w:val="single"/>
        </w:rPr>
      </w:pPr>
      <w:r>
        <w:rPr>
          <w:spacing w:val="2"/>
          <w:u w:val="single"/>
        </w:rPr>
        <w:t>Autre(s) enfant(s) de la famille également concerné(s) par une demande de changement</w:t>
      </w:r>
    </w:p>
    <w:p>
      <w:pPr>
        <w:pBdr>
          <w:top w:val="single" w:sz="4" w:space="1" w:color="auto"/>
          <w:left w:val="single" w:sz="4" w:space="11" w:color="auto"/>
          <w:bottom w:val="single" w:sz="4" w:space="2" w:color="auto"/>
          <w:right w:val="single" w:sz="4" w:space="4" w:color="auto"/>
        </w:pBdr>
        <w:ind w:right="-648" w:hanging="720"/>
        <w:jc w:val="center"/>
        <w:rPr>
          <w:b/>
          <w:sz w:val="20"/>
          <w:szCs w:val="20"/>
          <w:u w:val="single"/>
        </w:rPr>
      </w:pPr>
      <w:r>
        <w:rPr>
          <w:b/>
          <w:i/>
          <w:sz w:val="20"/>
          <w:szCs w:val="20"/>
        </w:rPr>
        <w:t>(Attention: si le motif relève de la force majeure ou de la nécessité absolue, une demande par élève)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9"/>
        <w:gridCol w:w="3098"/>
        <w:gridCol w:w="3121"/>
      </w:tblGrid>
      <w:tr>
        <w:tc>
          <w:tcPr>
            <w:tcW w:w="3069" w:type="dxa"/>
          </w:tcPr>
          <w:p>
            <w:pPr>
              <w:ind w:right="-648" w:hanging="720"/>
              <w:jc w:val="center"/>
              <w:rPr>
                <w:spacing w:val="2"/>
              </w:rPr>
            </w:pPr>
            <w:r>
              <w:rPr>
                <w:spacing w:val="2"/>
              </w:rPr>
              <w:t>Nom</w:t>
            </w:r>
          </w:p>
        </w:tc>
        <w:tc>
          <w:tcPr>
            <w:tcW w:w="3098" w:type="dxa"/>
          </w:tcPr>
          <w:p>
            <w:pPr>
              <w:ind w:right="-648" w:hanging="720"/>
              <w:jc w:val="center"/>
              <w:rPr>
                <w:spacing w:val="2"/>
              </w:rPr>
            </w:pPr>
            <w:r>
              <w:rPr>
                <w:spacing w:val="2"/>
              </w:rPr>
              <w:t>Prénom</w:t>
            </w:r>
          </w:p>
        </w:tc>
        <w:tc>
          <w:tcPr>
            <w:tcW w:w="3121" w:type="dxa"/>
          </w:tcPr>
          <w:p>
            <w:pPr>
              <w:ind w:right="-648" w:hanging="720"/>
              <w:jc w:val="center"/>
              <w:rPr>
                <w:spacing w:val="2"/>
              </w:rPr>
            </w:pPr>
            <w:r>
              <w:rPr>
                <w:spacing w:val="2"/>
              </w:rPr>
              <w:t>Année d’études</w:t>
            </w:r>
          </w:p>
        </w:tc>
      </w:tr>
      <w:tr>
        <w:tc>
          <w:tcPr>
            <w:tcW w:w="3069" w:type="dxa"/>
          </w:tcPr>
          <w:p>
            <w:pPr>
              <w:ind w:right="-648" w:hanging="720"/>
              <w:jc w:val="both"/>
              <w:rPr>
                <w:spacing w:val="2"/>
              </w:rPr>
            </w:pPr>
          </w:p>
        </w:tc>
        <w:tc>
          <w:tcPr>
            <w:tcW w:w="3098" w:type="dxa"/>
          </w:tcPr>
          <w:p>
            <w:pPr>
              <w:ind w:right="-648" w:hanging="720"/>
              <w:jc w:val="both"/>
              <w:rPr>
                <w:spacing w:val="2"/>
              </w:rPr>
            </w:pPr>
          </w:p>
        </w:tc>
        <w:tc>
          <w:tcPr>
            <w:tcW w:w="3121" w:type="dxa"/>
          </w:tcPr>
          <w:p>
            <w:pPr>
              <w:ind w:right="-648" w:hanging="720"/>
              <w:jc w:val="both"/>
              <w:rPr>
                <w:spacing w:val="2"/>
              </w:rPr>
            </w:pPr>
          </w:p>
        </w:tc>
      </w:tr>
      <w:tr>
        <w:tc>
          <w:tcPr>
            <w:tcW w:w="3069" w:type="dxa"/>
          </w:tcPr>
          <w:p>
            <w:pPr>
              <w:ind w:right="-648" w:hanging="720"/>
              <w:jc w:val="both"/>
              <w:rPr>
                <w:spacing w:val="2"/>
              </w:rPr>
            </w:pPr>
          </w:p>
        </w:tc>
        <w:tc>
          <w:tcPr>
            <w:tcW w:w="3098" w:type="dxa"/>
          </w:tcPr>
          <w:p>
            <w:pPr>
              <w:ind w:right="-648" w:hanging="720"/>
              <w:jc w:val="both"/>
              <w:rPr>
                <w:spacing w:val="2"/>
              </w:rPr>
            </w:pPr>
          </w:p>
        </w:tc>
        <w:tc>
          <w:tcPr>
            <w:tcW w:w="3121" w:type="dxa"/>
          </w:tcPr>
          <w:p>
            <w:pPr>
              <w:ind w:right="-648" w:hanging="720"/>
              <w:jc w:val="both"/>
              <w:rPr>
                <w:spacing w:val="2"/>
              </w:rPr>
            </w:pPr>
          </w:p>
        </w:tc>
      </w:tr>
      <w:tr>
        <w:tc>
          <w:tcPr>
            <w:tcW w:w="3069" w:type="dxa"/>
          </w:tcPr>
          <w:p>
            <w:pPr>
              <w:ind w:right="-648" w:hanging="720"/>
              <w:jc w:val="both"/>
              <w:rPr>
                <w:spacing w:val="2"/>
              </w:rPr>
            </w:pPr>
          </w:p>
        </w:tc>
        <w:tc>
          <w:tcPr>
            <w:tcW w:w="3098" w:type="dxa"/>
          </w:tcPr>
          <w:p>
            <w:pPr>
              <w:ind w:right="-648" w:hanging="720"/>
              <w:jc w:val="both"/>
              <w:rPr>
                <w:spacing w:val="2"/>
              </w:rPr>
            </w:pPr>
          </w:p>
        </w:tc>
        <w:tc>
          <w:tcPr>
            <w:tcW w:w="3121" w:type="dxa"/>
          </w:tcPr>
          <w:p>
            <w:pPr>
              <w:ind w:right="-648" w:hanging="720"/>
              <w:jc w:val="both"/>
              <w:rPr>
                <w:spacing w:val="2"/>
              </w:rPr>
            </w:pPr>
          </w:p>
        </w:tc>
      </w:tr>
    </w:tbl>
    <w:p>
      <w:pPr>
        <w:ind w:right="-648" w:hanging="720"/>
        <w:jc w:val="both"/>
        <w:rPr>
          <w:spacing w:val="2"/>
          <w:sz w:val="12"/>
          <w:szCs w:val="12"/>
        </w:rPr>
      </w:pPr>
    </w:p>
    <w:p>
      <w:pPr>
        <w:ind w:right="-648" w:hanging="720"/>
        <w:jc w:val="both"/>
        <w:rPr>
          <w:spacing w:val="2"/>
          <w:sz w:val="20"/>
          <w:szCs w:val="20"/>
        </w:rPr>
      </w:pPr>
    </w:p>
    <w:p>
      <w:pPr>
        <w:pBdr>
          <w:top w:val="single" w:sz="4" w:space="1" w:color="auto"/>
          <w:left w:val="single" w:sz="4" w:space="4" w:color="auto"/>
          <w:bottom w:val="single" w:sz="4" w:space="1" w:color="auto"/>
          <w:right w:val="single" w:sz="4" w:space="4" w:color="auto"/>
        </w:pBdr>
        <w:ind w:right="-648" w:hanging="720"/>
        <w:rPr>
          <w:b/>
          <w:spacing w:val="2"/>
        </w:rPr>
      </w:pPr>
      <w:r>
        <w:rPr>
          <w:b/>
          <w:spacing w:val="2"/>
          <w:u w:val="single"/>
        </w:rPr>
        <w:t>Cadre A.</w:t>
      </w:r>
      <w:r>
        <w:rPr>
          <w:b/>
          <w:spacing w:val="2"/>
        </w:rPr>
        <w:t xml:space="preserve">   INTERVENTION DE </w:t>
      </w:r>
      <w:smartTag w:uri="urn:schemas-microsoft-com:office:smarttags" w:element="PersonName">
        <w:smartTagPr>
          <w:attr w:name="ProductID" w:val="LA DIRECTION DE"/>
        </w:smartTagPr>
        <w:r>
          <w:rPr>
            <w:b/>
            <w:spacing w:val="2"/>
          </w:rPr>
          <w:t>LA DIRECTION DE</w:t>
        </w:r>
      </w:smartTag>
      <w:r>
        <w:rPr>
          <w:b/>
          <w:spacing w:val="2"/>
        </w:rPr>
        <w:t xml:space="preserve"> L’ECOLE DE DEPART</w:t>
      </w:r>
    </w:p>
    <w:p>
      <w:pPr>
        <w:pBdr>
          <w:top w:val="single" w:sz="4" w:space="1" w:color="auto"/>
          <w:left w:val="single" w:sz="4" w:space="4" w:color="auto"/>
          <w:bottom w:val="single" w:sz="4" w:space="1" w:color="auto"/>
          <w:right w:val="single" w:sz="4" w:space="4" w:color="auto"/>
        </w:pBdr>
        <w:ind w:right="-648" w:hanging="720"/>
        <w:jc w:val="both"/>
        <w:rPr>
          <w:spacing w:val="2"/>
          <w:sz w:val="8"/>
          <w:szCs w:val="8"/>
        </w:rPr>
      </w:pPr>
    </w:p>
    <w:p>
      <w:pPr>
        <w:pBdr>
          <w:top w:val="single" w:sz="4" w:space="1" w:color="auto"/>
          <w:left w:val="single" w:sz="4" w:space="4" w:color="auto"/>
          <w:bottom w:val="single" w:sz="4" w:space="1" w:color="auto"/>
          <w:right w:val="single" w:sz="4" w:space="4" w:color="auto"/>
        </w:pBdr>
        <w:ind w:right="-648" w:hanging="720"/>
        <w:rPr>
          <w:spacing w:val="2"/>
        </w:rPr>
      </w:pPr>
      <w:r>
        <w:rPr>
          <w:spacing w:val="2"/>
        </w:rPr>
        <w:t>Date de réception de la demande: …………………………………………..…………………………..…………</w:t>
      </w:r>
    </w:p>
    <w:p>
      <w:pPr>
        <w:pBdr>
          <w:top w:val="single" w:sz="4" w:space="1" w:color="auto"/>
          <w:left w:val="single" w:sz="4" w:space="4" w:color="auto"/>
          <w:bottom w:val="single" w:sz="4" w:space="1" w:color="auto"/>
          <w:right w:val="single" w:sz="4" w:space="4" w:color="auto"/>
        </w:pBdr>
        <w:ind w:right="-648" w:hanging="720"/>
        <w:rPr>
          <w:spacing w:val="2"/>
        </w:rPr>
      </w:pPr>
      <w:r>
        <w:rPr>
          <w:spacing w:val="2"/>
        </w:rPr>
        <w:t>Date de transmis au service de l’Inspection de l’enseignement fondamental: ….………….……….…........</w:t>
      </w:r>
    </w:p>
    <w:p>
      <w:pPr>
        <w:pBdr>
          <w:top w:val="single" w:sz="4" w:space="1" w:color="auto"/>
          <w:left w:val="single" w:sz="4" w:space="4" w:color="auto"/>
          <w:bottom w:val="single" w:sz="4" w:space="1" w:color="auto"/>
          <w:right w:val="single" w:sz="4" w:space="4" w:color="auto"/>
        </w:pBdr>
        <w:ind w:right="-648" w:hanging="720"/>
        <w:jc w:val="center"/>
        <w:rPr>
          <w:spacing w:val="2"/>
          <w:sz w:val="4"/>
          <w:szCs w:val="4"/>
        </w:rPr>
      </w:pPr>
      <w:r>
        <w:rPr>
          <w:spacing w:val="2"/>
          <w:sz w:val="4"/>
          <w:szCs w:val="4"/>
        </w:rPr>
        <w:t>.</w:t>
      </w:r>
    </w:p>
    <w:p>
      <w:pPr>
        <w:pBdr>
          <w:top w:val="single" w:sz="4" w:space="1" w:color="auto"/>
          <w:left w:val="single" w:sz="4" w:space="4" w:color="auto"/>
          <w:bottom w:val="single" w:sz="4" w:space="1" w:color="auto"/>
          <w:right w:val="single" w:sz="4" w:space="4" w:color="auto"/>
        </w:pBdr>
        <w:ind w:right="-648" w:hanging="720"/>
        <w:rPr>
          <w:b/>
          <w:spacing w:val="2"/>
        </w:rPr>
      </w:pPr>
      <w:r>
        <w:rPr>
          <w:b/>
          <w:spacing w:val="2"/>
        </w:rPr>
        <w:t>Changement d’école ou d'implantation*:         autorisé    –    avis défavorable *</w:t>
      </w:r>
    </w:p>
    <w:p>
      <w:pPr>
        <w:pBdr>
          <w:top w:val="single" w:sz="4" w:space="1" w:color="auto"/>
          <w:left w:val="single" w:sz="4" w:space="4" w:color="auto"/>
          <w:bottom w:val="single" w:sz="4" w:space="1" w:color="auto"/>
          <w:right w:val="single" w:sz="4" w:space="4" w:color="auto"/>
        </w:pBdr>
        <w:ind w:right="-648" w:hanging="720"/>
        <w:jc w:val="center"/>
        <w:rPr>
          <w:spacing w:val="2"/>
          <w:sz w:val="4"/>
          <w:szCs w:val="4"/>
        </w:rPr>
      </w:pP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rPr>
      </w:pPr>
      <w:r>
        <w:rPr>
          <w:spacing w:val="2"/>
        </w:rPr>
        <w:t xml:space="preserve">Nom et prénom:                                Signature:                          N° de téléphone:       </w:t>
      </w: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rPr>
      </w:pPr>
      <w:r>
        <w:rPr>
          <w:spacing w:val="2"/>
        </w:rPr>
        <w:tab/>
      </w:r>
      <w:r>
        <w:rPr>
          <w:spacing w:val="2"/>
        </w:rPr>
        <w:tab/>
      </w:r>
      <w:r>
        <w:rPr>
          <w:spacing w:val="2"/>
        </w:rPr>
        <w:tab/>
      </w:r>
      <w:r>
        <w:rPr>
          <w:spacing w:val="2"/>
        </w:rPr>
        <w:tab/>
      </w:r>
      <w:r>
        <w:rPr>
          <w:spacing w:val="2"/>
        </w:rPr>
        <w:tab/>
        <w:t xml:space="preserve">E-mail:                                                          </w:t>
      </w: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rPr>
      </w:pPr>
    </w:p>
    <w:p>
      <w:pPr>
        <w:ind w:right="-648" w:hanging="720"/>
        <w:jc w:val="both"/>
        <w:rPr>
          <w:spacing w:val="2"/>
          <w:sz w:val="16"/>
          <w:szCs w:val="16"/>
        </w:rPr>
      </w:pPr>
    </w:p>
    <w:p>
      <w:pPr>
        <w:pBdr>
          <w:top w:val="single" w:sz="4" w:space="1" w:color="auto"/>
          <w:left w:val="single" w:sz="4" w:space="4" w:color="auto"/>
          <w:bottom w:val="single" w:sz="4" w:space="1" w:color="auto"/>
          <w:right w:val="single" w:sz="4" w:space="4" w:color="auto"/>
        </w:pBdr>
        <w:ind w:right="-648" w:hanging="720"/>
        <w:rPr>
          <w:b/>
          <w:spacing w:val="2"/>
        </w:rPr>
      </w:pPr>
      <w:r>
        <w:rPr>
          <w:b/>
          <w:spacing w:val="2"/>
          <w:u w:val="single"/>
        </w:rPr>
        <w:t>Cadre B.</w:t>
      </w:r>
      <w:r>
        <w:rPr>
          <w:b/>
          <w:spacing w:val="2"/>
        </w:rPr>
        <w:t xml:space="preserve">   DERNIER JOUR DE CLASSE DANS L’ECOLE/IMPLANTATION DE DEPART</w:t>
      </w: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(à ne remplir qu’après autorisation du changement)</w:t>
      </w:r>
    </w:p>
    <w:p>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w:t>
      </w:r>
    </w:p>
    <w:p>
      <w:pPr>
        <w:pBdr>
          <w:top w:val="single" w:sz="4" w:space="1" w:color="auto"/>
          <w:left w:val="single" w:sz="4" w:space="4" w:color="auto"/>
          <w:bottom w:val="single" w:sz="4" w:space="1" w:color="auto"/>
          <w:right w:val="single" w:sz="4" w:space="4" w:color="auto"/>
        </w:pBdr>
        <w:ind w:right="-648" w:hanging="720"/>
        <w:jc w:val="center"/>
        <w:rPr>
          <w:b/>
          <w:spacing w:val="2"/>
          <w:sz w:val="8"/>
          <w:szCs w:val="8"/>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Signature:</w:t>
      </w:r>
    </w:p>
    <w:p>
      <w:pPr>
        <w:pBdr>
          <w:top w:val="single" w:sz="4" w:space="1" w:color="auto"/>
          <w:left w:val="single" w:sz="4" w:space="4" w:color="auto"/>
          <w:bottom w:val="single" w:sz="4" w:space="1" w:color="auto"/>
          <w:right w:val="single" w:sz="4" w:space="4" w:color="auto"/>
        </w:pBdr>
        <w:ind w:right="-648" w:hanging="720"/>
        <w:jc w:val="both"/>
        <w:rPr>
          <w:spacing w:val="2"/>
          <w:sz w:val="8"/>
          <w:szCs w:val="8"/>
        </w:rPr>
      </w:pPr>
    </w:p>
    <w:p>
      <w:pPr>
        <w:pBdr>
          <w:top w:val="single" w:sz="4" w:space="1" w:color="auto"/>
          <w:left w:val="single" w:sz="4" w:space="4" w:color="auto"/>
          <w:bottom w:val="single" w:sz="4" w:space="1" w:color="auto"/>
          <w:right w:val="single" w:sz="4" w:space="4" w:color="auto"/>
        </w:pBdr>
        <w:ind w:left="-720" w:right="-648"/>
        <w:jc w:val="both"/>
        <w:rPr>
          <w:i/>
          <w:spacing w:val="2"/>
          <w:sz w:val="16"/>
          <w:szCs w:val="16"/>
        </w:rPr>
      </w:pPr>
      <w:r>
        <w:rPr>
          <w:i/>
          <w:spacing w:val="2"/>
          <w:sz w:val="16"/>
          <w:szCs w:val="16"/>
        </w:rPr>
        <w:t xml:space="preserve">Si dans un délai de 10 jours suivant la remise des formulaires autorisant le changement aux parents, aucune information concernant l’inscription de l’élève dans la nouvelle école ne peut être obtenue par </w:t>
      </w:r>
      <w:smartTag w:uri="urn:schemas-microsoft-com:office:smarttags" w:element="PersonName">
        <w:smartTagPr>
          <w:attr w:name="ProductID" w:val="la Direction"/>
        </w:smartTagPr>
        <w:r>
          <w:rPr>
            <w:i/>
            <w:spacing w:val="2"/>
            <w:sz w:val="16"/>
            <w:szCs w:val="16"/>
          </w:rPr>
          <w:t>la Direction</w:t>
        </w:r>
      </w:smartTag>
      <w:r>
        <w:rPr>
          <w:i/>
          <w:spacing w:val="2"/>
          <w:sz w:val="16"/>
          <w:szCs w:val="16"/>
        </w:rPr>
        <w:t xml:space="preserve"> de l’école de départ, celle-ci prend contact avec le service de l’obligation scolaire (obsi@cfwb.be).</w:t>
      </w:r>
    </w:p>
    <w:p>
      <w:pPr>
        <w:ind w:right="-648" w:hanging="720"/>
        <w:jc w:val="both"/>
        <w:rPr>
          <w:spacing w:val="2"/>
          <w:sz w:val="16"/>
          <w:szCs w:val="16"/>
        </w:rPr>
      </w:pPr>
    </w:p>
    <w:p>
      <w:pPr>
        <w:pBdr>
          <w:top w:val="single" w:sz="4" w:space="1" w:color="auto"/>
          <w:left w:val="single" w:sz="4" w:space="4" w:color="auto"/>
          <w:bottom w:val="single" w:sz="4" w:space="1" w:color="auto"/>
          <w:right w:val="single" w:sz="4" w:space="4" w:color="auto"/>
        </w:pBdr>
        <w:ind w:right="-648" w:hanging="720"/>
        <w:rPr>
          <w:b/>
          <w:spacing w:val="2"/>
        </w:rPr>
      </w:pPr>
      <w:r>
        <w:rPr>
          <w:b/>
          <w:spacing w:val="2"/>
          <w:u w:val="single"/>
        </w:rPr>
        <w:t>Cadre C.</w:t>
      </w:r>
      <w:r>
        <w:rPr>
          <w:b/>
          <w:spacing w:val="2"/>
        </w:rPr>
        <w:t xml:space="preserve">  </w:t>
      </w:r>
      <w:r>
        <w:rPr>
          <w:b/>
          <w:spacing w:val="-4"/>
          <w:szCs w:val="22"/>
        </w:rPr>
        <w:t xml:space="preserve">PREMIER JOUR DE CLASSE DANS </w:t>
      </w:r>
      <w:smartTag w:uri="urn:schemas-microsoft-com:office:smarttags" w:element="PersonName">
        <w:smartTagPr>
          <w:attr w:name="ProductID" w:val="LA NOUVELLE ECOLE"/>
        </w:smartTagPr>
        <w:r>
          <w:rPr>
            <w:b/>
            <w:spacing w:val="-4"/>
            <w:szCs w:val="22"/>
          </w:rPr>
          <w:t>LA NOUVELLE ECOLE</w:t>
        </w:r>
      </w:smartTag>
      <w:r>
        <w:rPr>
          <w:b/>
          <w:spacing w:val="-4"/>
          <w:szCs w:val="22"/>
        </w:rPr>
        <w:t>/IMPLANTATION D'ARRIVEE</w:t>
      </w:r>
    </w:p>
    <w:p>
      <w:pPr>
        <w:pBdr>
          <w:top w:val="single" w:sz="4" w:space="1" w:color="auto"/>
          <w:left w:val="single" w:sz="4" w:space="4" w:color="auto"/>
          <w:bottom w:val="single" w:sz="4" w:space="1" w:color="auto"/>
          <w:right w:val="single" w:sz="4" w:space="4" w:color="auto"/>
        </w:pBdr>
        <w:ind w:right="-648" w:hanging="720"/>
        <w:jc w:val="center"/>
        <w:rPr>
          <w:b/>
          <w:spacing w:val="2"/>
          <w:sz w:val="18"/>
          <w:szCs w:val="18"/>
        </w:rPr>
      </w:pPr>
      <w:r>
        <w:rPr>
          <w:b/>
          <w:spacing w:val="2"/>
          <w:sz w:val="18"/>
          <w:szCs w:val="18"/>
        </w:rPr>
        <w:t>(à remplir après l’arrivée de l’enfant)</w:t>
      </w:r>
    </w:p>
    <w:p>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w:t>
      </w:r>
    </w:p>
    <w:p>
      <w:pPr>
        <w:pBdr>
          <w:top w:val="single" w:sz="4" w:space="1" w:color="auto"/>
          <w:left w:val="single" w:sz="4" w:space="4" w:color="auto"/>
          <w:bottom w:val="single" w:sz="4" w:space="1" w:color="auto"/>
          <w:right w:val="single" w:sz="4" w:space="4" w:color="auto"/>
        </w:pBdr>
        <w:ind w:right="-648" w:hanging="720"/>
        <w:jc w:val="center"/>
        <w:rPr>
          <w:b/>
          <w:spacing w:val="2"/>
          <w:sz w:val="8"/>
          <w:szCs w:val="8"/>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Signature:</w:t>
      </w:r>
    </w:p>
    <w:p>
      <w:pPr>
        <w:pBdr>
          <w:top w:val="single" w:sz="4" w:space="1" w:color="auto"/>
          <w:left w:val="single" w:sz="4" w:space="4" w:color="auto"/>
          <w:bottom w:val="single" w:sz="4" w:space="1" w:color="auto"/>
          <w:right w:val="single" w:sz="4" w:space="4" w:color="auto"/>
        </w:pBdr>
        <w:ind w:right="-648" w:hanging="720"/>
        <w:jc w:val="both"/>
        <w:rPr>
          <w:spacing w:val="2"/>
        </w:rPr>
      </w:pPr>
      <w:r>
        <w:rPr>
          <w:i/>
          <w:spacing w:val="2"/>
          <w:sz w:val="16"/>
          <w:szCs w:val="16"/>
        </w:rPr>
        <w:t>Communiquer immédiatement à l’école de départ, la date d’arrivée effective de l’élève.</w:t>
      </w:r>
    </w:p>
    <w:p>
      <w:pPr>
        <w:pBdr>
          <w:top w:val="single" w:sz="4" w:space="1" w:color="auto"/>
          <w:left w:val="single" w:sz="4" w:space="4" w:color="auto"/>
          <w:bottom w:val="single" w:sz="4" w:space="1" w:color="auto"/>
          <w:right w:val="single" w:sz="4" w:space="4" w:color="auto"/>
        </w:pBdr>
        <w:ind w:right="-648" w:hanging="720"/>
        <w:jc w:val="both"/>
        <w:rPr>
          <w:spacing w:val="2"/>
          <w:sz w:val="8"/>
          <w:szCs w:val="8"/>
        </w:rPr>
      </w:pPr>
    </w:p>
    <w:p>
      <w:pPr>
        <w:ind w:right="-648" w:hanging="720"/>
        <w:jc w:val="both"/>
        <w:rPr>
          <w:spacing w:val="2"/>
          <w:sz w:val="16"/>
          <w:szCs w:val="16"/>
        </w:rPr>
      </w:pPr>
    </w:p>
    <w:p>
      <w:pPr>
        <w:pBdr>
          <w:top w:val="single" w:sz="4" w:space="1" w:color="auto"/>
          <w:left w:val="single" w:sz="4" w:space="4" w:color="auto"/>
          <w:bottom w:val="single" w:sz="4" w:space="1" w:color="auto"/>
          <w:right w:val="single" w:sz="4" w:space="4" w:color="auto"/>
        </w:pBdr>
        <w:ind w:right="-648" w:hanging="720"/>
        <w:rPr>
          <w:b/>
          <w:spacing w:val="-2"/>
          <w:sz w:val="20"/>
          <w:szCs w:val="20"/>
        </w:rPr>
      </w:pPr>
      <w:r>
        <w:rPr>
          <w:b/>
          <w:spacing w:val="2"/>
          <w:u w:val="single"/>
        </w:rPr>
        <w:t>Cadre D</w:t>
      </w:r>
      <w:r>
        <w:rPr>
          <w:b/>
          <w:spacing w:val="2"/>
        </w:rPr>
        <w:t xml:space="preserve">.  </w:t>
      </w:r>
      <w:r>
        <w:rPr>
          <w:b/>
          <w:spacing w:val="-2"/>
          <w:sz w:val="20"/>
          <w:szCs w:val="20"/>
        </w:rPr>
        <w:t>INTERVENTION DU SERVICE DE L’INSPECTION DE L’ENSEIGNEMENT FONDAMENTAL - AVIS</w:t>
      </w:r>
    </w:p>
    <w:p>
      <w:pPr>
        <w:pBdr>
          <w:top w:val="single" w:sz="4" w:space="1" w:color="auto"/>
          <w:left w:val="single" w:sz="4" w:space="4" w:color="auto"/>
          <w:bottom w:val="single" w:sz="4" w:space="1" w:color="auto"/>
          <w:right w:val="single" w:sz="4" w:space="4" w:color="auto"/>
        </w:pBdr>
        <w:ind w:right="-648" w:hanging="720"/>
        <w:jc w:val="both"/>
        <w:rPr>
          <w:spacing w:val="2"/>
          <w:sz w:val="8"/>
          <w:szCs w:val="8"/>
        </w:rPr>
      </w:pPr>
    </w:p>
    <w:p>
      <w:pPr>
        <w:pBdr>
          <w:top w:val="single" w:sz="4" w:space="1" w:color="auto"/>
          <w:left w:val="single" w:sz="4" w:space="4" w:color="auto"/>
          <w:bottom w:val="single" w:sz="4" w:space="1" w:color="auto"/>
          <w:right w:val="single" w:sz="4" w:space="4" w:color="auto"/>
        </w:pBdr>
        <w:ind w:right="-648" w:hanging="720"/>
        <w:rPr>
          <w:spacing w:val="2"/>
        </w:rPr>
      </w:pPr>
      <w:r>
        <w:rPr>
          <w:spacing w:val="2"/>
        </w:rPr>
        <w:t>Date de réception du dossier transmis par la direction de l’école de départ: ….…..………………...………</w:t>
      </w:r>
    </w:p>
    <w:p>
      <w:pPr>
        <w:pBdr>
          <w:top w:val="single" w:sz="4" w:space="1" w:color="auto"/>
          <w:left w:val="single" w:sz="4" w:space="4" w:color="auto"/>
          <w:bottom w:val="single" w:sz="4" w:space="1" w:color="auto"/>
          <w:right w:val="single" w:sz="4" w:space="4" w:color="auto"/>
        </w:pBdr>
        <w:ind w:right="-648" w:hanging="720"/>
        <w:rPr>
          <w:spacing w:val="2"/>
          <w:sz w:val="8"/>
          <w:szCs w:val="8"/>
        </w:rPr>
      </w:pPr>
      <w:r>
        <w:rPr>
          <w:spacing w:val="2"/>
        </w:rPr>
        <w:t xml:space="preserve">Date de transmis du dossier à </w:t>
      </w:r>
      <w:smartTag w:uri="urn:schemas-microsoft-com:office:smarttags" w:element="PersonName">
        <w:smartTagPr>
          <w:attr w:name="ProductID" w:val="la D.G"/>
        </w:smartTagPr>
        <w:r>
          <w:rPr>
            <w:spacing w:val="2"/>
          </w:rPr>
          <w:t>la D.G</w:t>
        </w:r>
      </w:smartTag>
      <w:r>
        <w:rPr>
          <w:spacing w:val="2"/>
        </w:rPr>
        <w:t>.de l’Enseignement obligatoire:……..…..….……….......................…</w:t>
      </w:r>
    </w:p>
    <w:p>
      <w:pPr>
        <w:pBdr>
          <w:top w:val="single" w:sz="4" w:space="1" w:color="auto"/>
          <w:left w:val="single" w:sz="4" w:space="4" w:color="auto"/>
          <w:bottom w:val="single" w:sz="4" w:space="1" w:color="auto"/>
          <w:right w:val="single" w:sz="4" w:space="4" w:color="auto"/>
        </w:pBdr>
        <w:ind w:right="-648" w:hanging="720"/>
        <w:rPr>
          <w:b/>
          <w:spacing w:val="2"/>
        </w:rPr>
      </w:pPr>
      <w:r>
        <w:rPr>
          <w:b/>
          <w:spacing w:val="2"/>
        </w:rPr>
        <w:t xml:space="preserve">Changement d’école ou d’implantation*: </w:t>
      </w:r>
      <w:r>
        <w:rPr>
          <w:b/>
          <w:spacing w:val="2"/>
        </w:rPr>
        <w:tab/>
        <w:t>avis favorable    -    avis défavorable *</w:t>
      </w:r>
    </w:p>
    <w:p>
      <w:pPr>
        <w:pBdr>
          <w:top w:val="single" w:sz="4" w:space="1" w:color="auto"/>
          <w:left w:val="single" w:sz="4" w:space="4" w:color="auto"/>
          <w:bottom w:val="single" w:sz="4" w:space="1" w:color="auto"/>
          <w:right w:val="single" w:sz="4" w:space="4" w:color="auto"/>
        </w:pBdr>
        <w:ind w:right="-648" w:hanging="720"/>
        <w:jc w:val="both"/>
        <w:rPr>
          <w:spacing w:val="2"/>
          <w:sz w:val="8"/>
          <w:szCs w:val="8"/>
        </w:rPr>
      </w:pP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rPr>
      </w:pPr>
      <w:r>
        <w:rPr>
          <w:spacing w:val="2"/>
        </w:rPr>
        <w:t>Nom et prénom:                                            Signature:                          N° de téléphone:</w:t>
      </w: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rPr>
      </w:pPr>
    </w:p>
    <w:p>
      <w:pPr>
        <w:pBdr>
          <w:top w:val="single" w:sz="4" w:space="1" w:color="auto"/>
          <w:left w:val="single" w:sz="4" w:space="4" w:color="auto"/>
          <w:bottom w:val="single" w:sz="4" w:space="1" w:color="auto"/>
          <w:right w:val="single" w:sz="4" w:space="4" w:color="auto"/>
        </w:pBdr>
        <w:tabs>
          <w:tab w:val="left" w:pos="4140"/>
        </w:tabs>
        <w:ind w:right="-648" w:hanging="720"/>
        <w:jc w:val="both"/>
        <w:rPr>
          <w:spacing w:val="2"/>
        </w:rPr>
      </w:pPr>
    </w:p>
    <w:p>
      <w:pPr>
        <w:ind w:right="-648" w:hanging="720"/>
        <w:jc w:val="both"/>
        <w:rPr>
          <w:spacing w:val="2"/>
          <w:sz w:val="16"/>
          <w:szCs w:val="16"/>
        </w:rPr>
      </w:pPr>
    </w:p>
    <w:p>
      <w:pPr>
        <w:pBdr>
          <w:top w:val="single" w:sz="4" w:space="1" w:color="auto"/>
          <w:left w:val="single" w:sz="4" w:space="4" w:color="auto"/>
          <w:bottom w:val="single" w:sz="4" w:space="1" w:color="auto"/>
          <w:right w:val="single" w:sz="4" w:space="4" w:color="auto"/>
        </w:pBdr>
        <w:ind w:left="-720" w:right="-648"/>
        <w:rPr>
          <w:b/>
          <w:spacing w:val="-4"/>
          <w:szCs w:val="22"/>
        </w:rPr>
      </w:pPr>
      <w:r>
        <w:rPr>
          <w:b/>
          <w:spacing w:val="2"/>
          <w:u w:val="single"/>
        </w:rPr>
        <w:t>Cadre E.</w:t>
      </w:r>
      <w:r>
        <w:rPr>
          <w:b/>
          <w:spacing w:val="2"/>
        </w:rPr>
        <w:t xml:space="preserve">  </w:t>
      </w:r>
      <w:r>
        <w:rPr>
          <w:b/>
          <w:spacing w:val="-4"/>
          <w:szCs w:val="22"/>
        </w:rPr>
        <w:t xml:space="preserve">INTERVENTION DE </w:t>
      </w:r>
      <w:smartTag w:uri="urn:schemas-microsoft-com:office:smarttags" w:element="PersonName">
        <w:smartTagPr>
          <w:attr w:name="ProductID" w:val="LA D.G. DE"/>
        </w:smartTagPr>
        <w:r>
          <w:rPr>
            <w:b/>
            <w:spacing w:val="-4"/>
            <w:szCs w:val="22"/>
          </w:rPr>
          <w:t>LA D.G. DE</w:t>
        </w:r>
      </w:smartTag>
      <w:r>
        <w:rPr>
          <w:b/>
          <w:spacing w:val="-4"/>
          <w:szCs w:val="22"/>
        </w:rPr>
        <w:t xml:space="preserve"> L’ENSEIGNEMENT OBLIGATOIRE  -  DECISION</w:t>
      </w:r>
    </w:p>
    <w:p>
      <w:pPr>
        <w:pBdr>
          <w:top w:val="single" w:sz="4" w:space="1" w:color="auto"/>
          <w:left w:val="single" w:sz="4" w:space="4" w:color="auto"/>
          <w:bottom w:val="single" w:sz="4" w:space="1" w:color="auto"/>
          <w:right w:val="single" w:sz="4" w:space="4" w:color="auto"/>
        </w:pBdr>
        <w:ind w:left="-720" w:right="-648"/>
        <w:rPr>
          <w:b/>
          <w:spacing w:val="-4"/>
          <w:sz w:val="8"/>
          <w:szCs w:val="8"/>
        </w:rPr>
      </w:pPr>
    </w:p>
    <w:p>
      <w:pPr>
        <w:pBdr>
          <w:top w:val="single" w:sz="4" w:space="1" w:color="auto"/>
          <w:left w:val="single" w:sz="4" w:space="4" w:color="auto"/>
          <w:bottom w:val="single" w:sz="4" w:space="1" w:color="auto"/>
          <w:right w:val="single" w:sz="4" w:space="4" w:color="auto"/>
        </w:pBdr>
        <w:ind w:left="-720" w:right="-648"/>
        <w:rPr>
          <w:spacing w:val="2"/>
        </w:rPr>
      </w:pPr>
      <w:r>
        <w:rPr>
          <w:spacing w:val="-4"/>
          <w:szCs w:val="22"/>
        </w:rPr>
        <w:t xml:space="preserve">Date de réception du dossier transmis par le service de l’Inspection de l’ens. fond.: </w:t>
      </w:r>
      <w:r>
        <w:rPr>
          <w:spacing w:val="2"/>
        </w:rPr>
        <w:t xml:space="preserve">……….………………..….. </w:t>
      </w:r>
    </w:p>
    <w:p>
      <w:pPr>
        <w:pBdr>
          <w:top w:val="single" w:sz="4" w:space="1" w:color="auto"/>
          <w:left w:val="single" w:sz="4" w:space="4" w:color="auto"/>
          <w:bottom w:val="single" w:sz="4" w:space="1" w:color="auto"/>
          <w:right w:val="single" w:sz="4" w:space="4" w:color="auto"/>
        </w:pBdr>
        <w:ind w:left="-720" w:right="-648"/>
        <w:rPr>
          <w:spacing w:val="2"/>
        </w:rPr>
      </w:pPr>
      <w:r>
        <w:rPr>
          <w:spacing w:val="2"/>
        </w:rPr>
        <w:t>Date de prise de décision et de transmis auprès de tous les intervenants: ……………………….………....</w:t>
      </w:r>
    </w:p>
    <w:p>
      <w:pPr>
        <w:pBdr>
          <w:top w:val="single" w:sz="4" w:space="1" w:color="auto"/>
          <w:left w:val="single" w:sz="4" w:space="4" w:color="auto"/>
          <w:bottom w:val="single" w:sz="4" w:space="1" w:color="auto"/>
          <w:right w:val="single" w:sz="4" w:space="4" w:color="auto"/>
        </w:pBdr>
        <w:ind w:left="-720" w:right="-648"/>
        <w:rPr>
          <w:spacing w:val="2"/>
          <w:sz w:val="8"/>
          <w:szCs w:val="8"/>
        </w:rPr>
      </w:pPr>
    </w:p>
    <w:p>
      <w:pPr>
        <w:pBdr>
          <w:top w:val="single" w:sz="4" w:space="1" w:color="auto"/>
          <w:left w:val="single" w:sz="4" w:space="4" w:color="auto"/>
          <w:bottom w:val="single" w:sz="4" w:space="1" w:color="auto"/>
          <w:right w:val="single" w:sz="4" w:space="4" w:color="auto"/>
        </w:pBdr>
        <w:ind w:left="-720" w:right="-648"/>
        <w:jc w:val="center"/>
        <w:rPr>
          <w:spacing w:val="2"/>
          <w:sz w:val="20"/>
          <w:szCs w:val="20"/>
        </w:rPr>
      </w:pPr>
      <w:r>
        <w:rPr>
          <w:spacing w:val="2"/>
          <w:sz w:val="20"/>
          <w:szCs w:val="20"/>
        </w:rPr>
        <w:t>Service général de l’Enseignement fondamental et de l’Enseignement spécialisé</w:t>
      </w:r>
    </w:p>
    <w:p>
      <w:pPr>
        <w:pBdr>
          <w:top w:val="single" w:sz="4" w:space="1" w:color="auto"/>
          <w:left w:val="single" w:sz="4" w:space="4" w:color="auto"/>
          <w:bottom w:val="single" w:sz="4" w:space="1" w:color="auto"/>
          <w:right w:val="single" w:sz="4" w:space="4" w:color="auto"/>
        </w:pBdr>
        <w:ind w:left="-720" w:right="-648"/>
        <w:jc w:val="center"/>
        <w:rPr>
          <w:spacing w:val="2"/>
          <w:sz w:val="20"/>
          <w:szCs w:val="20"/>
        </w:rPr>
      </w:pPr>
      <w:r>
        <w:rPr>
          <w:spacing w:val="2"/>
          <w:sz w:val="20"/>
          <w:szCs w:val="20"/>
        </w:rPr>
        <w:t>Rue A. Lavallée, 1 – 1080 BRUXELLES</w:t>
      </w:r>
    </w:p>
    <w:p>
      <w:pPr>
        <w:pBdr>
          <w:top w:val="single" w:sz="4" w:space="1" w:color="auto"/>
          <w:left w:val="single" w:sz="4" w:space="4" w:color="auto"/>
          <w:bottom w:val="single" w:sz="4" w:space="1" w:color="auto"/>
          <w:right w:val="single" w:sz="4" w:space="4" w:color="auto"/>
        </w:pBdr>
        <w:ind w:left="-720" w:right="-648"/>
        <w:jc w:val="center"/>
        <w:rPr>
          <w:spacing w:val="2"/>
          <w:sz w:val="20"/>
          <w:szCs w:val="20"/>
        </w:rPr>
      </w:pPr>
      <w:r>
        <w:rPr>
          <w:spacing w:val="2"/>
          <w:sz w:val="20"/>
          <w:szCs w:val="20"/>
        </w:rPr>
        <w:t>Tél .: 02/690.84.00</w:t>
      </w:r>
    </w:p>
    <w:p>
      <w:pPr>
        <w:pBdr>
          <w:top w:val="single" w:sz="4" w:space="1" w:color="auto"/>
          <w:left w:val="single" w:sz="4" w:space="4" w:color="auto"/>
          <w:bottom w:val="single" w:sz="4" w:space="1" w:color="auto"/>
          <w:right w:val="single" w:sz="4" w:space="4" w:color="auto"/>
        </w:pBdr>
        <w:ind w:left="-720" w:right="-648"/>
        <w:jc w:val="center"/>
        <w:rPr>
          <w:spacing w:val="2"/>
          <w:sz w:val="8"/>
          <w:szCs w:val="8"/>
        </w:rPr>
      </w:pPr>
    </w:p>
    <w:p>
      <w:pPr>
        <w:pBdr>
          <w:top w:val="single" w:sz="4" w:space="1" w:color="auto"/>
          <w:left w:val="single" w:sz="4" w:space="4" w:color="auto"/>
          <w:bottom w:val="single" w:sz="4" w:space="1" w:color="auto"/>
          <w:right w:val="single" w:sz="4" w:space="4" w:color="auto"/>
        </w:pBdr>
        <w:ind w:left="-720" w:right="-648"/>
        <w:jc w:val="center"/>
        <w:rPr>
          <w:b/>
          <w:spacing w:val="2"/>
        </w:rPr>
      </w:pPr>
      <w:r>
        <w:rPr>
          <w:b/>
          <w:spacing w:val="2"/>
        </w:rPr>
        <w:t>Changement d’école ou d’implantation*:       autorisé   –    refusé*</w:t>
      </w:r>
    </w:p>
    <w:p>
      <w:pPr>
        <w:pBdr>
          <w:top w:val="single" w:sz="4" w:space="1" w:color="auto"/>
          <w:left w:val="single" w:sz="4" w:space="4" w:color="auto"/>
          <w:bottom w:val="single" w:sz="4" w:space="1" w:color="auto"/>
          <w:right w:val="single" w:sz="4" w:space="4" w:color="auto"/>
        </w:pBdr>
        <w:ind w:left="-720" w:right="-648"/>
        <w:jc w:val="center"/>
        <w:rPr>
          <w:b/>
          <w:spacing w:val="2"/>
          <w:sz w:val="10"/>
          <w:szCs w:val="10"/>
        </w:rPr>
      </w:pPr>
    </w:p>
    <w:p>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20"/>
          <w:szCs w:val="20"/>
        </w:rPr>
      </w:pPr>
      <w:r>
        <w:rPr>
          <w:spacing w:val="2"/>
        </w:rPr>
        <w:tab/>
      </w:r>
      <w:r>
        <w:rPr>
          <w:spacing w:val="2"/>
          <w:sz w:val="20"/>
          <w:szCs w:val="20"/>
        </w:rPr>
        <w:t>Le Ministre, par délégation,</w:t>
      </w:r>
    </w:p>
    <w:p>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20"/>
          <w:szCs w:val="20"/>
        </w:rPr>
      </w:pPr>
    </w:p>
    <w:p>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20"/>
          <w:szCs w:val="20"/>
        </w:rPr>
      </w:pPr>
    </w:p>
    <w:p>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20"/>
          <w:szCs w:val="20"/>
        </w:rPr>
      </w:pPr>
    </w:p>
    <w:p>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20"/>
          <w:szCs w:val="20"/>
        </w:rPr>
      </w:pPr>
    </w:p>
    <w:p>
      <w:pPr>
        <w:pBdr>
          <w:top w:val="single" w:sz="4" w:space="1" w:color="auto"/>
          <w:left w:val="single" w:sz="4" w:space="4" w:color="auto"/>
          <w:bottom w:val="single" w:sz="4" w:space="1" w:color="auto"/>
          <w:right w:val="single" w:sz="4" w:space="4" w:color="auto"/>
        </w:pBdr>
        <w:tabs>
          <w:tab w:val="left" w:pos="5220"/>
          <w:tab w:val="left" w:pos="6480"/>
        </w:tabs>
        <w:ind w:left="-720" w:right="-648"/>
        <w:jc w:val="center"/>
        <w:rPr>
          <w:spacing w:val="2"/>
          <w:sz w:val="20"/>
          <w:szCs w:val="20"/>
        </w:rPr>
      </w:pPr>
    </w:p>
    <w:p>
      <w:pPr>
        <w:pBdr>
          <w:top w:val="single" w:sz="4" w:space="1" w:color="auto"/>
          <w:left w:val="single" w:sz="4" w:space="4" w:color="auto"/>
          <w:bottom w:val="single" w:sz="4" w:space="1" w:color="auto"/>
          <w:right w:val="single" w:sz="4" w:space="4" w:color="auto"/>
        </w:pBdr>
        <w:tabs>
          <w:tab w:val="left" w:pos="5220"/>
          <w:tab w:val="left" w:pos="6480"/>
        </w:tabs>
        <w:ind w:left="-720" w:right="-648"/>
        <w:rPr>
          <w:i/>
          <w:spacing w:val="2"/>
          <w:sz w:val="16"/>
          <w:szCs w:val="16"/>
        </w:rPr>
      </w:pPr>
      <w:r>
        <w:rPr>
          <w:i/>
          <w:spacing w:val="2"/>
          <w:sz w:val="16"/>
          <w:szCs w:val="16"/>
        </w:rPr>
        <w:t>Motivation dans un courrier annexe.</w:t>
      </w:r>
    </w:p>
    <w:p>
      <w:pPr>
        <w:ind w:right="-648" w:hanging="720"/>
        <w:rPr>
          <w:sz w:val="16"/>
          <w:szCs w:val="16"/>
        </w:rPr>
      </w:pPr>
      <w:r>
        <w:t xml:space="preserve">* </w:t>
      </w:r>
      <w:r>
        <w:rPr>
          <w:sz w:val="16"/>
          <w:szCs w:val="16"/>
        </w:rPr>
        <w:t>Biffer la mention inutile</w:t>
      </w:r>
    </w:p>
    <w:p>
      <w:pPr>
        <w:ind w:right="-648" w:hanging="720"/>
        <w:rPr>
          <w:i/>
          <w:spacing w:val="2"/>
          <w:sz w:val="2"/>
          <w:szCs w:val="2"/>
        </w:rPr>
      </w:pPr>
      <w:r>
        <w:rPr>
          <w:sz w:val="16"/>
          <w:szCs w:val="16"/>
        </w:rPr>
        <w:br w:type="page"/>
      </w:r>
    </w:p>
    <w:p>
      <w:pPr>
        <w:pStyle w:val="annexe"/>
      </w:pPr>
      <w:bookmarkStart w:id="2107" w:name="_Toc295913867"/>
      <w:bookmarkStart w:id="2108" w:name="_Toc423420188"/>
      <w:bookmarkStart w:id="2109" w:name="_Toc450645437"/>
      <w:bookmarkStart w:id="2110" w:name="_Toc453942676"/>
      <w:bookmarkStart w:id="2111" w:name="_Toc454888293"/>
      <w:bookmarkStart w:id="2112" w:name="_Toc486241914"/>
      <w:r>
        <w:t>A</w:t>
      </w:r>
      <w:bookmarkStart w:id="2113" w:name="Annexe_24B"/>
      <w:bookmarkEnd w:id="2113"/>
      <w:r>
        <w:t xml:space="preserve">nnexe 2.4.B.  Demande d’autorisation de changement d’école ou d’implantation à comptage séparé en cours d’année scolaire ou en cours de cycle: FWB </w:t>
      </w:r>
      <w:r>
        <w:sym w:font="Wingdings" w:char="F0E0"/>
      </w:r>
      <w:r>
        <w:t xml:space="preserve"> FWB – Formule II</w:t>
      </w:r>
      <w:bookmarkEnd w:id="2107"/>
      <w:bookmarkEnd w:id="2108"/>
      <w:bookmarkEnd w:id="2109"/>
      <w:bookmarkEnd w:id="2110"/>
      <w:bookmarkEnd w:id="2111"/>
      <w:bookmarkEnd w:id="2112"/>
    </w:p>
    <w:p>
      <w:pPr>
        <w:ind w:right="-648"/>
        <w:jc w:val="both"/>
        <w:rPr>
          <w:spacing w:val="2"/>
        </w:rPr>
      </w:pPr>
    </w:p>
    <w:p>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SEPARE </w:t>
      </w:r>
      <w:r>
        <w:rPr>
          <w:b/>
        </w:rPr>
        <w:t>EN COURS D’ANNEE SCOLAIRE OU EN COURS DE CYCLE</w:t>
      </w:r>
    </w:p>
    <w:p>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pPr>
        <w:ind w:right="-648" w:hanging="720"/>
        <w:jc w:val="both"/>
        <w:rPr>
          <w:spacing w:val="2"/>
        </w:rPr>
      </w:pPr>
    </w:p>
    <w:p>
      <w:pPr>
        <w:ind w:right="-648" w:hanging="720"/>
        <w:jc w:val="center"/>
        <w:rPr>
          <w:b/>
          <w:spacing w:val="2"/>
          <w:u w:val="single"/>
        </w:rPr>
      </w:pPr>
      <w:r>
        <w:rPr>
          <w:b/>
          <w:spacing w:val="2"/>
          <w:u w:val="single"/>
        </w:rPr>
        <w:t>FORMULE II</w:t>
      </w:r>
    </w:p>
    <w:p>
      <w:pPr>
        <w:ind w:right="-648" w:hanging="720"/>
        <w:jc w:val="center"/>
        <w:rPr>
          <w:spacing w:val="2"/>
        </w:rPr>
      </w:pPr>
      <w:r>
        <w:rPr>
          <w:spacing w:val="2"/>
        </w:rPr>
        <w:t>à remplir en 1 exemplaire</w:t>
      </w:r>
    </w:p>
    <w:p>
      <w:pPr>
        <w:ind w:right="-648" w:hanging="720"/>
        <w:jc w:val="center"/>
        <w:rPr>
          <w:b/>
          <w:spacing w:val="2"/>
          <w:sz w:val="20"/>
          <w:szCs w:val="20"/>
        </w:rPr>
      </w:pPr>
      <w:r>
        <w:rPr>
          <w:b/>
          <w:spacing w:val="2"/>
          <w:sz w:val="20"/>
          <w:szCs w:val="20"/>
          <w:u w:val="single"/>
        </w:rPr>
        <w:t>dans un cas de force majeure ou d’absolue nécessité</w:t>
      </w:r>
      <w:r>
        <w:rPr>
          <w:b/>
          <w:spacing w:val="2"/>
          <w:sz w:val="20"/>
          <w:szCs w:val="20"/>
        </w:rPr>
        <w:t xml:space="preserve"> pour lequel la direction de l’école accorde le changement ou émet un avis défavorable </w:t>
      </w:r>
    </w:p>
    <w:p>
      <w:pPr>
        <w:ind w:right="-648" w:hanging="720"/>
        <w:jc w:val="center"/>
        <w:rPr>
          <w:spacing w:val="2"/>
        </w:rPr>
      </w:pPr>
    </w:p>
    <w:p>
      <w:pP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b/>
          <w:spacing w:val="2"/>
        </w:rPr>
      </w:pPr>
      <w:r>
        <w:rPr>
          <w:b/>
          <w:spacing w:val="2"/>
        </w:rPr>
        <w:t>RENSEIGNEMENTS CONCERNANT L’ELEVE</w:t>
      </w:r>
    </w:p>
    <w:p>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(à remplir par la direction de l’école de départ)</w:t>
      </w:r>
    </w:p>
    <w:p>
      <w:pPr>
        <w:pBdr>
          <w:top w:val="single" w:sz="4" w:space="1" w:color="auto"/>
          <w:left w:val="single" w:sz="4" w:space="4" w:color="auto"/>
          <w:bottom w:val="single" w:sz="4" w:space="1" w:color="auto"/>
          <w:right w:val="single" w:sz="4" w:space="4" w:color="auto"/>
        </w:pBdr>
        <w:ind w:right="-648" w:hanging="720"/>
        <w:jc w:val="both"/>
        <w:rPr>
          <w:b/>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Nom en imprimé, prénom: …………………………………………………………………………………….…..</w:t>
      </w:r>
    </w:p>
    <w:p>
      <w:pPr>
        <w:pBdr>
          <w:top w:val="single" w:sz="4" w:space="1" w:color="auto"/>
          <w:left w:val="single" w:sz="4" w:space="4" w:color="auto"/>
          <w:bottom w:val="single" w:sz="4" w:space="1" w:color="auto"/>
          <w:right w:val="single" w:sz="4" w:space="4" w:color="auto"/>
        </w:pBdr>
        <w:ind w:right="-648" w:hanging="720"/>
        <w:jc w:val="both"/>
        <w:rPr>
          <w:b/>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Date de naissance: ……………………………………………………………..…………………………………..</w:t>
      </w:r>
    </w:p>
    <w:p>
      <w:pPr>
        <w:pBdr>
          <w:top w:val="single" w:sz="4" w:space="1" w:color="auto"/>
          <w:left w:val="single" w:sz="4" w:space="4" w:color="auto"/>
          <w:bottom w:val="single" w:sz="4" w:space="1" w:color="auto"/>
          <w:right w:val="single" w:sz="4" w:space="4" w:color="auto"/>
        </w:pBdr>
        <w:ind w:right="-648" w:hanging="720"/>
        <w:jc w:val="both"/>
        <w:rPr>
          <w:spacing w:val="2"/>
        </w:rPr>
      </w:pPr>
    </w:p>
    <w:p>
      <w:pPr>
        <w:pStyle w:val="Corpsdetexte3"/>
        <w:ind w:right="-648" w:hanging="720"/>
      </w:pPr>
    </w:p>
    <w:p>
      <w:pPr>
        <w:pBdr>
          <w:top w:val="single" w:sz="4" w:space="1" w:color="auto"/>
          <w:left w:val="single" w:sz="4" w:space="4" w:color="auto"/>
          <w:bottom w:val="single" w:sz="4" w:space="1" w:color="auto"/>
          <w:right w:val="single" w:sz="4" w:space="4" w:color="auto"/>
        </w:pBdr>
        <w:ind w:right="-648" w:hanging="720"/>
        <w:rPr>
          <w:b/>
          <w:spacing w:val="2"/>
        </w:rPr>
      </w:pPr>
      <w:r>
        <w:rPr>
          <w:b/>
          <w:spacing w:val="2"/>
        </w:rPr>
        <w:t xml:space="preserve">INTERVENTION DE </w:t>
      </w:r>
      <w:smartTag w:uri="urn:schemas-microsoft-com:office:smarttags" w:element="PersonName">
        <w:smartTagPr>
          <w:attr w:name="ProductID" w:val="LA DIRECTION DE"/>
        </w:smartTagPr>
        <w:r>
          <w:rPr>
            <w:b/>
            <w:spacing w:val="2"/>
          </w:rPr>
          <w:t>LA DIRECTION DE</w:t>
        </w:r>
      </w:smartTag>
      <w:r>
        <w:rPr>
          <w:b/>
          <w:spacing w:val="2"/>
        </w:rPr>
        <w:t xml:space="preserve"> L’ECOLE DE DEPART</w:t>
      </w:r>
    </w:p>
    <w:p>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Justification de la décision rendue ou de l’avis exprimé au cadre A de la formule I</w:t>
      </w:r>
    </w:p>
    <w:p>
      <w:pPr>
        <w:pBdr>
          <w:top w:val="single" w:sz="4" w:space="1" w:color="auto"/>
          <w:left w:val="single" w:sz="4" w:space="4" w:color="auto"/>
          <w:bottom w:val="single" w:sz="4" w:space="1" w:color="auto"/>
          <w:right w:val="single" w:sz="4" w:space="4" w:color="auto"/>
        </w:pBdr>
        <w:ind w:right="-648" w:hanging="720"/>
        <w:jc w:val="center"/>
        <w:rPr>
          <w:spacing w:val="2"/>
        </w:rPr>
      </w:pPr>
    </w:p>
    <w:p>
      <w:pPr>
        <w:pBdr>
          <w:top w:val="single" w:sz="4" w:space="1" w:color="auto"/>
          <w:left w:val="single" w:sz="4" w:space="4" w:color="auto"/>
          <w:bottom w:val="single" w:sz="4" w:space="1" w:color="auto"/>
          <w:right w:val="single" w:sz="4" w:space="4" w:color="auto"/>
        </w:pBdr>
        <w:ind w:left="-697" w:right="-648" w:hanging="23"/>
        <w:rPr>
          <w:i/>
          <w:spacing w:val="2"/>
          <w:sz w:val="16"/>
          <w:szCs w:val="16"/>
        </w:rPr>
      </w:pPr>
      <w:r>
        <w:rPr>
          <w:i/>
          <w:spacing w:val="2"/>
          <w:sz w:val="16"/>
          <w:szCs w:val="16"/>
        </w:rPr>
        <w:t xml:space="preserve">(En cas d’autorisation par </w:t>
      </w:r>
      <w:smartTag w:uri="urn:schemas-microsoft-com:office:smarttags" w:element="PersonName">
        <w:smartTagPr>
          <w:attr w:name="ProductID" w:val="la Direction"/>
        </w:smartTagPr>
        <w:r>
          <w:rPr>
            <w:i/>
            <w:spacing w:val="2"/>
            <w:sz w:val="16"/>
            <w:szCs w:val="16"/>
          </w:rPr>
          <w:t>la Direction</w:t>
        </w:r>
      </w:smartTag>
      <w:r>
        <w:rPr>
          <w:i/>
          <w:spacing w:val="2"/>
          <w:sz w:val="16"/>
          <w:szCs w:val="16"/>
        </w:rPr>
        <w:t xml:space="preserve"> de l’école pour un motif de force majeure ou de nécessité absolue, à garder à disposition du Service de l’Inspection de l’Enseignement fondamental).</w:t>
      </w:r>
    </w:p>
    <w:p>
      <w:pPr>
        <w:pBdr>
          <w:top w:val="single" w:sz="4" w:space="1" w:color="auto"/>
          <w:left w:val="single" w:sz="4" w:space="4" w:color="auto"/>
          <w:bottom w:val="single" w:sz="4" w:space="1" w:color="auto"/>
          <w:right w:val="single" w:sz="4" w:space="4" w:color="auto"/>
        </w:pBdr>
        <w:ind w:right="-648" w:hanging="720"/>
        <w:rPr>
          <w:spacing w:val="2"/>
          <w:sz w:val="16"/>
          <w:szCs w:val="16"/>
        </w:rPr>
      </w:pPr>
    </w:p>
    <w:p>
      <w:pPr>
        <w:pBdr>
          <w:top w:val="single" w:sz="4" w:space="1" w:color="auto"/>
          <w:left w:val="single" w:sz="4" w:space="4" w:color="auto"/>
          <w:bottom w:val="single" w:sz="4" w:space="1" w:color="auto"/>
          <w:right w:val="single" w:sz="4" w:space="4" w:color="auto"/>
        </w:pBdr>
        <w:ind w:left="-697" w:right="-648" w:hanging="23"/>
        <w:rPr>
          <w:i/>
          <w:spacing w:val="2"/>
          <w:sz w:val="16"/>
          <w:szCs w:val="16"/>
        </w:rPr>
      </w:pPr>
      <w:r>
        <w:rPr>
          <w:i/>
          <w:spacing w:val="2"/>
          <w:sz w:val="16"/>
          <w:szCs w:val="16"/>
        </w:rPr>
        <w:t xml:space="preserve">(En cas de changement d’implantation à comptage séparé qui engendre une situation nouvelle au regard des normes de rationalisation ou de programmation (voir chapitre 3.1) ou encore des normes d’encadrement (voir chapitre 3.2 et 3.3) de l’implantation de départ ou d’arrivée, transmet également sans délai une copie de la formule I et II au Service de </w:t>
      </w:r>
      <w:smartTag w:uri="urn:schemas-microsoft-com:office:smarttags" w:element="PersonName">
        <w:smartTagPr>
          <w:attr w:name="ProductID" w:val="la V￩rification"/>
        </w:smartTagPr>
        <w:r>
          <w:rPr>
            <w:i/>
            <w:spacing w:val="2"/>
            <w:sz w:val="16"/>
            <w:szCs w:val="16"/>
          </w:rPr>
          <w:t>la Vérification</w:t>
        </w:r>
      </w:smartTag>
      <w:r>
        <w:rPr>
          <w:i/>
          <w:spacing w:val="2"/>
          <w:sz w:val="16"/>
          <w:szCs w:val="16"/>
        </w:rPr>
        <w:t>).</w:t>
      </w: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left="-697" w:right="-648" w:hanging="23"/>
        <w:rPr>
          <w:i/>
          <w:spacing w:val="2"/>
          <w:sz w:val="16"/>
          <w:szCs w:val="16"/>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tabs>
          <w:tab w:val="left" w:pos="5220"/>
        </w:tabs>
        <w:ind w:right="-648" w:hanging="720"/>
        <w:jc w:val="both"/>
        <w:rPr>
          <w:spacing w:val="2"/>
        </w:rPr>
      </w:pPr>
      <w:r>
        <w:rPr>
          <w:spacing w:val="2"/>
        </w:rPr>
        <w:t xml:space="preserve">Nom et Prénom: </w:t>
      </w:r>
      <w:r>
        <w:rPr>
          <w:spacing w:val="2"/>
        </w:rPr>
        <w:tab/>
      </w:r>
      <w:r>
        <w:rPr>
          <w:spacing w:val="2"/>
        </w:rPr>
        <w:tab/>
        <w:t>Date et signature:</w:t>
      </w: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rPr>
          <w:b/>
          <w:spacing w:val="2"/>
        </w:rPr>
      </w:pPr>
    </w:p>
    <w:p>
      <w:pPr>
        <w:pBdr>
          <w:top w:val="single" w:sz="4" w:space="1" w:color="auto"/>
          <w:left w:val="single" w:sz="4" w:space="4" w:color="auto"/>
          <w:bottom w:val="single" w:sz="4" w:space="1" w:color="auto"/>
          <w:right w:val="single" w:sz="4" w:space="4" w:color="auto"/>
        </w:pBdr>
        <w:ind w:right="-648" w:hanging="720"/>
        <w:jc w:val="both"/>
        <w:rPr>
          <w:b/>
          <w:spacing w:val="2"/>
        </w:rPr>
      </w:pPr>
    </w:p>
    <w:p>
      <w:pPr>
        <w:pStyle w:val="annexe"/>
      </w:pPr>
      <w:r>
        <w:rPr>
          <w:spacing w:val="2"/>
        </w:rPr>
        <w:br w:type="page"/>
      </w:r>
      <w:bookmarkStart w:id="2114" w:name="Annexe_24C"/>
      <w:bookmarkStart w:id="2115" w:name="_Toc295913868"/>
      <w:bookmarkStart w:id="2116" w:name="_Toc423420189"/>
      <w:bookmarkStart w:id="2117" w:name="_Toc450645438"/>
      <w:bookmarkStart w:id="2118" w:name="_Toc453942677"/>
      <w:bookmarkStart w:id="2119" w:name="_Toc454888294"/>
      <w:bookmarkStart w:id="2120" w:name="_Toc486241915"/>
      <w:bookmarkEnd w:id="2114"/>
      <w:r>
        <w:t xml:space="preserve">Annexe 2.4.C. Demande d’autorisation de changement d’école ou d’implantation à comptage séparé en cours d’année scolaire ou en cours de cycle: FWB </w:t>
      </w:r>
      <w:r>
        <w:sym w:font="Wingdings" w:char="F0E0"/>
      </w:r>
      <w:r>
        <w:t xml:space="preserve"> FWB – Formule III</w:t>
      </w:r>
      <w:bookmarkEnd w:id="2115"/>
      <w:bookmarkEnd w:id="2116"/>
      <w:bookmarkEnd w:id="2117"/>
      <w:bookmarkEnd w:id="2118"/>
      <w:bookmarkEnd w:id="2119"/>
      <w:bookmarkEnd w:id="2120"/>
    </w:p>
    <w:p>
      <w:pPr>
        <w:pStyle w:val="Titre5"/>
        <w:rPr>
          <w:color w:val="auto"/>
        </w:rPr>
      </w:pPr>
    </w:p>
    <w:p>
      <w:pPr>
        <w:pBdr>
          <w:top w:val="single" w:sz="4" w:space="1" w:color="auto"/>
          <w:left w:val="single" w:sz="4" w:space="4" w:color="auto"/>
          <w:bottom w:val="single" w:sz="4" w:space="1" w:color="auto"/>
          <w:right w:val="single" w:sz="4" w:space="4" w:color="auto"/>
        </w:pBdr>
        <w:ind w:right="-648" w:hanging="720"/>
        <w:jc w:val="center"/>
        <w:rPr>
          <w:b/>
        </w:rPr>
      </w:pPr>
      <w:r>
        <w:rPr>
          <w:b/>
          <w:spacing w:val="2"/>
        </w:rPr>
        <w:t xml:space="preserve">DEMANDE D’AUTORISATION DE CHANGEMENT D’ECOLE OU D'IMPLANTATION A COMPTAGE SEPARE </w:t>
      </w:r>
      <w:r>
        <w:rPr>
          <w:b/>
        </w:rPr>
        <w:t>EN COURS D’ANNEE SCOLAIRE OU EN COURS DE CYCLE</w:t>
      </w:r>
    </w:p>
    <w:p>
      <w:pPr>
        <w:pBdr>
          <w:top w:val="single" w:sz="4" w:space="1" w:color="auto"/>
          <w:left w:val="single" w:sz="4" w:space="4" w:color="auto"/>
          <w:bottom w:val="single" w:sz="4" w:space="1" w:color="auto"/>
          <w:right w:val="single" w:sz="4" w:space="4" w:color="auto"/>
        </w:pBdr>
        <w:ind w:right="-648" w:hanging="720"/>
        <w:jc w:val="center"/>
        <w:rPr>
          <w:b/>
          <w:spacing w:val="2"/>
          <w:sz w:val="12"/>
          <w:szCs w:val="12"/>
        </w:rPr>
      </w:pPr>
    </w:p>
    <w:p>
      <w:pPr>
        <w:pBdr>
          <w:top w:val="single" w:sz="4" w:space="1" w:color="auto"/>
          <w:left w:val="single" w:sz="4" w:space="4" w:color="auto"/>
          <w:bottom w:val="single" w:sz="4" w:space="1" w:color="auto"/>
          <w:right w:val="single" w:sz="4" w:space="4" w:color="auto"/>
        </w:pBdr>
        <w:ind w:right="-648" w:hanging="720"/>
        <w:jc w:val="center"/>
        <w:rPr>
          <w:b/>
          <w:spacing w:val="2"/>
        </w:rPr>
      </w:pPr>
      <w:r>
        <w:rPr>
          <w:b/>
          <w:spacing w:val="2"/>
        </w:rPr>
        <w:t xml:space="preserve">Fédération Wallonie-Bruxelles </w:t>
      </w:r>
      <w:r>
        <w:rPr>
          <w:b/>
          <w:spacing w:val="2"/>
        </w:rPr>
        <w:sym w:font="Symbol" w:char="F0AE"/>
      </w:r>
      <w:r>
        <w:rPr>
          <w:b/>
          <w:spacing w:val="2"/>
        </w:rPr>
        <w:t xml:space="preserve"> Fédération Wallonie-Bruxelles</w:t>
      </w:r>
    </w:p>
    <w:p>
      <w:pPr>
        <w:ind w:right="-648" w:hanging="720"/>
        <w:jc w:val="both"/>
        <w:rPr>
          <w:spacing w:val="2"/>
        </w:rPr>
      </w:pPr>
    </w:p>
    <w:p>
      <w:pPr>
        <w:ind w:right="-648" w:hanging="720"/>
        <w:jc w:val="center"/>
        <w:rPr>
          <w:b/>
          <w:spacing w:val="2"/>
          <w:u w:val="single"/>
        </w:rPr>
      </w:pPr>
      <w:r>
        <w:rPr>
          <w:b/>
          <w:spacing w:val="2"/>
          <w:u w:val="single"/>
        </w:rPr>
        <w:t>FORMULE III</w:t>
      </w:r>
    </w:p>
    <w:p>
      <w:pPr>
        <w:ind w:right="-648" w:hanging="720"/>
        <w:jc w:val="center"/>
        <w:rPr>
          <w:spacing w:val="2"/>
        </w:rPr>
      </w:pPr>
      <w:r>
        <w:rPr>
          <w:spacing w:val="2"/>
        </w:rPr>
        <w:t>à remplir en 1 exemplaire</w:t>
      </w:r>
    </w:p>
    <w:p>
      <w:pPr>
        <w:pStyle w:val="Corpsdetexte3"/>
        <w:ind w:right="-648" w:hanging="720"/>
      </w:pPr>
    </w:p>
    <w:p>
      <w:pPr>
        <w:pBdr>
          <w:top w:val="single" w:sz="4" w:space="1" w:color="auto"/>
          <w:left w:val="single" w:sz="4" w:space="4" w:color="auto"/>
          <w:bottom w:val="single" w:sz="4" w:space="1" w:color="auto"/>
          <w:right w:val="single" w:sz="4" w:space="4" w:color="auto"/>
        </w:pBdr>
        <w:ind w:right="-648" w:hanging="720"/>
        <w:rPr>
          <w:b/>
          <w:spacing w:val="-2"/>
          <w:sz w:val="21"/>
          <w:szCs w:val="21"/>
        </w:rPr>
      </w:pPr>
      <w:r>
        <w:rPr>
          <w:b/>
          <w:spacing w:val="-2"/>
          <w:sz w:val="21"/>
          <w:szCs w:val="21"/>
        </w:rPr>
        <w:t>INTERVENTION DU SERVICE DE L’INSPECTION DE L’ENSEIGNEMENT FONDAMENTAL ORDINAIRE</w:t>
      </w:r>
    </w:p>
    <w:p>
      <w:pPr>
        <w:pBdr>
          <w:top w:val="single" w:sz="4" w:space="1" w:color="auto"/>
          <w:left w:val="single" w:sz="4" w:space="4" w:color="auto"/>
          <w:bottom w:val="single" w:sz="4" w:space="1" w:color="auto"/>
          <w:right w:val="single" w:sz="4" w:space="4" w:color="auto"/>
        </w:pBdr>
        <w:spacing w:before="60"/>
        <w:ind w:right="-648" w:hanging="720"/>
        <w:rPr>
          <w:b/>
          <w:spacing w:val="2"/>
        </w:rPr>
      </w:pPr>
      <w:r>
        <w:rPr>
          <w:b/>
          <w:spacing w:val="2"/>
        </w:rPr>
        <w:t>Justifications de l’avis exprimé au cadre D de la formule I</w:t>
      </w:r>
    </w:p>
    <w:p>
      <w:pPr>
        <w:pBdr>
          <w:top w:val="single" w:sz="4" w:space="1" w:color="auto"/>
          <w:left w:val="single" w:sz="4" w:space="4" w:color="auto"/>
          <w:bottom w:val="single" w:sz="4" w:space="1" w:color="auto"/>
          <w:right w:val="single" w:sz="4" w:space="4" w:color="auto"/>
        </w:pBdr>
        <w:ind w:right="-648" w:hanging="720"/>
        <w:jc w:val="center"/>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p>
    <w:p>
      <w:pPr>
        <w:pBdr>
          <w:top w:val="single" w:sz="4" w:space="1" w:color="auto"/>
          <w:left w:val="single" w:sz="4" w:space="4" w:color="auto"/>
          <w:bottom w:val="single" w:sz="4" w:space="1" w:color="auto"/>
          <w:right w:val="single" w:sz="4" w:space="4" w:color="auto"/>
        </w:pBdr>
        <w:ind w:right="-648" w:hanging="720"/>
        <w:jc w:val="both"/>
        <w:rPr>
          <w:spacing w:val="2"/>
        </w:rPr>
      </w:pPr>
      <w:r>
        <w:rPr>
          <w:spacing w:val="2"/>
        </w:rPr>
        <w:t xml:space="preserve">Nom et Prénom: </w:t>
      </w:r>
      <w:r>
        <w:rPr>
          <w:spacing w:val="2"/>
        </w:rPr>
        <w:tab/>
      </w:r>
      <w:r>
        <w:rPr>
          <w:spacing w:val="2"/>
        </w:rPr>
        <w:tab/>
      </w:r>
      <w:r>
        <w:rPr>
          <w:spacing w:val="2"/>
        </w:rPr>
        <w:tab/>
      </w:r>
      <w:r>
        <w:rPr>
          <w:spacing w:val="2"/>
        </w:rPr>
        <w:tab/>
      </w:r>
      <w:r>
        <w:rPr>
          <w:spacing w:val="2"/>
        </w:rPr>
        <w:tab/>
      </w:r>
      <w:r>
        <w:rPr>
          <w:spacing w:val="2"/>
        </w:rPr>
        <w:tab/>
        <w:t>Date et signature:</w:t>
      </w:r>
    </w:p>
    <w:p>
      <w:pPr>
        <w:pBdr>
          <w:top w:val="single" w:sz="4" w:space="1" w:color="auto"/>
          <w:left w:val="single" w:sz="4" w:space="4" w:color="auto"/>
          <w:bottom w:val="single" w:sz="4" w:space="1" w:color="auto"/>
          <w:right w:val="single" w:sz="4" w:space="4" w:color="auto"/>
        </w:pBdr>
        <w:ind w:right="-648" w:hanging="720"/>
        <w:jc w:val="both"/>
        <w:rPr>
          <w:b/>
          <w:spacing w:val="2"/>
        </w:rPr>
      </w:pPr>
    </w:p>
    <w:p>
      <w:pPr>
        <w:pStyle w:val="annexe"/>
      </w:pPr>
      <w:r>
        <w:rPr>
          <w:spacing w:val="2"/>
        </w:rPr>
        <w:br w:type="page"/>
      </w:r>
      <w:bookmarkStart w:id="2121" w:name="Annexe_24D"/>
      <w:bookmarkStart w:id="2122" w:name="_Toc295913869"/>
      <w:bookmarkStart w:id="2123" w:name="_Toc423420190"/>
      <w:bookmarkStart w:id="2124" w:name="_Toc450645439"/>
      <w:bookmarkStart w:id="2125" w:name="_Toc453942678"/>
      <w:bookmarkStart w:id="2126" w:name="_Toc454888295"/>
      <w:bookmarkStart w:id="2127" w:name="_Toc486241916"/>
      <w:bookmarkEnd w:id="2121"/>
      <w:r>
        <w:t>Annexe 2.4.D. Demande d’autorisation de changement d’école ou d’implantation à comptage séparé en cours d’année scolaire ou en cours de cycle – Procès verbal d’audition</w:t>
      </w:r>
      <w:bookmarkEnd w:id="2122"/>
      <w:r>
        <w:t xml:space="preserve"> – enseignement fondamental ordinaire</w:t>
      </w:r>
      <w:bookmarkEnd w:id="2123"/>
      <w:bookmarkEnd w:id="2124"/>
      <w:bookmarkEnd w:id="2125"/>
      <w:bookmarkEnd w:id="2126"/>
      <w:bookmarkEnd w:id="2127"/>
    </w:p>
    <w:p>
      <w:pPr>
        <w:pStyle w:val="annexe"/>
      </w:pPr>
    </w:p>
    <w:p>
      <w:pPr>
        <w:pBdr>
          <w:top w:val="single" w:sz="8" w:space="1" w:color="auto"/>
          <w:left w:val="single" w:sz="8" w:space="4" w:color="auto"/>
          <w:bottom w:val="single" w:sz="8" w:space="1" w:color="auto"/>
          <w:right w:val="single" w:sz="8" w:space="4" w:color="auto"/>
        </w:pBdr>
        <w:jc w:val="center"/>
        <w:rPr>
          <w:b/>
        </w:rPr>
      </w:pPr>
      <w:r>
        <w:rPr>
          <w:b/>
        </w:rPr>
        <w:t>CHANGEMENT D’ECOLE EN COURS D’ANNEE SCOLAIRE OU EN COURS DE CYCLE</w:t>
      </w:r>
    </w:p>
    <w:p>
      <w:pPr>
        <w:pBdr>
          <w:top w:val="single" w:sz="8" w:space="1" w:color="auto"/>
          <w:left w:val="single" w:sz="8" w:space="4" w:color="auto"/>
          <w:bottom w:val="single" w:sz="8" w:space="1" w:color="auto"/>
          <w:right w:val="single" w:sz="8" w:space="4" w:color="auto"/>
        </w:pBdr>
        <w:jc w:val="center"/>
        <w:rPr>
          <w:b/>
        </w:rPr>
      </w:pPr>
      <w:r>
        <w:rPr>
          <w:i/>
          <w:sz w:val="16"/>
          <w:szCs w:val="16"/>
          <w:lang w:val="fr-BE"/>
        </w:rPr>
        <w:t>Article 79 du décret du 24 juillet 1997 définissant les missions prioritaires de l’enseignement fondamental et de l’enseignement secondaire et organisant les structures propres à les atteindre</w:t>
      </w:r>
    </w:p>
    <w:p>
      <w:pPr>
        <w:jc w:val="center"/>
        <w:rPr>
          <w:lang w:val="fr-BE"/>
        </w:rPr>
      </w:pPr>
    </w:p>
    <w:tbl>
      <w:tblPr>
        <w:tblW w:w="0" w:type="auto"/>
        <w:tblInd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tblGrid>
      <w:tr>
        <w:tc>
          <w:tcPr>
            <w:tcW w:w="3240" w:type="dxa"/>
          </w:tcPr>
          <w:p>
            <w:pPr>
              <w:spacing w:before="120" w:after="120"/>
              <w:jc w:val="center"/>
              <w:rPr>
                <w:b/>
                <w:bCs/>
                <w:u w:val="single"/>
                <w:lang w:val="fr-BE"/>
              </w:rPr>
            </w:pPr>
            <w:r>
              <w:rPr>
                <w:b/>
                <w:bCs/>
                <w:u w:val="single"/>
                <w:lang w:val="fr-BE"/>
              </w:rPr>
              <w:t>Procès verbal d’audition</w:t>
            </w:r>
          </w:p>
        </w:tc>
      </w:tr>
    </w:tbl>
    <w:p>
      <w:pPr>
        <w:ind w:left="360" w:right="325"/>
        <w:rPr>
          <w:lang w:val="fr-BE"/>
        </w:rPr>
      </w:pPr>
      <w:r>
        <w:rPr>
          <w:lang w:val="fr-BE"/>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0"/>
        <w:gridCol w:w="7200"/>
      </w:tblGrid>
      <w:tr>
        <w:tc>
          <w:tcPr>
            <w:tcW w:w="2050" w:type="dxa"/>
          </w:tcPr>
          <w:p>
            <w:pPr>
              <w:ind w:right="325"/>
              <w:rPr>
                <w:lang w:val="fr-BE"/>
              </w:rPr>
            </w:pPr>
            <w:r>
              <w:rPr>
                <w:lang w:val="fr-BE"/>
              </w:rPr>
              <w:t>Date de l’audition</w:t>
            </w:r>
          </w:p>
        </w:tc>
        <w:tc>
          <w:tcPr>
            <w:tcW w:w="7200" w:type="dxa"/>
          </w:tcPr>
          <w:p>
            <w:pPr>
              <w:ind w:right="325"/>
              <w:rPr>
                <w:lang w:val="fr-BE"/>
              </w:rPr>
            </w:pPr>
            <w:r>
              <w:rPr>
                <w:lang w:val="fr-BE"/>
              </w:rPr>
              <w:t>Nom du/des élèves concernés</w:t>
            </w:r>
          </w:p>
        </w:tc>
      </w:tr>
      <w:tr>
        <w:tc>
          <w:tcPr>
            <w:tcW w:w="2050" w:type="dxa"/>
          </w:tcPr>
          <w:p>
            <w:pPr>
              <w:ind w:right="325"/>
              <w:rPr>
                <w:lang w:val="fr-BE"/>
              </w:rPr>
            </w:pPr>
          </w:p>
        </w:tc>
        <w:tc>
          <w:tcPr>
            <w:tcW w:w="7200" w:type="dxa"/>
          </w:tcPr>
          <w:p>
            <w:pPr>
              <w:ind w:right="325"/>
              <w:rPr>
                <w:lang w:val="fr-BE"/>
              </w:rPr>
            </w:pPr>
          </w:p>
          <w:p>
            <w:pPr>
              <w:ind w:right="325"/>
              <w:rPr>
                <w:lang w:val="fr-BE"/>
              </w:rPr>
            </w:pPr>
          </w:p>
          <w:p>
            <w:pPr>
              <w:ind w:right="325"/>
              <w:rPr>
                <w:lang w:val="fr-BE"/>
              </w:rPr>
            </w:pPr>
          </w:p>
        </w:tc>
      </w:tr>
    </w:tbl>
    <w:p>
      <w:pPr>
        <w:ind w:left="360" w:right="325"/>
        <w:rPr>
          <w:lang w:val="fr-BE"/>
        </w:rPr>
      </w:pPr>
    </w:p>
    <w:p>
      <w:pPr>
        <w:rPr>
          <w:lang w:val="fr-BE"/>
        </w:rPr>
      </w:pPr>
      <w:r>
        <w:rPr>
          <w:b/>
          <w:u w:val="single"/>
          <w:lang w:val="fr-BE"/>
        </w:rPr>
        <w:t xml:space="preserve">Entre l’école </w:t>
      </w:r>
      <w:r>
        <w:rPr>
          <w:lang w:val="fr-BE"/>
        </w:rPr>
        <w: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gridCol w:w="3071"/>
      </w:tblGrid>
      <w:tr>
        <w:tc>
          <w:tcPr>
            <w:tcW w:w="3070" w:type="dxa"/>
          </w:tcPr>
          <w:p>
            <w:pPr>
              <w:rPr>
                <w:lang w:val="fr-BE"/>
              </w:rPr>
            </w:pPr>
            <w:r>
              <w:rPr>
                <w:lang w:val="fr-BE"/>
              </w:rPr>
              <w:t xml:space="preserve">Nom de </w:t>
            </w:r>
            <w:smartTag w:uri="urn:schemas-microsoft-com:office:smarttags" w:element="PersonName">
              <w:smartTagPr>
                <w:attr w:name="ProductID" w:val="la Direction"/>
              </w:smartTagPr>
              <w:r>
                <w:rPr>
                  <w:lang w:val="fr-BE"/>
                </w:rPr>
                <w:t>la Direction</w:t>
              </w:r>
            </w:smartTag>
          </w:p>
          <w:p>
            <w:pPr>
              <w:rPr>
                <w:lang w:val="fr-BE"/>
              </w:rPr>
            </w:pPr>
          </w:p>
        </w:tc>
        <w:tc>
          <w:tcPr>
            <w:tcW w:w="3071" w:type="dxa"/>
          </w:tcPr>
          <w:p>
            <w:pPr>
              <w:rPr>
                <w:lang w:val="fr-BE"/>
              </w:rPr>
            </w:pPr>
            <w:r>
              <w:rPr>
                <w:lang w:val="fr-BE"/>
              </w:rPr>
              <w:t>Dénomination de l’établissement</w:t>
            </w:r>
          </w:p>
        </w:tc>
        <w:tc>
          <w:tcPr>
            <w:tcW w:w="3071" w:type="dxa"/>
          </w:tcPr>
          <w:p>
            <w:pPr>
              <w:rPr>
                <w:lang w:val="fr-BE"/>
              </w:rPr>
            </w:pPr>
            <w:r>
              <w:rPr>
                <w:lang w:val="fr-BE"/>
              </w:rPr>
              <w:t>N°Fase</w:t>
            </w:r>
          </w:p>
        </w:tc>
      </w:tr>
      <w:tr>
        <w:tc>
          <w:tcPr>
            <w:tcW w:w="3070" w:type="dxa"/>
          </w:tcPr>
          <w:p>
            <w:pPr>
              <w:rPr>
                <w:lang w:val="fr-BE"/>
              </w:rPr>
            </w:pPr>
          </w:p>
          <w:p>
            <w:pPr>
              <w:rPr>
                <w:lang w:val="fr-BE"/>
              </w:rPr>
            </w:pPr>
          </w:p>
        </w:tc>
        <w:tc>
          <w:tcPr>
            <w:tcW w:w="3071" w:type="dxa"/>
          </w:tcPr>
          <w:p>
            <w:pPr>
              <w:rPr>
                <w:lang w:val="fr-BE"/>
              </w:rPr>
            </w:pPr>
          </w:p>
        </w:tc>
        <w:tc>
          <w:tcPr>
            <w:tcW w:w="3071" w:type="dxa"/>
          </w:tcPr>
          <w:p>
            <w:pPr>
              <w:rPr>
                <w:lang w:val="fr-BE"/>
              </w:rPr>
            </w:pPr>
          </w:p>
        </w:tc>
      </w:tr>
    </w:tbl>
    <w:p>
      <w:pPr>
        <w:rPr>
          <w:lang w:val="fr-BE"/>
        </w:rPr>
      </w:pPr>
    </w:p>
    <w:p>
      <w:pPr>
        <w:rPr>
          <w:b/>
          <w:lang w:val="fr-BE"/>
        </w:rPr>
      </w:pPr>
      <w:r>
        <w:rPr>
          <w:b/>
          <w:u w:val="single"/>
          <w:lang w:val="fr-BE"/>
        </w:rPr>
        <w:t>Et les parents:</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tc>
          <w:tcPr>
            <w:tcW w:w="4606" w:type="dxa"/>
          </w:tcPr>
          <w:p>
            <w:pPr>
              <w:rPr>
                <w:lang w:val="fr-BE"/>
              </w:rPr>
            </w:pPr>
            <w:r>
              <w:rPr>
                <w:lang w:val="fr-BE"/>
              </w:rPr>
              <w:t>Nom de la/des personne(s) investie(s) de l’autorité parentale</w:t>
            </w:r>
          </w:p>
        </w:tc>
        <w:tc>
          <w:tcPr>
            <w:tcW w:w="4606" w:type="dxa"/>
          </w:tcPr>
          <w:p>
            <w:pPr>
              <w:jc w:val="center"/>
              <w:rPr>
                <w:b/>
                <w:lang w:val="fr-BE"/>
              </w:rPr>
            </w:pPr>
          </w:p>
        </w:tc>
      </w:tr>
    </w:tbl>
    <w:p>
      <w:pPr>
        <w:jc w:val="center"/>
        <w:rPr>
          <w:b/>
          <w:lang w:val="fr-BE"/>
        </w:rPr>
      </w:pP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20"/>
      </w:tblGrid>
      <w:tr>
        <w:tc>
          <w:tcPr>
            <w:tcW w:w="10620" w:type="dxa"/>
          </w:tcPr>
          <w:p>
            <w:pPr>
              <w:spacing w:before="120" w:after="120"/>
              <w:rPr>
                <w:b/>
                <w:bCs/>
                <w:lang w:val="fr-BE"/>
              </w:rPr>
            </w:pPr>
            <w:r>
              <w:rPr>
                <w:b/>
                <w:bCs/>
                <w:u w:val="single"/>
                <w:lang w:val="fr-BE"/>
              </w:rPr>
              <w:t>Contenu de l’entretien</w:t>
            </w:r>
            <w:r>
              <w:rPr>
                <w:b/>
                <w:bCs/>
                <w:lang w:val="fr-BE"/>
              </w:rPr>
              <w:t>:</w:t>
            </w: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lang w:val="fr-BE"/>
              </w:rPr>
            </w:pPr>
          </w:p>
          <w:p>
            <w:pPr>
              <w:spacing w:before="120" w:after="120"/>
              <w:rPr>
                <w:b/>
                <w:bCs/>
                <w:sz w:val="18"/>
                <w:szCs w:val="18"/>
                <w:u w:val="single"/>
                <w:lang w:val="fr-BE"/>
              </w:rPr>
            </w:pPr>
            <w:r>
              <w:rPr>
                <w:b/>
                <w:bCs/>
                <w:sz w:val="18"/>
                <w:szCs w:val="18"/>
                <w:u w:val="single"/>
                <w:lang w:val="fr-BE"/>
              </w:rPr>
              <w:t>Ajouter page(s) supplémentaire(s) si nécessaire.  Chaque page doit être numérotée et signée par les différentes parties.</w:t>
            </w:r>
          </w:p>
        </w:tc>
      </w:tr>
    </w:tbl>
    <w:p>
      <w:pPr>
        <w:rPr>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6"/>
        <w:gridCol w:w="4587"/>
      </w:tblGrid>
      <w:tr>
        <w:tc>
          <w:tcPr>
            <w:tcW w:w="5046" w:type="dxa"/>
          </w:tcPr>
          <w:p>
            <w:pPr>
              <w:spacing w:before="120" w:after="120"/>
              <w:jc w:val="center"/>
              <w:rPr>
                <w:b/>
                <w:bCs/>
                <w:lang w:val="fr-BE"/>
              </w:rPr>
            </w:pPr>
            <w:r>
              <w:rPr>
                <w:b/>
                <w:bCs/>
                <w:lang w:val="fr-BE"/>
              </w:rPr>
              <w:t>Date et signature de la direction de l’école</w:t>
            </w:r>
          </w:p>
        </w:tc>
        <w:tc>
          <w:tcPr>
            <w:tcW w:w="4587" w:type="dxa"/>
          </w:tcPr>
          <w:p>
            <w:pPr>
              <w:spacing w:before="120" w:after="120"/>
              <w:jc w:val="center"/>
              <w:rPr>
                <w:b/>
                <w:bCs/>
                <w:lang w:val="fr-BE"/>
              </w:rPr>
            </w:pPr>
            <w:r>
              <w:rPr>
                <w:b/>
                <w:bCs/>
                <w:lang w:val="fr-BE"/>
              </w:rPr>
              <w:t>Date et signature de la/des personne(s) investie(s) de l’autorité parentale</w:t>
            </w:r>
          </w:p>
        </w:tc>
      </w:tr>
      <w:tr>
        <w:tc>
          <w:tcPr>
            <w:tcW w:w="5046" w:type="dxa"/>
          </w:tcPr>
          <w:p>
            <w:pPr>
              <w:spacing w:before="120" w:after="120"/>
              <w:rPr>
                <w:b/>
                <w:bCs/>
                <w:lang w:val="fr-BE"/>
              </w:rPr>
            </w:pPr>
          </w:p>
        </w:tc>
        <w:tc>
          <w:tcPr>
            <w:tcW w:w="4587" w:type="dxa"/>
          </w:tcPr>
          <w:p>
            <w:pPr>
              <w:spacing w:before="120" w:after="120"/>
              <w:rPr>
                <w:b/>
                <w:bCs/>
                <w:lang w:val="fr-BE"/>
              </w:rPr>
            </w:pPr>
          </w:p>
        </w:tc>
      </w:tr>
    </w:tbl>
    <w:p>
      <w:pPr>
        <w:rPr>
          <w:lang w:val="fr-BE"/>
        </w:rPr>
      </w:pPr>
      <w:r>
        <w:rPr>
          <w:lang w:val="fr-BE"/>
        </w:rPr>
        <w:t>Remarques éventuelles :</w:t>
      </w:r>
    </w:p>
    <w:p>
      <w:pPr>
        <w:pStyle w:val="annexe"/>
      </w:pPr>
      <w:r>
        <w:rPr>
          <w:lang w:val="fr-BE"/>
        </w:rPr>
        <w:br w:type="page"/>
      </w:r>
      <w:bookmarkStart w:id="2128" w:name="_Toc165786185"/>
      <w:bookmarkStart w:id="2129" w:name="Annexe_25A"/>
      <w:bookmarkStart w:id="2130" w:name="_Toc272404496"/>
      <w:bookmarkStart w:id="2131" w:name="_Toc295913870"/>
      <w:bookmarkStart w:id="2132" w:name="_Toc423420191"/>
      <w:bookmarkStart w:id="2133" w:name="_Toc450645440"/>
      <w:bookmarkStart w:id="2134" w:name="_Toc453942679"/>
      <w:bookmarkStart w:id="2135" w:name="_Toc454888296"/>
      <w:bookmarkStart w:id="2136" w:name="_Toc486241917"/>
      <w:bookmarkStart w:id="2137" w:name="_Toc265141677"/>
      <w:bookmarkStart w:id="2138" w:name="_Toc165786198"/>
      <w:bookmarkEnd w:id="2093"/>
      <w:bookmarkEnd w:id="2094"/>
      <w:bookmarkEnd w:id="2095"/>
      <w:bookmarkEnd w:id="2096"/>
      <w:bookmarkEnd w:id="2097"/>
      <w:bookmarkEnd w:id="2098"/>
      <w:bookmarkEnd w:id="2099"/>
      <w:bookmarkEnd w:id="2100"/>
      <w:r>
        <w:t>Annexe 2.5.A.</w:t>
      </w:r>
      <w:bookmarkEnd w:id="2128"/>
      <w:bookmarkEnd w:id="2129"/>
      <w:r>
        <w:t xml:space="preserve"> Coordonnées des Conseillers de l’Aide à la jeunesse</w:t>
      </w:r>
      <w:bookmarkEnd w:id="2130"/>
      <w:bookmarkEnd w:id="2131"/>
      <w:bookmarkEnd w:id="2132"/>
      <w:bookmarkEnd w:id="2133"/>
      <w:bookmarkEnd w:id="2134"/>
      <w:bookmarkEnd w:id="2135"/>
      <w:bookmarkEnd w:id="2136"/>
    </w:p>
    <w:p>
      <w:pPr>
        <w:pStyle w:val="NormalWeb"/>
        <w:spacing w:before="0"/>
        <w:jc w:val="center"/>
        <w:rPr>
          <w:rFonts w:ascii="Arial" w:hAnsi="Arial" w:cs="Arial"/>
          <w:b/>
          <w:bCs/>
          <w:color w:val="auto"/>
          <w:sz w:val="17"/>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50"/>
        <w:gridCol w:w="4460"/>
      </w:tblGrid>
      <w:tr>
        <w:trPr>
          <w:trHeight w:val="7649"/>
        </w:trPr>
        <w:tc>
          <w:tcPr>
            <w:tcW w:w="475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d’Arlon</w:t>
                  </w:r>
                </w:p>
              </w:tc>
            </w:tr>
          </w:tbl>
          <w:p>
            <w:pPr>
              <w:rPr>
                <w:sz w:val="18"/>
                <w:szCs w:val="18"/>
              </w:rPr>
            </w:pPr>
          </w:p>
          <w:p>
            <w:pPr>
              <w:pStyle w:val="Corpsdetexte"/>
              <w:rPr>
                <w:b/>
                <w:bCs/>
                <w:sz w:val="18"/>
                <w:szCs w:val="18"/>
              </w:rPr>
            </w:pPr>
            <w:r>
              <w:rPr>
                <w:b/>
                <w:bCs/>
                <w:sz w:val="18"/>
                <w:szCs w:val="18"/>
              </w:rPr>
              <w:t>Madame Martine NOTHOMB</w:t>
            </w:r>
          </w:p>
          <w:p>
            <w:pPr>
              <w:pStyle w:val="Corpsdetexte"/>
              <w:rPr>
                <w:b/>
                <w:bCs/>
                <w:sz w:val="18"/>
                <w:szCs w:val="18"/>
              </w:rPr>
            </w:pPr>
            <w:r>
              <w:rPr>
                <w:b/>
                <w:sz w:val="18"/>
                <w:szCs w:val="18"/>
              </w:rPr>
              <w:t>Conseillère</w:t>
            </w:r>
            <w:r>
              <w:rPr>
                <w:b/>
                <w:bCs/>
                <w:sz w:val="18"/>
                <w:szCs w:val="18"/>
              </w:rPr>
              <w:t xml:space="preserve"> de l’Aide à </w:t>
            </w:r>
            <w:smartTag w:uri="urn:schemas-microsoft-com:office:smarttags" w:element="PersonName">
              <w:smartTagPr>
                <w:attr w:name="ProductID" w:val="la Jeunesse"/>
              </w:smartTagPr>
              <w:r>
                <w:rPr>
                  <w:b/>
                  <w:bCs/>
                  <w:sz w:val="18"/>
                  <w:szCs w:val="18"/>
                </w:rPr>
                <w:t>la Jeunesse</w:t>
              </w:r>
            </w:smartTag>
          </w:p>
          <w:p>
            <w:pPr>
              <w:pStyle w:val="Corpsdetexte"/>
              <w:rPr>
                <w:b/>
                <w:bCs/>
                <w:sz w:val="18"/>
                <w:szCs w:val="18"/>
              </w:rPr>
            </w:pPr>
            <w:r>
              <w:rPr>
                <w:b/>
                <w:bCs/>
                <w:sz w:val="18"/>
                <w:szCs w:val="18"/>
              </w:rPr>
              <w:t>Résidence Chambord – Bloc A, 2</w:t>
            </w:r>
            <w:r>
              <w:rPr>
                <w:b/>
                <w:bCs/>
                <w:sz w:val="18"/>
                <w:szCs w:val="18"/>
                <w:vertAlign w:val="superscript"/>
              </w:rPr>
              <w:t>e</w:t>
            </w:r>
            <w:r>
              <w:rPr>
                <w:b/>
                <w:bCs/>
                <w:sz w:val="18"/>
                <w:szCs w:val="18"/>
              </w:rPr>
              <w:t xml:space="preserve"> étage</w:t>
            </w:r>
          </w:p>
          <w:p>
            <w:pPr>
              <w:pStyle w:val="Corpsdetexte"/>
              <w:rPr>
                <w:b/>
                <w:bCs/>
                <w:sz w:val="18"/>
                <w:szCs w:val="18"/>
              </w:rPr>
            </w:pPr>
            <w:r>
              <w:rPr>
                <w:b/>
                <w:bCs/>
                <w:sz w:val="18"/>
                <w:szCs w:val="18"/>
              </w:rPr>
              <w:t>Rue Netzer, 1</w:t>
            </w:r>
          </w:p>
          <w:p>
            <w:pPr>
              <w:pStyle w:val="Corpsdetexte"/>
              <w:rPr>
                <w:b/>
                <w:bCs/>
                <w:sz w:val="18"/>
                <w:szCs w:val="18"/>
              </w:rPr>
            </w:pPr>
            <w:r>
              <w:rPr>
                <w:b/>
                <w:bCs/>
                <w:sz w:val="18"/>
                <w:szCs w:val="18"/>
              </w:rPr>
              <w:t>6700  ARLON</w:t>
            </w:r>
          </w:p>
          <w:p>
            <w:pPr>
              <w:pStyle w:val="Corpsdetexte"/>
              <w:rPr>
                <w:b/>
                <w:bCs/>
                <w:sz w:val="18"/>
                <w:szCs w:val="18"/>
              </w:rPr>
            </w:pPr>
            <w:r>
              <w:rPr>
                <w:b/>
                <w:bCs/>
                <w:sz w:val="18"/>
                <w:szCs w:val="18"/>
              </w:rPr>
              <w:t>Tél.: 063/ 22.19.93      Fax: 063/ 23.46.08</w:t>
            </w:r>
          </w:p>
          <w:p>
            <w:pPr>
              <w:pStyle w:val="Corpsdetexte"/>
              <w:rPr>
                <w:b/>
                <w:bCs/>
                <w:sz w:val="18"/>
                <w:szCs w:val="18"/>
              </w:rPr>
            </w:pPr>
            <w:hyperlink r:id="rId161" w:history="1">
              <w:r>
                <w:rPr>
                  <w:rStyle w:val="Lienhypertexte"/>
                  <w:b/>
                  <w:bCs/>
                  <w:color w:val="auto"/>
                  <w:sz w:val="18"/>
                  <w:szCs w:val="18"/>
                </w:rPr>
                <w:t>saj.arlon@cfwb.be</w:t>
              </w:r>
            </w:hyperlink>
          </w:p>
          <w:p>
            <w:pPr>
              <w:pStyle w:val="Corpsdetexte"/>
              <w:rPr>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Bruxelles</w:t>
                  </w:r>
                </w:p>
              </w:tc>
            </w:tr>
          </w:tbl>
          <w:p>
            <w:pPr>
              <w:rPr>
                <w:sz w:val="18"/>
                <w:szCs w:val="18"/>
              </w:rPr>
            </w:pPr>
          </w:p>
          <w:p>
            <w:pPr>
              <w:pStyle w:val="Corpsdetexte"/>
              <w:rPr>
                <w:b/>
                <w:bCs/>
                <w:sz w:val="18"/>
                <w:szCs w:val="18"/>
              </w:rPr>
            </w:pPr>
            <w:r>
              <w:rPr>
                <w:b/>
                <w:bCs/>
                <w:sz w:val="18"/>
                <w:szCs w:val="18"/>
              </w:rPr>
              <w:t>Monsieur Jean-Marie DELCOMMUNE</w:t>
            </w:r>
          </w:p>
          <w:p>
            <w:pPr>
              <w:pStyle w:val="Corpsdetexte"/>
              <w:rPr>
                <w:b/>
                <w:bCs/>
                <w:sz w:val="18"/>
                <w:szCs w:val="18"/>
              </w:rPr>
            </w:pPr>
            <w:r>
              <w:rPr>
                <w:b/>
                <w:bCs/>
                <w:sz w:val="18"/>
                <w:szCs w:val="18"/>
              </w:rPr>
              <w:t xml:space="preserve">Conseiller de l’Aide à </w:t>
            </w:r>
            <w:smartTag w:uri="urn:schemas-microsoft-com:office:smarttags" w:element="PersonName">
              <w:smartTagPr>
                <w:attr w:name="ProductID" w:val="la Jeunesse"/>
              </w:smartTagPr>
              <w:r>
                <w:rPr>
                  <w:b/>
                  <w:bCs/>
                  <w:sz w:val="18"/>
                  <w:szCs w:val="18"/>
                </w:rPr>
                <w:t>la Jeunesse</w:t>
              </w:r>
            </w:smartTag>
          </w:p>
          <w:p>
            <w:pPr>
              <w:pStyle w:val="Corpsdetexte"/>
              <w:rPr>
                <w:b/>
                <w:bCs/>
                <w:sz w:val="18"/>
                <w:szCs w:val="18"/>
              </w:rPr>
            </w:pPr>
            <w:r>
              <w:rPr>
                <w:b/>
                <w:bCs/>
                <w:sz w:val="18"/>
                <w:szCs w:val="18"/>
              </w:rPr>
              <w:t xml:space="preserve">Rue du Commerce, </w:t>
            </w:r>
            <w:smartTag w:uri="urn:schemas-microsoft-com:office:smarttags" w:element="metricconverter">
              <w:smartTagPr>
                <w:attr w:name="ProductID" w:val="68 A"/>
              </w:smartTagPr>
              <w:r>
                <w:rPr>
                  <w:b/>
                  <w:bCs/>
                  <w:sz w:val="18"/>
                  <w:szCs w:val="18"/>
                </w:rPr>
                <w:t>68 A</w:t>
              </w:r>
            </w:smartTag>
          </w:p>
          <w:p>
            <w:pPr>
              <w:pStyle w:val="Corpsdetexte"/>
              <w:rPr>
                <w:b/>
                <w:bCs/>
                <w:sz w:val="18"/>
                <w:szCs w:val="18"/>
              </w:rPr>
            </w:pPr>
            <w:r>
              <w:rPr>
                <w:b/>
                <w:bCs/>
                <w:sz w:val="18"/>
                <w:szCs w:val="18"/>
              </w:rPr>
              <w:t>1040  BRUXELLES</w:t>
            </w:r>
          </w:p>
          <w:p>
            <w:pPr>
              <w:pStyle w:val="Corpsdetexte"/>
              <w:rPr>
                <w:b/>
                <w:bCs/>
                <w:sz w:val="18"/>
                <w:szCs w:val="18"/>
              </w:rPr>
            </w:pPr>
            <w:r>
              <w:rPr>
                <w:b/>
                <w:bCs/>
                <w:sz w:val="18"/>
                <w:szCs w:val="18"/>
              </w:rPr>
              <w:t>Tél.: 02/ 413.39.18       Fax: 02/ 413.38.42</w:t>
            </w:r>
          </w:p>
          <w:p>
            <w:pPr>
              <w:pStyle w:val="Corpsdetexte"/>
              <w:rPr>
                <w:b/>
                <w:bCs/>
                <w:sz w:val="18"/>
                <w:szCs w:val="18"/>
                <w:lang w:val="pt-BR"/>
              </w:rPr>
            </w:pPr>
            <w:hyperlink r:id="rId162" w:history="1">
              <w:r>
                <w:rPr>
                  <w:rStyle w:val="Lienhypertexte"/>
                  <w:b/>
                  <w:bCs/>
                  <w:color w:val="auto"/>
                  <w:sz w:val="18"/>
                  <w:szCs w:val="18"/>
                  <w:lang w:val="pt-BR"/>
                </w:rPr>
                <w:t>saj.bruxelles@cfwb.be</w:t>
              </w:r>
            </w:hyperlink>
          </w:p>
          <w:p>
            <w:pPr>
              <w:pStyle w:val="Corpsdetexte"/>
              <w:rPr>
                <w:bCs/>
                <w:sz w:val="18"/>
                <w:szCs w:val="18"/>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lang w:val="pt-BR"/>
                    </w:rPr>
                  </w:pPr>
                  <w:r>
                    <w:rPr>
                      <w:b/>
                      <w:sz w:val="18"/>
                      <w:szCs w:val="18"/>
                      <w:lang w:val="pt-BR"/>
                    </w:rPr>
                    <w:t>SAJ de Charleroi</w:t>
                  </w:r>
                </w:p>
              </w:tc>
            </w:tr>
          </w:tbl>
          <w:p>
            <w:pPr>
              <w:rPr>
                <w:sz w:val="18"/>
                <w:szCs w:val="18"/>
                <w:lang w:val="pt-BR"/>
              </w:rPr>
            </w:pPr>
          </w:p>
          <w:p>
            <w:pPr>
              <w:pStyle w:val="Corpsdetexte"/>
              <w:rPr>
                <w:b/>
                <w:bCs/>
                <w:sz w:val="18"/>
                <w:szCs w:val="18"/>
                <w:lang w:val="pt-BR"/>
              </w:rPr>
            </w:pPr>
            <w:r>
              <w:rPr>
                <w:b/>
                <w:bCs/>
                <w:sz w:val="18"/>
                <w:szCs w:val="18"/>
                <w:lang w:val="pt-BR"/>
              </w:rPr>
              <w:t xml:space="preserve">Madame Lydia </w:t>
            </w:r>
            <w:smartTag w:uri="urn:schemas-microsoft-com:office:smarttags" w:element="PersonName">
              <w:smartTagPr>
                <w:attr w:name="ProductID" w:val="LA CORTE"/>
              </w:smartTagPr>
              <w:r>
                <w:rPr>
                  <w:b/>
                  <w:bCs/>
                  <w:sz w:val="18"/>
                  <w:szCs w:val="18"/>
                  <w:lang w:val="pt-BR"/>
                </w:rPr>
                <w:t>LA CORTE</w:t>
              </w:r>
            </w:smartTag>
          </w:p>
          <w:p>
            <w:pPr>
              <w:pStyle w:val="Corpsdetexte"/>
              <w:rPr>
                <w:b/>
                <w:sz w:val="18"/>
                <w:szCs w:val="18"/>
              </w:rPr>
            </w:pPr>
            <w:r>
              <w:rPr>
                <w:b/>
                <w:sz w:val="18"/>
                <w:szCs w:val="18"/>
              </w:rPr>
              <w:t xml:space="preserve">Conseillère de l’Aide à </w:t>
            </w:r>
            <w:smartTag w:uri="urn:schemas-microsoft-com:office:smarttags" w:element="PersonName">
              <w:smartTagPr>
                <w:attr w:name="ProductID" w:val="la Jeunesse"/>
              </w:smartTagPr>
              <w:r>
                <w:rPr>
                  <w:b/>
                  <w:sz w:val="18"/>
                  <w:szCs w:val="18"/>
                </w:rPr>
                <w:t>la Jeunesse</w:t>
              </w:r>
            </w:smartTag>
          </w:p>
          <w:p>
            <w:pPr>
              <w:pStyle w:val="Corpsdetexte"/>
              <w:rPr>
                <w:b/>
                <w:bCs/>
                <w:sz w:val="18"/>
                <w:szCs w:val="18"/>
              </w:rPr>
            </w:pPr>
            <w:r>
              <w:rPr>
                <w:b/>
                <w:bCs/>
                <w:sz w:val="18"/>
                <w:szCs w:val="18"/>
              </w:rPr>
              <w:t>rue de la Rivelaine, 7 – site St-Charles</w:t>
            </w:r>
          </w:p>
          <w:p>
            <w:pPr>
              <w:pStyle w:val="Corpsdetexte"/>
              <w:rPr>
                <w:b/>
                <w:bCs/>
                <w:sz w:val="18"/>
                <w:szCs w:val="18"/>
              </w:rPr>
            </w:pPr>
            <w:r>
              <w:rPr>
                <w:b/>
                <w:bCs/>
                <w:sz w:val="18"/>
                <w:szCs w:val="18"/>
              </w:rPr>
              <w:t>6061 MONTIGNIES-</w:t>
            </w:r>
            <w:r>
              <w:rPr>
                <w:b/>
                <w:bCs/>
                <w:caps/>
                <w:sz w:val="18"/>
                <w:szCs w:val="18"/>
              </w:rPr>
              <w:t>sur-Sambre</w:t>
            </w:r>
          </w:p>
          <w:p>
            <w:pPr>
              <w:pStyle w:val="Corpsdetexte"/>
              <w:rPr>
                <w:b/>
                <w:bCs/>
                <w:sz w:val="18"/>
                <w:szCs w:val="18"/>
              </w:rPr>
            </w:pPr>
            <w:r>
              <w:rPr>
                <w:b/>
                <w:bCs/>
                <w:caps/>
                <w:sz w:val="18"/>
                <w:szCs w:val="18"/>
              </w:rPr>
              <w:t>T</w:t>
            </w:r>
            <w:r>
              <w:rPr>
                <w:b/>
                <w:bCs/>
                <w:sz w:val="18"/>
                <w:szCs w:val="18"/>
              </w:rPr>
              <w:t>él.: 071/89.60.11     Fax: 071/89.60.09</w:t>
            </w:r>
          </w:p>
          <w:p>
            <w:pPr>
              <w:pStyle w:val="Corpsdetexte"/>
              <w:rPr>
                <w:b/>
                <w:bCs/>
                <w:sz w:val="18"/>
                <w:szCs w:val="18"/>
              </w:rPr>
            </w:pPr>
            <w:hyperlink r:id="rId163" w:history="1">
              <w:r>
                <w:rPr>
                  <w:rStyle w:val="Lienhypertexte"/>
                  <w:b/>
                  <w:bCs/>
                  <w:color w:val="auto"/>
                  <w:sz w:val="18"/>
                  <w:szCs w:val="18"/>
                </w:rPr>
                <w:t>saj.charleroi@cfwb.be</w:t>
              </w:r>
            </w:hyperlink>
          </w:p>
          <w:p>
            <w:pPr>
              <w:pStyle w:val="Corpsdetexte"/>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Dinant</w:t>
                  </w:r>
                </w:p>
              </w:tc>
            </w:tr>
          </w:tbl>
          <w:p>
            <w:pPr>
              <w:rPr>
                <w:sz w:val="18"/>
                <w:szCs w:val="18"/>
              </w:rPr>
            </w:pPr>
          </w:p>
          <w:p>
            <w:pPr>
              <w:pStyle w:val="Corpsdetexte"/>
              <w:rPr>
                <w:b/>
                <w:bCs/>
                <w:sz w:val="18"/>
                <w:szCs w:val="18"/>
              </w:rPr>
            </w:pPr>
            <w:r>
              <w:rPr>
                <w:b/>
                <w:bCs/>
                <w:sz w:val="18"/>
                <w:szCs w:val="18"/>
              </w:rPr>
              <w:t>Madame Marie-Jeanne CHABOT</w:t>
            </w:r>
          </w:p>
          <w:p>
            <w:pPr>
              <w:pStyle w:val="Corpsdetexte"/>
              <w:rPr>
                <w:b/>
                <w:sz w:val="18"/>
                <w:szCs w:val="18"/>
              </w:rPr>
            </w:pPr>
            <w:r>
              <w:rPr>
                <w:b/>
                <w:sz w:val="18"/>
                <w:szCs w:val="18"/>
              </w:rPr>
              <w:t xml:space="preserve">Conseillère de l’Aide à </w:t>
            </w:r>
            <w:smartTag w:uri="urn:schemas-microsoft-com:office:smarttags" w:element="PersonName">
              <w:smartTagPr>
                <w:attr w:name="ProductID" w:val="la Jeunesse"/>
              </w:smartTagPr>
              <w:r>
                <w:rPr>
                  <w:b/>
                  <w:sz w:val="18"/>
                  <w:szCs w:val="18"/>
                </w:rPr>
                <w:t>la Jeunesse</w:t>
              </w:r>
            </w:smartTag>
          </w:p>
          <w:p>
            <w:pPr>
              <w:pStyle w:val="Corpsdetexte"/>
              <w:jc w:val="left"/>
              <w:rPr>
                <w:b/>
                <w:bCs/>
                <w:caps/>
                <w:sz w:val="18"/>
                <w:szCs w:val="18"/>
              </w:rPr>
            </w:pPr>
            <w:r>
              <w:rPr>
                <w:b/>
                <w:bCs/>
                <w:sz w:val="18"/>
                <w:szCs w:val="18"/>
              </w:rPr>
              <w:t>Rue Grande, 62/5</w:t>
            </w:r>
          </w:p>
          <w:p>
            <w:pPr>
              <w:pStyle w:val="Corpsdetexte"/>
              <w:rPr>
                <w:b/>
                <w:bCs/>
                <w:caps/>
                <w:sz w:val="18"/>
                <w:szCs w:val="18"/>
              </w:rPr>
            </w:pPr>
            <w:r>
              <w:rPr>
                <w:b/>
                <w:bCs/>
                <w:sz w:val="18"/>
                <w:szCs w:val="18"/>
              </w:rPr>
              <w:t>5500  DINANT</w:t>
            </w:r>
          </w:p>
          <w:p>
            <w:pPr>
              <w:pStyle w:val="Corpsdetexte"/>
              <w:rPr>
                <w:b/>
                <w:bCs/>
                <w:caps/>
                <w:sz w:val="18"/>
                <w:szCs w:val="18"/>
              </w:rPr>
            </w:pPr>
            <w:r>
              <w:rPr>
                <w:b/>
                <w:bCs/>
                <w:sz w:val="18"/>
                <w:szCs w:val="18"/>
              </w:rPr>
              <w:t>Tél.: 082/22.43.88      Fax: 082/ 22.55.08</w:t>
            </w:r>
          </w:p>
          <w:p>
            <w:pPr>
              <w:pStyle w:val="Corpsdetexte"/>
              <w:rPr>
                <w:b/>
                <w:bCs/>
                <w:caps/>
                <w:sz w:val="18"/>
                <w:szCs w:val="18"/>
              </w:rPr>
            </w:pPr>
            <w:hyperlink r:id="rId164" w:history="1">
              <w:r>
                <w:rPr>
                  <w:rStyle w:val="Lienhypertexte"/>
                  <w:b/>
                  <w:bCs/>
                  <w:color w:val="auto"/>
                  <w:sz w:val="18"/>
                  <w:szCs w:val="18"/>
                </w:rPr>
                <w:t>saj.dinant@cfwb.be</w:t>
              </w:r>
            </w:hyperlink>
          </w:p>
          <w:p>
            <w:pPr>
              <w:pStyle w:val="Corpsdetexte"/>
              <w:rPr>
                <w:bCs/>
                <w:sz w:val="18"/>
                <w:szCs w:val="1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Huy</w:t>
                  </w:r>
                </w:p>
              </w:tc>
            </w:tr>
          </w:tbl>
          <w:p>
            <w:pPr>
              <w:rPr>
                <w:sz w:val="18"/>
                <w:szCs w:val="18"/>
              </w:rPr>
            </w:pPr>
          </w:p>
          <w:p>
            <w:pPr>
              <w:pStyle w:val="Corpsdetexte"/>
              <w:rPr>
                <w:b/>
                <w:bCs/>
                <w:sz w:val="18"/>
                <w:szCs w:val="18"/>
              </w:rPr>
            </w:pPr>
            <w:r>
              <w:rPr>
                <w:b/>
                <w:bCs/>
                <w:sz w:val="18"/>
                <w:szCs w:val="18"/>
              </w:rPr>
              <w:t>Madame Isabelle WALHAIN</w:t>
            </w:r>
          </w:p>
          <w:p>
            <w:pPr>
              <w:pStyle w:val="Corpsdetexte"/>
              <w:rPr>
                <w:b/>
                <w:sz w:val="18"/>
                <w:szCs w:val="18"/>
              </w:rPr>
            </w:pPr>
            <w:r>
              <w:rPr>
                <w:b/>
                <w:sz w:val="18"/>
                <w:szCs w:val="18"/>
              </w:rPr>
              <w:t xml:space="preserve">Conseillère de l’Aide à </w:t>
            </w:r>
            <w:smartTag w:uri="urn:schemas-microsoft-com:office:smarttags" w:element="PersonName">
              <w:smartTagPr>
                <w:attr w:name="ProductID" w:val="la Jeunesse"/>
              </w:smartTagPr>
              <w:r>
                <w:rPr>
                  <w:b/>
                  <w:sz w:val="18"/>
                  <w:szCs w:val="18"/>
                </w:rPr>
                <w:t>la Jeunesse</w:t>
              </w:r>
            </w:smartTag>
          </w:p>
          <w:p>
            <w:pPr>
              <w:pStyle w:val="Corpsdetexte"/>
              <w:rPr>
                <w:b/>
                <w:bCs/>
                <w:caps/>
                <w:sz w:val="18"/>
                <w:szCs w:val="18"/>
              </w:rPr>
            </w:pPr>
            <w:r>
              <w:rPr>
                <w:b/>
                <w:bCs/>
                <w:sz w:val="18"/>
                <w:szCs w:val="18"/>
              </w:rPr>
              <w:t>Avenue du Condroz, 3/1 (1</w:t>
            </w:r>
            <w:r>
              <w:rPr>
                <w:b/>
                <w:bCs/>
                <w:sz w:val="18"/>
                <w:szCs w:val="18"/>
                <w:vertAlign w:val="superscript"/>
              </w:rPr>
              <w:t>er</w:t>
            </w:r>
            <w:r>
              <w:rPr>
                <w:b/>
                <w:bCs/>
                <w:sz w:val="18"/>
                <w:szCs w:val="18"/>
              </w:rPr>
              <w:t xml:space="preserve"> et 2</w:t>
            </w:r>
            <w:r>
              <w:rPr>
                <w:b/>
                <w:bCs/>
                <w:sz w:val="18"/>
                <w:szCs w:val="18"/>
                <w:vertAlign w:val="superscript"/>
              </w:rPr>
              <w:t>ème</w:t>
            </w:r>
            <w:r>
              <w:rPr>
                <w:b/>
                <w:bCs/>
                <w:sz w:val="18"/>
                <w:szCs w:val="18"/>
              </w:rPr>
              <w:t xml:space="preserve"> étage)</w:t>
            </w:r>
          </w:p>
          <w:p>
            <w:pPr>
              <w:pStyle w:val="Corpsdetexte"/>
              <w:rPr>
                <w:b/>
                <w:bCs/>
                <w:caps/>
                <w:sz w:val="18"/>
                <w:szCs w:val="18"/>
              </w:rPr>
            </w:pPr>
            <w:r>
              <w:rPr>
                <w:b/>
                <w:bCs/>
                <w:sz w:val="18"/>
                <w:szCs w:val="18"/>
              </w:rPr>
              <w:t>4500  HUY</w:t>
            </w:r>
          </w:p>
          <w:p>
            <w:pPr>
              <w:pStyle w:val="Corpsdetexte"/>
              <w:rPr>
                <w:b/>
                <w:bCs/>
                <w:sz w:val="18"/>
                <w:szCs w:val="18"/>
              </w:rPr>
            </w:pPr>
            <w:r>
              <w:rPr>
                <w:b/>
                <w:bCs/>
                <w:sz w:val="18"/>
                <w:szCs w:val="18"/>
              </w:rPr>
              <w:t>Tél.: 085/ 27.86.40      Fax: 085/ 23.47.24</w:t>
            </w:r>
          </w:p>
          <w:p>
            <w:pPr>
              <w:pStyle w:val="Corpsdetexte"/>
              <w:rPr>
                <w:b/>
                <w:bCs/>
                <w:sz w:val="18"/>
                <w:szCs w:val="18"/>
              </w:rPr>
            </w:pPr>
            <w:hyperlink r:id="rId165" w:history="1">
              <w:r>
                <w:rPr>
                  <w:rStyle w:val="Lienhypertexte"/>
                  <w:b/>
                  <w:bCs/>
                  <w:color w:val="auto"/>
                  <w:sz w:val="18"/>
                  <w:szCs w:val="18"/>
                </w:rPr>
                <w:t>saj.huy@cfwb.be</w:t>
              </w:r>
            </w:hyperlink>
          </w:p>
          <w:p>
            <w:pPr>
              <w:pStyle w:val="Corpsdetexte"/>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Liège</w:t>
                  </w:r>
                </w:p>
              </w:tc>
            </w:tr>
          </w:tbl>
          <w:p>
            <w:pPr>
              <w:rPr>
                <w:sz w:val="18"/>
                <w:szCs w:val="18"/>
              </w:rPr>
            </w:pPr>
          </w:p>
          <w:p>
            <w:pPr>
              <w:pStyle w:val="Corpsdetexte"/>
              <w:rPr>
                <w:b/>
                <w:bCs/>
                <w:sz w:val="18"/>
                <w:szCs w:val="18"/>
              </w:rPr>
            </w:pPr>
            <w:r>
              <w:rPr>
                <w:b/>
                <w:bCs/>
                <w:sz w:val="18"/>
                <w:szCs w:val="18"/>
              </w:rPr>
              <w:t xml:space="preserve">Conseiller de l’Aide à </w:t>
            </w:r>
            <w:smartTag w:uri="urn:schemas-microsoft-com:office:smarttags" w:element="PersonName">
              <w:smartTagPr>
                <w:attr w:name="ProductID" w:val="la Jeunesse"/>
              </w:smartTagPr>
              <w:r>
                <w:rPr>
                  <w:b/>
                  <w:bCs/>
                  <w:sz w:val="18"/>
                  <w:szCs w:val="18"/>
                </w:rPr>
                <w:t>la Jeunesse</w:t>
              </w:r>
            </w:smartTag>
          </w:p>
          <w:p>
            <w:pPr>
              <w:pStyle w:val="Corpsdetexte"/>
              <w:rPr>
                <w:b/>
                <w:sz w:val="18"/>
                <w:szCs w:val="18"/>
                <w:lang w:val="fr-BE"/>
              </w:rPr>
            </w:pPr>
            <w:r>
              <w:rPr>
                <w:b/>
                <w:sz w:val="18"/>
                <w:szCs w:val="18"/>
                <w:lang w:val="fr-BE"/>
              </w:rPr>
              <w:t>Place Xavier Neujean, 1</w:t>
            </w:r>
          </w:p>
          <w:p>
            <w:pPr>
              <w:pStyle w:val="Corpsdetexte"/>
              <w:rPr>
                <w:b/>
                <w:bCs/>
                <w:caps/>
                <w:sz w:val="18"/>
                <w:szCs w:val="18"/>
              </w:rPr>
            </w:pPr>
            <w:r>
              <w:rPr>
                <w:b/>
                <w:bCs/>
                <w:caps/>
                <w:sz w:val="18"/>
                <w:szCs w:val="18"/>
              </w:rPr>
              <w:t>4000  LIEGE</w:t>
            </w:r>
          </w:p>
          <w:p>
            <w:pPr>
              <w:pStyle w:val="Corpsdetexte"/>
              <w:jc w:val="left"/>
              <w:rPr>
                <w:b/>
                <w:bCs/>
                <w:sz w:val="18"/>
                <w:szCs w:val="18"/>
              </w:rPr>
            </w:pPr>
            <w:r>
              <w:rPr>
                <w:b/>
                <w:bCs/>
                <w:sz w:val="18"/>
                <w:szCs w:val="18"/>
              </w:rPr>
              <w:t>Tél.:04/ 220.67.20       Fax: 04/221.04.57</w:t>
            </w:r>
            <w:r>
              <w:rPr>
                <w:b/>
                <w:bCs/>
                <w:sz w:val="18"/>
                <w:szCs w:val="18"/>
              </w:rPr>
              <w:br/>
            </w:r>
            <w:hyperlink r:id="rId166" w:history="1">
              <w:r>
                <w:rPr>
                  <w:rStyle w:val="Lienhypertexte"/>
                  <w:b/>
                  <w:bCs/>
                  <w:color w:val="auto"/>
                  <w:sz w:val="18"/>
                  <w:szCs w:val="18"/>
                </w:rPr>
                <w:t>saj.liege@cfwb.be</w:t>
              </w:r>
            </w:hyperlink>
          </w:p>
          <w:p>
            <w:pPr>
              <w:rPr>
                <w:smallCaps/>
                <w:sz w:val="18"/>
                <w:szCs w:val="18"/>
              </w:rPr>
            </w:pPr>
          </w:p>
        </w:tc>
        <w:tc>
          <w:tcPr>
            <w:tcW w:w="4460"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Marche-en-Famenne</w:t>
                  </w:r>
                </w:p>
              </w:tc>
            </w:tr>
          </w:tbl>
          <w:p>
            <w:pPr>
              <w:pStyle w:val="Corpsdetexte"/>
              <w:rPr>
                <w:b/>
                <w:sz w:val="18"/>
                <w:szCs w:val="18"/>
              </w:rPr>
            </w:pPr>
          </w:p>
          <w:p>
            <w:pPr>
              <w:pStyle w:val="Corpsdetexte"/>
              <w:rPr>
                <w:b/>
                <w:sz w:val="18"/>
                <w:szCs w:val="18"/>
              </w:rPr>
            </w:pPr>
            <w:r>
              <w:rPr>
                <w:b/>
                <w:sz w:val="18"/>
                <w:szCs w:val="18"/>
              </w:rPr>
              <w:t>Monsieur Julien BOLLAND</w:t>
            </w:r>
          </w:p>
          <w:p>
            <w:pPr>
              <w:pStyle w:val="Corpsdetexte"/>
              <w:rPr>
                <w:b/>
                <w:sz w:val="18"/>
                <w:szCs w:val="18"/>
              </w:rPr>
            </w:pPr>
            <w:r>
              <w:rPr>
                <w:b/>
                <w:sz w:val="18"/>
                <w:szCs w:val="18"/>
              </w:rPr>
              <w:t xml:space="preserve">Conseillère de l’Aide à </w:t>
            </w:r>
            <w:smartTag w:uri="urn:schemas-microsoft-com:office:smarttags" w:element="PersonName">
              <w:smartTagPr>
                <w:attr w:name="ProductID" w:val="la Jeunesse"/>
              </w:smartTagPr>
              <w:r>
                <w:rPr>
                  <w:b/>
                  <w:sz w:val="18"/>
                  <w:szCs w:val="18"/>
                </w:rPr>
                <w:t>la Jeunesse</w:t>
              </w:r>
            </w:smartTag>
          </w:p>
          <w:p>
            <w:pPr>
              <w:pStyle w:val="Corpsdetexte"/>
              <w:rPr>
                <w:b/>
                <w:sz w:val="18"/>
                <w:szCs w:val="18"/>
              </w:rPr>
            </w:pPr>
            <w:r>
              <w:rPr>
                <w:b/>
                <w:sz w:val="18"/>
                <w:szCs w:val="18"/>
              </w:rPr>
              <w:t xml:space="preserve">Avenue de </w:t>
            </w:r>
            <w:smartTag w:uri="urn:schemas-microsoft-com:office:smarttags" w:element="PersonName">
              <w:smartTagPr>
                <w:attr w:name="ProductID" w:val="la Toison"/>
              </w:smartTagPr>
              <w:r>
                <w:rPr>
                  <w:b/>
                  <w:sz w:val="18"/>
                  <w:szCs w:val="18"/>
                </w:rPr>
                <w:t>la Toison</w:t>
              </w:r>
            </w:smartTag>
            <w:r>
              <w:rPr>
                <w:b/>
                <w:sz w:val="18"/>
                <w:szCs w:val="18"/>
              </w:rPr>
              <w:t xml:space="preserve"> d’Or, 94</w:t>
            </w:r>
          </w:p>
          <w:p>
            <w:pPr>
              <w:pStyle w:val="Corpsdetexte"/>
              <w:rPr>
                <w:b/>
                <w:sz w:val="18"/>
                <w:szCs w:val="18"/>
              </w:rPr>
            </w:pPr>
            <w:r>
              <w:rPr>
                <w:b/>
                <w:sz w:val="18"/>
                <w:szCs w:val="18"/>
              </w:rPr>
              <w:t>6900  MARCHE-EN-FAMENNE</w:t>
            </w:r>
          </w:p>
          <w:p>
            <w:pPr>
              <w:pStyle w:val="Corpsdetexte"/>
              <w:rPr>
                <w:b/>
                <w:sz w:val="18"/>
                <w:szCs w:val="18"/>
              </w:rPr>
            </w:pPr>
            <w:r>
              <w:rPr>
                <w:b/>
                <w:bCs/>
                <w:sz w:val="18"/>
                <w:szCs w:val="18"/>
              </w:rPr>
              <w:t>Tél.:  084/ 24.49.20      Fax: 084/ 31.63.41</w:t>
            </w:r>
          </w:p>
          <w:p>
            <w:pPr>
              <w:pStyle w:val="Corpsdetexte"/>
              <w:rPr>
                <w:b/>
                <w:sz w:val="18"/>
                <w:szCs w:val="18"/>
              </w:rPr>
            </w:pPr>
            <w:hyperlink r:id="rId167" w:history="1">
              <w:r>
                <w:rPr>
                  <w:rStyle w:val="Lienhypertexte"/>
                  <w:b/>
                  <w:color w:val="auto"/>
                  <w:sz w:val="18"/>
                  <w:szCs w:val="18"/>
                </w:rPr>
                <w:t>saj.marche@cfwb.be</w:t>
              </w:r>
            </w:hyperlink>
          </w:p>
          <w:p>
            <w:pPr>
              <w:pStyle w:val="Corpsdetexte"/>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Mons</w:t>
                  </w:r>
                </w:p>
              </w:tc>
            </w:tr>
          </w:tbl>
          <w:p>
            <w:pPr>
              <w:rPr>
                <w:sz w:val="18"/>
                <w:szCs w:val="18"/>
              </w:rPr>
            </w:pPr>
          </w:p>
          <w:p>
            <w:pPr>
              <w:pStyle w:val="Corpsdetexte"/>
              <w:rPr>
                <w:b/>
                <w:sz w:val="18"/>
                <w:szCs w:val="18"/>
              </w:rPr>
            </w:pPr>
            <w:r>
              <w:rPr>
                <w:b/>
                <w:sz w:val="18"/>
                <w:szCs w:val="18"/>
              </w:rPr>
              <w:t>Monsieur Guy DECLERQ</w:t>
            </w:r>
          </w:p>
          <w:p>
            <w:pPr>
              <w:pStyle w:val="Corpsdetexte"/>
              <w:rPr>
                <w:b/>
                <w:sz w:val="18"/>
                <w:szCs w:val="18"/>
              </w:rPr>
            </w:pPr>
            <w:r>
              <w:rPr>
                <w:b/>
                <w:sz w:val="18"/>
                <w:szCs w:val="18"/>
              </w:rPr>
              <w:t xml:space="preserve">Conseiller  de l’Aide à </w:t>
            </w:r>
            <w:smartTag w:uri="urn:schemas-microsoft-com:office:smarttags" w:element="PersonName">
              <w:smartTagPr>
                <w:attr w:name="ProductID" w:val="la Jeunesse"/>
              </w:smartTagPr>
              <w:r>
                <w:rPr>
                  <w:b/>
                  <w:sz w:val="18"/>
                  <w:szCs w:val="18"/>
                </w:rPr>
                <w:t>la Jeunesse</w:t>
              </w:r>
            </w:smartTag>
          </w:p>
          <w:p>
            <w:pPr>
              <w:pStyle w:val="Corpsdetexte"/>
              <w:rPr>
                <w:b/>
                <w:sz w:val="18"/>
                <w:szCs w:val="18"/>
              </w:rPr>
            </w:pPr>
            <w:r>
              <w:rPr>
                <w:b/>
                <w:sz w:val="18"/>
                <w:szCs w:val="18"/>
              </w:rPr>
              <w:t>Rue du Chemin de Fer, 433</w:t>
            </w:r>
          </w:p>
          <w:p>
            <w:pPr>
              <w:pStyle w:val="Corpsdetexte"/>
              <w:rPr>
                <w:b/>
                <w:sz w:val="18"/>
                <w:szCs w:val="18"/>
              </w:rPr>
            </w:pPr>
            <w:r>
              <w:rPr>
                <w:b/>
                <w:sz w:val="18"/>
                <w:szCs w:val="18"/>
              </w:rPr>
              <w:t>7033  CUESMES</w:t>
            </w:r>
          </w:p>
          <w:p>
            <w:pPr>
              <w:rPr>
                <w:sz w:val="18"/>
                <w:szCs w:val="18"/>
              </w:rPr>
            </w:pPr>
            <w:r>
              <w:rPr>
                <w:b/>
                <w:bCs/>
                <w:sz w:val="18"/>
                <w:szCs w:val="18"/>
              </w:rPr>
              <w:t>Tél.: 065/ 39.58.50      Fax: 065/ 84.24.78</w:t>
            </w:r>
          </w:p>
          <w:p>
            <w:pPr>
              <w:rPr>
                <w:b/>
                <w:sz w:val="18"/>
                <w:szCs w:val="18"/>
              </w:rPr>
            </w:pPr>
            <w:hyperlink r:id="rId168" w:history="1">
              <w:r>
                <w:rPr>
                  <w:rStyle w:val="Lienhypertexte"/>
                  <w:b/>
                  <w:color w:val="auto"/>
                  <w:sz w:val="18"/>
                  <w:szCs w:val="18"/>
                </w:rPr>
                <w:t>saj.mons@cfwb.be</w:t>
              </w:r>
            </w:hyperlink>
          </w:p>
          <w:p>
            <w:pPr>
              <w:pStyle w:val="Corpsdetexte"/>
              <w:rPr>
                <w:smallCap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Namur</w:t>
                  </w:r>
                </w:p>
              </w:tc>
            </w:tr>
          </w:tbl>
          <w:p>
            <w:pPr>
              <w:tabs>
                <w:tab w:val="left" w:pos="1140"/>
              </w:tabs>
              <w:rPr>
                <w:sz w:val="18"/>
                <w:szCs w:val="18"/>
              </w:rPr>
            </w:pPr>
          </w:p>
          <w:p>
            <w:pPr>
              <w:pStyle w:val="Corpsdetexte"/>
              <w:rPr>
                <w:b/>
                <w:sz w:val="18"/>
                <w:szCs w:val="18"/>
                <w:lang w:val="fr-BE"/>
              </w:rPr>
            </w:pPr>
            <w:r>
              <w:rPr>
                <w:b/>
                <w:sz w:val="18"/>
                <w:szCs w:val="18"/>
                <w:lang w:val="fr-BE"/>
              </w:rPr>
              <w:t>Monsieur Jean-Vincent COUCK</w:t>
            </w:r>
          </w:p>
          <w:p>
            <w:pPr>
              <w:pStyle w:val="Corpsdetexte"/>
              <w:rPr>
                <w:b/>
                <w:sz w:val="18"/>
                <w:szCs w:val="18"/>
              </w:rPr>
            </w:pPr>
            <w:r>
              <w:rPr>
                <w:b/>
                <w:sz w:val="18"/>
                <w:szCs w:val="18"/>
              </w:rPr>
              <w:t xml:space="preserve">Conseillère de l’Aide à </w:t>
            </w:r>
            <w:smartTag w:uri="urn:schemas-microsoft-com:office:smarttags" w:element="PersonName">
              <w:smartTagPr>
                <w:attr w:name="ProductID" w:val="la Jeunesse"/>
              </w:smartTagPr>
              <w:r>
                <w:rPr>
                  <w:b/>
                  <w:sz w:val="18"/>
                  <w:szCs w:val="18"/>
                </w:rPr>
                <w:t>la Jeunesse</w:t>
              </w:r>
            </w:smartTag>
          </w:p>
          <w:p>
            <w:pPr>
              <w:pStyle w:val="Corpsdetexte"/>
              <w:rPr>
                <w:b/>
                <w:sz w:val="18"/>
                <w:szCs w:val="18"/>
                <w:lang w:val="fr-BE"/>
              </w:rPr>
            </w:pPr>
            <w:r>
              <w:rPr>
                <w:b/>
                <w:sz w:val="18"/>
                <w:szCs w:val="18"/>
                <w:lang w:val="fr-BE"/>
              </w:rPr>
              <w:t>Place  Monseigneur Heylen, 4</w:t>
            </w:r>
          </w:p>
          <w:p>
            <w:pPr>
              <w:pStyle w:val="Corpsdetexte"/>
              <w:rPr>
                <w:b/>
                <w:sz w:val="18"/>
                <w:szCs w:val="18"/>
                <w:lang w:val="fr-BE"/>
              </w:rPr>
            </w:pPr>
            <w:r>
              <w:rPr>
                <w:b/>
                <w:sz w:val="18"/>
                <w:szCs w:val="18"/>
                <w:lang w:val="fr-BE"/>
              </w:rPr>
              <w:t>5000  NAMUR</w:t>
            </w:r>
          </w:p>
          <w:p>
            <w:pPr>
              <w:pStyle w:val="Corpsdetexte"/>
              <w:rPr>
                <w:b/>
                <w:bCs/>
                <w:sz w:val="18"/>
                <w:szCs w:val="18"/>
              </w:rPr>
            </w:pPr>
            <w:r>
              <w:rPr>
                <w:b/>
                <w:bCs/>
                <w:sz w:val="18"/>
                <w:szCs w:val="18"/>
              </w:rPr>
              <w:t>Tél.: 081/ 23.75.75      Fax: 081/ 22.72.16</w:t>
            </w:r>
          </w:p>
          <w:p>
            <w:pPr>
              <w:pStyle w:val="Corpsdetexte"/>
              <w:rPr>
                <w:b/>
                <w:bCs/>
                <w:sz w:val="18"/>
                <w:szCs w:val="18"/>
              </w:rPr>
            </w:pPr>
            <w:hyperlink r:id="rId169" w:history="1">
              <w:r>
                <w:rPr>
                  <w:rStyle w:val="Lienhypertexte"/>
                  <w:b/>
                  <w:bCs/>
                  <w:color w:val="auto"/>
                  <w:sz w:val="18"/>
                  <w:szCs w:val="18"/>
                </w:rPr>
                <w:t>saj.namur@cfwb.be</w:t>
              </w:r>
            </w:hyperlink>
          </w:p>
          <w:p>
            <w:pPr>
              <w:pStyle w:val="Corpsdetexte"/>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Neufchâteau</w:t>
                  </w:r>
                </w:p>
              </w:tc>
            </w:tr>
          </w:tbl>
          <w:p>
            <w:pPr>
              <w:rPr>
                <w:sz w:val="18"/>
                <w:szCs w:val="18"/>
              </w:rPr>
            </w:pPr>
          </w:p>
          <w:p>
            <w:pPr>
              <w:pStyle w:val="Corpsdetexte"/>
              <w:rPr>
                <w:b/>
                <w:sz w:val="18"/>
                <w:szCs w:val="18"/>
              </w:rPr>
            </w:pPr>
            <w:r>
              <w:rPr>
                <w:b/>
                <w:sz w:val="18"/>
                <w:szCs w:val="18"/>
              </w:rPr>
              <w:t>Monsieur Joël TANGHE</w:t>
            </w:r>
          </w:p>
          <w:p>
            <w:pPr>
              <w:pStyle w:val="Corpsdetexte"/>
              <w:rPr>
                <w:b/>
                <w:sz w:val="18"/>
                <w:szCs w:val="18"/>
              </w:rPr>
            </w:pPr>
            <w:r>
              <w:rPr>
                <w:b/>
                <w:sz w:val="18"/>
                <w:szCs w:val="18"/>
              </w:rPr>
              <w:t xml:space="preserve">Conseiller de l’Aide à </w:t>
            </w:r>
            <w:smartTag w:uri="urn:schemas-microsoft-com:office:smarttags" w:element="PersonName">
              <w:smartTagPr>
                <w:attr w:name="ProductID" w:val="la Jeunesse"/>
              </w:smartTagPr>
              <w:r>
                <w:rPr>
                  <w:b/>
                  <w:sz w:val="18"/>
                  <w:szCs w:val="18"/>
                </w:rPr>
                <w:t>la Jeunesse</w:t>
              </w:r>
            </w:smartTag>
          </w:p>
          <w:p>
            <w:pPr>
              <w:pStyle w:val="Corpsdetexte"/>
              <w:rPr>
                <w:b/>
                <w:sz w:val="18"/>
                <w:szCs w:val="18"/>
              </w:rPr>
            </w:pPr>
            <w:r>
              <w:rPr>
                <w:b/>
                <w:sz w:val="18"/>
                <w:szCs w:val="18"/>
              </w:rPr>
              <w:t xml:space="preserve">Avenue de </w:t>
            </w:r>
            <w:smartTag w:uri="urn:schemas-microsoft-com:office:smarttags" w:element="PersonName">
              <w:smartTagPr>
                <w:attr w:name="ProductID" w:val="la Victoire"/>
              </w:smartTagPr>
              <w:r>
                <w:rPr>
                  <w:b/>
                  <w:sz w:val="18"/>
                  <w:szCs w:val="18"/>
                </w:rPr>
                <w:t>la Victoire</w:t>
              </w:r>
            </w:smartTag>
            <w:r>
              <w:rPr>
                <w:b/>
                <w:sz w:val="18"/>
                <w:szCs w:val="18"/>
              </w:rPr>
              <w:t xml:space="preserve">, </w:t>
            </w:r>
            <w:smartTag w:uri="urn:schemas-microsoft-com:office:smarttags" w:element="metricconverter">
              <w:smartTagPr>
                <w:attr w:name="ProductID" w:val="64 A"/>
              </w:smartTagPr>
              <w:r>
                <w:rPr>
                  <w:b/>
                  <w:sz w:val="18"/>
                  <w:szCs w:val="18"/>
                </w:rPr>
                <w:t>64 A</w:t>
              </w:r>
            </w:smartTag>
          </w:p>
          <w:p>
            <w:pPr>
              <w:tabs>
                <w:tab w:val="left" w:pos="3875"/>
                <w:tab w:val="left" w:pos="5535"/>
                <w:tab w:val="left" w:pos="7795"/>
                <w:tab w:val="left" w:pos="10335"/>
                <w:tab w:val="left" w:pos="11675"/>
                <w:tab w:val="left" w:pos="12895"/>
                <w:tab w:val="left" w:pos="14355"/>
                <w:tab w:val="left" w:pos="15775"/>
                <w:tab w:val="left" w:pos="17135"/>
                <w:tab w:val="left" w:pos="20535"/>
              </w:tabs>
              <w:rPr>
                <w:sz w:val="18"/>
                <w:szCs w:val="18"/>
              </w:rPr>
            </w:pPr>
            <w:r>
              <w:rPr>
                <w:b/>
                <w:sz w:val="18"/>
                <w:szCs w:val="18"/>
              </w:rPr>
              <w:t>6840  NEUFCHATEAU</w:t>
            </w:r>
          </w:p>
          <w:p>
            <w:pPr>
              <w:pStyle w:val="Corpsdetexte"/>
              <w:rPr>
                <w:sz w:val="18"/>
                <w:szCs w:val="18"/>
                <w:lang w:val="fr-BE"/>
              </w:rPr>
            </w:pPr>
            <w:r>
              <w:rPr>
                <w:b/>
                <w:bCs/>
                <w:sz w:val="18"/>
                <w:szCs w:val="18"/>
              </w:rPr>
              <w:t>Tél.: 061/ 41.03.80     Fax: 061/ 27.96.94</w:t>
            </w:r>
          </w:p>
          <w:p>
            <w:pPr>
              <w:pStyle w:val="Corpsdetexte"/>
              <w:rPr>
                <w:b/>
                <w:sz w:val="18"/>
                <w:szCs w:val="18"/>
                <w:lang w:val="fr-BE"/>
              </w:rPr>
            </w:pPr>
            <w:hyperlink r:id="rId170" w:history="1">
              <w:r>
                <w:rPr>
                  <w:rStyle w:val="Lienhypertexte"/>
                  <w:b/>
                  <w:color w:val="auto"/>
                  <w:sz w:val="18"/>
                  <w:szCs w:val="18"/>
                  <w:lang w:val="fr-BE"/>
                </w:rPr>
                <w:t>saj.neufchateau@cfwb.be</w:t>
              </w:r>
            </w:hyperlink>
          </w:p>
          <w:p>
            <w:pPr>
              <w:pStyle w:val="Corpsdetexte"/>
              <w:rPr>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Nivelles</w:t>
                  </w:r>
                </w:p>
              </w:tc>
            </w:tr>
          </w:tbl>
          <w:p>
            <w:pPr>
              <w:pStyle w:val="Corpsdetexte"/>
              <w:rPr>
                <w:bCs/>
                <w:sz w:val="18"/>
                <w:szCs w:val="18"/>
              </w:rPr>
            </w:pPr>
          </w:p>
          <w:p>
            <w:pPr>
              <w:pStyle w:val="Corpsdetexte"/>
              <w:rPr>
                <w:b/>
                <w:bCs/>
                <w:sz w:val="18"/>
                <w:szCs w:val="18"/>
              </w:rPr>
            </w:pPr>
            <w:r>
              <w:rPr>
                <w:b/>
                <w:bCs/>
                <w:sz w:val="18"/>
                <w:szCs w:val="18"/>
              </w:rPr>
              <w:t>Conseiller de l’Aide à la Jeunesse</w:t>
            </w:r>
          </w:p>
          <w:p>
            <w:pPr>
              <w:pStyle w:val="Corpsdetexte"/>
              <w:rPr>
                <w:b/>
                <w:sz w:val="18"/>
                <w:szCs w:val="18"/>
              </w:rPr>
            </w:pPr>
            <w:r>
              <w:rPr>
                <w:b/>
                <w:sz w:val="18"/>
                <w:szCs w:val="18"/>
              </w:rPr>
              <w:t>Rue du Cheval Godet, 8</w:t>
            </w:r>
          </w:p>
          <w:p>
            <w:pPr>
              <w:pStyle w:val="Corpsdetexte"/>
              <w:rPr>
                <w:b/>
                <w:sz w:val="18"/>
                <w:szCs w:val="18"/>
              </w:rPr>
            </w:pPr>
            <w:r>
              <w:rPr>
                <w:b/>
                <w:sz w:val="18"/>
                <w:szCs w:val="18"/>
              </w:rPr>
              <w:t>1400  NIVELLES</w:t>
            </w:r>
          </w:p>
          <w:p>
            <w:pPr>
              <w:pStyle w:val="Corpsdetexte"/>
              <w:rPr>
                <w:b/>
                <w:bCs/>
                <w:sz w:val="18"/>
                <w:szCs w:val="18"/>
              </w:rPr>
            </w:pPr>
            <w:r>
              <w:rPr>
                <w:b/>
                <w:bCs/>
                <w:sz w:val="18"/>
                <w:szCs w:val="18"/>
              </w:rPr>
              <w:t>Tél.: 067/ 89.59.60     Fax: 067/ 84.18.16</w:t>
            </w:r>
          </w:p>
          <w:p>
            <w:pPr>
              <w:pStyle w:val="Corpsdetexte"/>
              <w:rPr>
                <w:b/>
                <w:bCs/>
                <w:sz w:val="18"/>
                <w:szCs w:val="18"/>
              </w:rPr>
            </w:pPr>
            <w:hyperlink r:id="rId171" w:history="1">
              <w:r>
                <w:rPr>
                  <w:rStyle w:val="Lienhypertexte"/>
                  <w:b/>
                  <w:bCs/>
                  <w:color w:val="auto"/>
                  <w:sz w:val="18"/>
                  <w:szCs w:val="18"/>
                </w:rPr>
                <w:t>saj.nivelles@cfwb.be</w:t>
              </w:r>
            </w:hyperlink>
          </w:p>
          <w:p>
            <w:pPr>
              <w:pStyle w:val="Corpsdetexte"/>
              <w:rPr>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Tournai</w:t>
                  </w:r>
                </w:p>
              </w:tc>
            </w:tr>
          </w:tbl>
          <w:p>
            <w:pPr>
              <w:pStyle w:val="Corpsdetexte"/>
              <w:rPr>
                <w:bCs/>
                <w:sz w:val="18"/>
                <w:szCs w:val="18"/>
              </w:rPr>
            </w:pPr>
          </w:p>
          <w:p>
            <w:pPr>
              <w:pStyle w:val="Corpsdetexte"/>
              <w:rPr>
                <w:b/>
                <w:sz w:val="18"/>
                <w:szCs w:val="18"/>
              </w:rPr>
            </w:pPr>
            <w:r>
              <w:rPr>
                <w:b/>
                <w:sz w:val="18"/>
                <w:szCs w:val="18"/>
              </w:rPr>
              <w:t>Madame Marie-Paule RENDERS</w:t>
            </w:r>
          </w:p>
          <w:p>
            <w:pPr>
              <w:pStyle w:val="Corpsdetexte"/>
              <w:rPr>
                <w:b/>
                <w:sz w:val="18"/>
                <w:szCs w:val="18"/>
              </w:rPr>
            </w:pPr>
            <w:r>
              <w:rPr>
                <w:b/>
                <w:sz w:val="18"/>
                <w:szCs w:val="18"/>
              </w:rPr>
              <w:t xml:space="preserve">Conseillère de l’Aide à </w:t>
            </w:r>
            <w:smartTag w:uri="urn:schemas-microsoft-com:office:smarttags" w:element="PersonName">
              <w:smartTagPr>
                <w:attr w:name="ProductID" w:val="la Jeunesse"/>
              </w:smartTagPr>
              <w:r>
                <w:rPr>
                  <w:b/>
                  <w:sz w:val="18"/>
                  <w:szCs w:val="18"/>
                </w:rPr>
                <w:t>la Jeunesse</w:t>
              </w:r>
            </w:smartTag>
          </w:p>
          <w:p>
            <w:pPr>
              <w:pStyle w:val="Corpsdetexte"/>
              <w:rPr>
                <w:b/>
                <w:sz w:val="18"/>
                <w:szCs w:val="18"/>
              </w:rPr>
            </w:pPr>
            <w:r>
              <w:rPr>
                <w:b/>
                <w:sz w:val="18"/>
                <w:szCs w:val="18"/>
              </w:rPr>
              <w:t>Place du Becquerelle, 21</w:t>
            </w:r>
          </w:p>
          <w:p>
            <w:pPr>
              <w:pStyle w:val="Corpsdetexte"/>
              <w:rPr>
                <w:b/>
                <w:sz w:val="18"/>
                <w:szCs w:val="18"/>
              </w:rPr>
            </w:pPr>
            <w:r>
              <w:rPr>
                <w:b/>
                <w:sz w:val="18"/>
                <w:szCs w:val="18"/>
              </w:rPr>
              <w:t>7500  TOURNAI</w:t>
            </w:r>
          </w:p>
          <w:p>
            <w:pPr>
              <w:pStyle w:val="Corpsdetexte"/>
              <w:ind w:left="360"/>
              <w:rPr>
                <w:b/>
                <w:sz w:val="18"/>
                <w:szCs w:val="18"/>
              </w:rPr>
            </w:pPr>
          </w:p>
          <w:p>
            <w:pPr>
              <w:pStyle w:val="Corpsdetexte"/>
              <w:rPr>
                <w:b/>
                <w:bCs/>
                <w:sz w:val="18"/>
                <w:szCs w:val="18"/>
              </w:rPr>
            </w:pPr>
            <w:r>
              <w:rPr>
                <w:b/>
                <w:bCs/>
                <w:sz w:val="18"/>
                <w:szCs w:val="18"/>
              </w:rPr>
              <w:t>Tél.:  069/ 53.28.40       Fax: 069/ 84.39.01</w:t>
            </w:r>
          </w:p>
          <w:p>
            <w:pPr>
              <w:pStyle w:val="Corpsdetexte"/>
              <w:rPr>
                <w:b/>
                <w:bCs/>
                <w:sz w:val="18"/>
                <w:szCs w:val="18"/>
              </w:rPr>
            </w:pPr>
            <w:hyperlink r:id="rId172" w:history="1">
              <w:r>
                <w:rPr>
                  <w:rStyle w:val="Lienhypertexte"/>
                  <w:b/>
                  <w:bCs/>
                  <w:color w:val="auto"/>
                  <w:sz w:val="18"/>
                  <w:szCs w:val="18"/>
                </w:rPr>
                <w:t>saj.tournai@cfwb.be</w:t>
              </w:r>
            </w:hyperlink>
          </w:p>
          <w:p>
            <w:pPr>
              <w:pStyle w:val="Corpsdetexte"/>
              <w:rPr>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7"/>
            </w:tblGrid>
            <w:tr>
              <w:trPr>
                <w:trHeight w:val="268"/>
              </w:trPr>
              <w:tc>
                <w:tcPr>
                  <w:tcW w:w="4087" w:type="dxa"/>
                  <w:shd w:val="clear" w:color="auto" w:fill="auto"/>
                  <w:vAlign w:val="center"/>
                </w:tcPr>
                <w:p>
                  <w:pPr>
                    <w:pStyle w:val="Corpsdetexte"/>
                    <w:rPr>
                      <w:b/>
                      <w:sz w:val="18"/>
                      <w:szCs w:val="18"/>
                    </w:rPr>
                  </w:pPr>
                  <w:r>
                    <w:rPr>
                      <w:b/>
                      <w:sz w:val="18"/>
                      <w:szCs w:val="18"/>
                    </w:rPr>
                    <w:t>SAJ de Verviers</w:t>
                  </w:r>
                </w:p>
              </w:tc>
            </w:tr>
          </w:tbl>
          <w:p>
            <w:pPr>
              <w:pStyle w:val="Corpsdetexte"/>
              <w:rPr>
                <w:bCs/>
                <w:sz w:val="18"/>
                <w:szCs w:val="18"/>
              </w:rPr>
            </w:pPr>
          </w:p>
          <w:p>
            <w:pPr>
              <w:pStyle w:val="Corpsdetexte"/>
              <w:rPr>
                <w:b/>
                <w:sz w:val="18"/>
                <w:szCs w:val="18"/>
              </w:rPr>
            </w:pPr>
            <w:r>
              <w:rPr>
                <w:b/>
                <w:sz w:val="18"/>
                <w:szCs w:val="18"/>
              </w:rPr>
              <w:t>Madame Chantal VYGHEN</w:t>
            </w:r>
          </w:p>
          <w:p>
            <w:pPr>
              <w:pStyle w:val="Corpsdetexte"/>
              <w:rPr>
                <w:b/>
                <w:bCs/>
                <w:sz w:val="18"/>
                <w:szCs w:val="18"/>
              </w:rPr>
            </w:pPr>
            <w:r>
              <w:rPr>
                <w:b/>
                <w:bCs/>
                <w:sz w:val="18"/>
                <w:szCs w:val="18"/>
              </w:rPr>
              <w:t xml:space="preserve">Conseillère de l’Aide à </w:t>
            </w:r>
            <w:smartTag w:uri="urn:schemas-microsoft-com:office:smarttags" w:element="PersonName">
              <w:smartTagPr>
                <w:attr w:name="ProductID" w:val="la Jeunesse"/>
              </w:smartTagPr>
              <w:r>
                <w:rPr>
                  <w:b/>
                  <w:bCs/>
                  <w:sz w:val="18"/>
                  <w:szCs w:val="18"/>
                </w:rPr>
                <w:t>la Jeunesse</w:t>
              </w:r>
            </w:smartTag>
          </w:p>
          <w:p>
            <w:pPr>
              <w:pStyle w:val="Corpsdetexte"/>
              <w:rPr>
                <w:b/>
                <w:sz w:val="18"/>
                <w:szCs w:val="18"/>
              </w:rPr>
            </w:pPr>
            <w:r>
              <w:rPr>
                <w:b/>
                <w:sz w:val="18"/>
                <w:szCs w:val="18"/>
              </w:rPr>
              <w:t>Rue du Palais, 27/6</w:t>
            </w:r>
          </w:p>
          <w:p>
            <w:pPr>
              <w:pStyle w:val="Corpsdetexte"/>
              <w:rPr>
                <w:b/>
                <w:sz w:val="18"/>
                <w:szCs w:val="18"/>
              </w:rPr>
            </w:pPr>
            <w:r>
              <w:rPr>
                <w:b/>
                <w:sz w:val="18"/>
                <w:szCs w:val="18"/>
              </w:rPr>
              <w:t>4800  VERVIERS</w:t>
            </w:r>
          </w:p>
          <w:p>
            <w:pPr>
              <w:pStyle w:val="Corpsdetexte"/>
              <w:rPr>
                <w:b/>
                <w:bCs/>
                <w:sz w:val="18"/>
                <w:szCs w:val="18"/>
              </w:rPr>
            </w:pPr>
            <w:r>
              <w:rPr>
                <w:b/>
                <w:bCs/>
                <w:sz w:val="18"/>
                <w:szCs w:val="18"/>
              </w:rPr>
              <w:t>Tél.: 087/ 29.90.30      Fax: 087/ 22.16.18</w:t>
            </w:r>
          </w:p>
          <w:p>
            <w:pPr>
              <w:pStyle w:val="Corpsdetexte"/>
              <w:rPr>
                <w:bCs/>
                <w:sz w:val="18"/>
                <w:szCs w:val="18"/>
              </w:rPr>
            </w:pPr>
            <w:hyperlink r:id="rId173" w:history="1">
              <w:r>
                <w:rPr>
                  <w:rStyle w:val="Lienhypertexte"/>
                  <w:b/>
                  <w:bCs/>
                  <w:color w:val="auto"/>
                  <w:sz w:val="18"/>
                  <w:szCs w:val="18"/>
                </w:rPr>
                <w:t>saj.verviers@cfwb.be</w:t>
              </w:r>
            </w:hyperlink>
          </w:p>
          <w:p>
            <w:pPr>
              <w:pStyle w:val="Corpsdetexte"/>
              <w:rPr>
                <w:smallCaps/>
                <w:sz w:val="18"/>
                <w:szCs w:val="18"/>
              </w:rPr>
            </w:pPr>
          </w:p>
        </w:tc>
      </w:tr>
    </w:tbl>
    <w:p>
      <w:pPr>
        <w:rPr>
          <w:rFonts w:cs="Arial"/>
          <w:sz w:val="2"/>
          <w:szCs w:val="15"/>
        </w:rPr>
      </w:pPr>
      <w:r>
        <w:rPr>
          <w:rFonts w:cs="Arial"/>
          <w:sz w:val="17"/>
          <w:szCs w:val="15"/>
        </w:rPr>
        <w:br w:type="page"/>
      </w:r>
    </w:p>
    <w:p>
      <w:pPr>
        <w:pStyle w:val="annexe"/>
      </w:pPr>
      <w:bookmarkStart w:id="2139" w:name="_Annexe_2.1.6."/>
      <w:bookmarkStart w:id="2140" w:name="Annexe_25B"/>
      <w:bookmarkStart w:id="2141" w:name="_Toc272404498"/>
      <w:bookmarkStart w:id="2142" w:name="_Toc295913871"/>
      <w:bookmarkStart w:id="2143" w:name="_Toc423420192"/>
      <w:bookmarkStart w:id="2144" w:name="_Toc450645441"/>
      <w:bookmarkStart w:id="2145" w:name="_Toc453942680"/>
      <w:bookmarkStart w:id="2146" w:name="_Toc454888297"/>
      <w:bookmarkStart w:id="2147" w:name="_Toc486241918"/>
      <w:bookmarkEnd w:id="2139"/>
      <w:bookmarkEnd w:id="2140"/>
      <w:r>
        <w:t>Annexe 2.5.B. Coordonnées des Services d'Accrochage scolaire</w:t>
      </w:r>
      <w:bookmarkEnd w:id="2141"/>
      <w:bookmarkEnd w:id="2142"/>
      <w:bookmarkEnd w:id="2143"/>
      <w:bookmarkEnd w:id="2144"/>
      <w:bookmarkEnd w:id="2145"/>
      <w:bookmarkEnd w:id="2146"/>
      <w:bookmarkEnd w:id="21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56"/>
        <w:gridCol w:w="4554"/>
      </w:tblGrid>
      <w:tr>
        <w:trPr>
          <w:cantSplit/>
          <w:trHeight w:val="12723"/>
        </w:trPr>
        <w:tc>
          <w:tcPr>
            <w:tcW w:w="4656"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de Bruxelles-Capitale</w:t>
                  </w:r>
                </w:p>
              </w:tc>
            </w:tr>
          </w:tbl>
          <w:p>
            <w:pPr>
              <w:pStyle w:val="Corpsdetexte"/>
              <w:rPr>
                <w:b/>
                <w:bCs/>
                <w:i/>
                <w:iCs/>
                <w:sz w:val="20"/>
                <w:u w:val="single"/>
              </w:rPr>
            </w:pPr>
            <w:r>
              <w:rPr>
                <w:b/>
                <w:bCs/>
                <w:i/>
                <w:iCs/>
                <w:sz w:val="20"/>
                <w:u w:val="single"/>
              </w:rPr>
              <w:t>PARENTHESE – SAS de Bruxelles</w:t>
            </w:r>
          </w:p>
          <w:p>
            <w:pPr>
              <w:pStyle w:val="Corpsdetexte"/>
              <w:rPr>
                <w:b/>
                <w:bCs/>
                <w:sz w:val="20"/>
              </w:rPr>
            </w:pPr>
            <w:r>
              <w:rPr>
                <w:b/>
                <w:bCs/>
                <w:sz w:val="20"/>
              </w:rPr>
              <w:t xml:space="preserve">Rue Haute, 88 </w:t>
            </w:r>
          </w:p>
          <w:p>
            <w:pPr>
              <w:pStyle w:val="Corpsdetexte"/>
              <w:rPr>
                <w:b/>
                <w:bCs/>
                <w:sz w:val="20"/>
              </w:rPr>
            </w:pPr>
            <w:r>
              <w:rPr>
                <w:b/>
                <w:bCs/>
                <w:sz w:val="20"/>
              </w:rPr>
              <w:t>1000 BRUXELLES</w:t>
            </w:r>
            <w:r>
              <w:rPr>
                <w:b/>
                <w:bCs/>
                <w:sz w:val="20"/>
              </w:rPr>
              <w:tab/>
            </w:r>
          </w:p>
          <w:p>
            <w:pPr>
              <w:pStyle w:val="Corpsdetexte"/>
              <w:rPr>
                <w:b/>
                <w:bCs/>
                <w:sz w:val="20"/>
              </w:rPr>
            </w:pPr>
            <w:r>
              <w:rPr>
                <w:b/>
                <w:bCs/>
                <w:sz w:val="20"/>
              </w:rPr>
              <w:t xml:space="preserve">Personne de contact: </w:t>
            </w:r>
            <w:r>
              <w:rPr>
                <w:bCs/>
                <w:sz w:val="20"/>
              </w:rPr>
              <w:t>Maurice CORNIL</w:t>
            </w:r>
          </w:p>
          <w:p>
            <w:pPr>
              <w:pStyle w:val="Corpsdetexte"/>
              <w:rPr>
                <w:b/>
                <w:bCs/>
                <w:sz w:val="20"/>
              </w:rPr>
            </w:pPr>
            <w:r>
              <w:rPr>
                <w:b/>
                <w:bCs/>
                <w:sz w:val="20"/>
              </w:rPr>
              <w:sym w:font="Webdings" w:char="F0C9"/>
            </w:r>
            <w:r>
              <w:rPr>
                <w:b/>
                <w:bCs/>
                <w:sz w:val="20"/>
              </w:rPr>
              <w:t xml:space="preserve">: 02/514.93.15 - </w:t>
            </w:r>
            <w:r>
              <w:rPr>
                <w:b/>
                <w:bCs/>
                <w:sz w:val="20"/>
              </w:rPr>
              <w:sym w:font="Webdings" w:char="F0CA"/>
            </w:r>
            <w:r>
              <w:rPr>
                <w:b/>
                <w:bCs/>
                <w:sz w:val="20"/>
              </w:rPr>
              <w:t>: 02/514.99.16</w:t>
            </w:r>
          </w:p>
          <w:p>
            <w:pPr>
              <w:pStyle w:val="Corpsdetexte"/>
              <w:rPr>
                <w:b/>
                <w:bCs/>
              </w:rPr>
            </w:pPr>
            <w:r>
              <w:rPr>
                <w:b/>
                <w:bCs/>
              </w:rPr>
              <w:sym w:font="Webdings" w:char="F0C8"/>
            </w:r>
            <w:r>
              <w:rPr>
                <w:b/>
                <w:bCs/>
              </w:rPr>
              <w:t xml:space="preserve">: </w:t>
            </w:r>
            <w:r>
              <w:rPr>
                <w:b/>
                <w:bCs/>
                <w:sz w:val="20"/>
              </w:rPr>
              <w:t>0486/18.88.89</w:t>
            </w:r>
          </w:p>
          <w:p>
            <w:pPr>
              <w:pStyle w:val="Corpsdetexte"/>
              <w:rPr>
                <w:b/>
                <w:bCs/>
                <w:sz w:val="20"/>
              </w:rPr>
            </w:pPr>
            <w:r>
              <w:rPr>
                <w:b/>
                <w:bCs/>
                <w:sz w:val="20"/>
              </w:rPr>
              <w:t xml:space="preserve">@: </w:t>
            </w:r>
            <w:hyperlink r:id="rId174" w:history="1">
              <w:r>
                <w:rPr>
                  <w:bCs/>
                  <w:sz w:val="20"/>
                  <w:u w:val="single"/>
                </w:rPr>
                <w:t>info@sas-parenthese.be</w:t>
              </w:r>
            </w:hyperlink>
            <w:r>
              <w:rPr>
                <w:b/>
                <w:bCs/>
                <w:sz w:val="20"/>
              </w:rPr>
              <w:t xml:space="preserve"> </w:t>
            </w:r>
          </w:p>
          <w:p>
            <w:pPr>
              <w:pStyle w:val="Corpsdetexte"/>
              <w:rPr>
                <w:b/>
                <w:bCs/>
                <w:sz w:val="20"/>
              </w:rPr>
            </w:pPr>
            <w:r>
              <w:rPr>
                <w:b/>
                <w:bCs/>
                <w:sz w:val="20"/>
              </w:rPr>
              <w:t>Site internet: www.sas-parenthese.be</w:t>
            </w:r>
          </w:p>
          <w:p>
            <w:pPr>
              <w:pStyle w:val="Corpsdetexte"/>
              <w:rPr>
                <w:b/>
                <w:bCs/>
                <w:sz w:val="16"/>
                <w:szCs w:val="16"/>
              </w:rPr>
            </w:pPr>
          </w:p>
          <w:p>
            <w:pPr>
              <w:pStyle w:val="Corpsdetexte"/>
              <w:rPr>
                <w:b/>
                <w:bCs/>
                <w:spacing w:val="-8"/>
                <w:sz w:val="20"/>
                <w:szCs w:val="20"/>
              </w:rPr>
            </w:pPr>
            <w:r>
              <w:rPr>
                <w:b/>
                <w:bCs/>
                <w:i/>
                <w:iCs/>
                <w:spacing w:val="-8"/>
                <w:sz w:val="20"/>
                <w:szCs w:val="20"/>
                <w:u w:val="single"/>
              </w:rPr>
              <w:t>Le SAS Bruxelles-Midi</w:t>
            </w:r>
          </w:p>
          <w:p>
            <w:pPr>
              <w:pStyle w:val="Corpsdetexte"/>
              <w:rPr>
                <w:b/>
                <w:bCs/>
                <w:sz w:val="20"/>
              </w:rPr>
            </w:pPr>
            <w:r>
              <w:rPr>
                <w:b/>
                <w:bCs/>
                <w:sz w:val="20"/>
              </w:rPr>
              <w:t>Avenue Clémenceau, 22</w:t>
            </w:r>
          </w:p>
          <w:p>
            <w:pPr>
              <w:pStyle w:val="Corpsdetexte"/>
              <w:rPr>
                <w:b/>
                <w:bCs/>
                <w:sz w:val="20"/>
                <w:szCs w:val="20"/>
              </w:rPr>
            </w:pPr>
            <w:r>
              <w:rPr>
                <w:b/>
                <w:bCs/>
                <w:sz w:val="20"/>
                <w:szCs w:val="20"/>
              </w:rPr>
              <w:sym w:font="Webdings" w:char="F0C8"/>
            </w:r>
            <w:r>
              <w:rPr>
                <w:b/>
                <w:bCs/>
                <w:sz w:val="20"/>
                <w:szCs w:val="20"/>
              </w:rPr>
              <w:t>: 0473/79.59.06</w:t>
            </w:r>
          </w:p>
          <w:p>
            <w:pPr>
              <w:pStyle w:val="Corpsdetexte"/>
              <w:rPr>
                <w:b/>
                <w:bCs/>
                <w:sz w:val="20"/>
              </w:rPr>
            </w:pPr>
            <w:r>
              <w:rPr>
                <w:b/>
                <w:bCs/>
                <w:sz w:val="20"/>
              </w:rPr>
              <w:t>1070 BRUXELLES</w:t>
            </w:r>
          </w:p>
          <w:p>
            <w:pPr>
              <w:pStyle w:val="Corpsdetexte"/>
              <w:rPr>
                <w:b/>
                <w:bCs/>
                <w:sz w:val="20"/>
              </w:rPr>
            </w:pPr>
            <w:r>
              <w:rPr>
                <w:b/>
                <w:bCs/>
                <w:sz w:val="20"/>
              </w:rPr>
              <w:t xml:space="preserve">Personne de contact: </w:t>
            </w:r>
            <w:r>
              <w:rPr>
                <w:bCs/>
                <w:sz w:val="20"/>
              </w:rPr>
              <w:t>Chantal CHARLIER</w:t>
            </w:r>
          </w:p>
          <w:p>
            <w:pPr>
              <w:pStyle w:val="Corpsdetexte"/>
              <w:rPr>
                <w:b/>
                <w:bCs/>
                <w:sz w:val="20"/>
              </w:rPr>
            </w:pPr>
            <w:r>
              <w:rPr>
                <w:b/>
                <w:bCs/>
                <w:sz w:val="20"/>
              </w:rPr>
              <w:sym w:font="Webdings" w:char="F0C9"/>
            </w:r>
            <w:r>
              <w:rPr>
                <w:b/>
                <w:bCs/>
                <w:sz w:val="20"/>
              </w:rPr>
              <w:t xml:space="preserve">: 02/640.25.20 – </w:t>
            </w:r>
            <w:r>
              <w:rPr>
                <w:b/>
                <w:bCs/>
                <w:sz w:val="20"/>
              </w:rPr>
              <w:sym w:font="Webdings" w:char="F0C9"/>
            </w:r>
            <w:r>
              <w:rPr>
                <w:b/>
                <w:bCs/>
                <w:sz w:val="20"/>
              </w:rPr>
              <w:t>: 02/534.16.23</w:t>
            </w:r>
          </w:p>
          <w:p>
            <w:pPr>
              <w:pStyle w:val="Corpsdetexte"/>
              <w:rPr>
                <w:b/>
                <w:bCs/>
                <w:sz w:val="20"/>
              </w:rPr>
            </w:pPr>
            <w:r>
              <w:rPr>
                <w:b/>
                <w:bCs/>
                <w:sz w:val="20"/>
              </w:rPr>
              <w:sym w:font="Webdings" w:char="F0CA"/>
            </w:r>
            <w:r>
              <w:rPr>
                <w:b/>
                <w:bCs/>
                <w:sz w:val="20"/>
              </w:rPr>
              <w:t xml:space="preserve">: 02/640.45.30 - </w:t>
            </w:r>
            <w:r>
              <w:rPr>
                <w:b/>
                <w:bCs/>
                <w:sz w:val="20"/>
              </w:rPr>
              <w:sym w:font="Webdings" w:char="F0CA"/>
            </w:r>
            <w:r>
              <w:rPr>
                <w:b/>
                <w:bCs/>
                <w:sz w:val="20"/>
              </w:rPr>
              <w:t>:02/534.14.85</w:t>
            </w:r>
          </w:p>
          <w:p>
            <w:pPr>
              <w:pStyle w:val="Corpsdetexte"/>
              <w:rPr>
                <w:b/>
                <w:bCs/>
                <w:sz w:val="20"/>
              </w:rPr>
            </w:pPr>
            <w:r>
              <w:rPr>
                <w:b/>
                <w:bCs/>
                <w:sz w:val="20"/>
              </w:rPr>
              <w:t xml:space="preserve">@: </w:t>
            </w:r>
            <w:hyperlink r:id="rId175" w:history="1">
              <w:r>
                <w:rPr>
                  <w:rStyle w:val="Lienhypertexte"/>
                  <w:color w:val="auto"/>
                  <w:sz w:val="20"/>
                </w:rPr>
                <w:t>lesasbruxellesmidi@hotmail.com</w:t>
              </w:r>
            </w:hyperlink>
          </w:p>
          <w:p>
            <w:pPr>
              <w:pStyle w:val="Corpsdetexte"/>
              <w:rPr>
                <w:bCs/>
                <w:sz w:val="16"/>
                <w:szCs w:val="16"/>
              </w:rPr>
            </w:pPr>
            <w:r>
              <w:rPr>
                <w:bCs/>
                <w:sz w:val="16"/>
                <w:szCs w:val="16"/>
              </w:rPr>
              <w:t xml:space="preserve">Site Internet : </w:t>
            </w:r>
            <w:r>
              <w:rPr>
                <w:rStyle w:val="Lienhypertexte"/>
                <w:color w:val="auto"/>
                <w:sz w:val="20"/>
              </w:rPr>
              <w:t>http://lesasbruxellesmidi.be/</w:t>
            </w:r>
          </w:p>
          <w:p>
            <w:pPr>
              <w:pStyle w:val="Corpsdetexte"/>
              <w:rPr>
                <w:b/>
                <w:bCs/>
                <w:sz w:val="16"/>
                <w:szCs w:val="16"/>
              </w:rPr>
            </w:pPr>
          </w:p>
          <w:p>
            <w:pPr>
              <w:pStyle w:val="Corpsdetexte"/>
              <w:rPr>
                <w:b/>
                <w:bCs/>
                <w:i/>
                <w:sz w:val="20"/>
              </w:rPr>
            </w:pPr>
            <w:r>
              <w:rPr>
                <w:b/>
                <w:bCs/>
                <w:i/>
                <w:sz w:val="20"/>
                <w:u w:val="single"/>
              </w:rPr>
              <w:t>ASBL « SEUIL » - BRUXELLES - IXELLES</w:t>
            </w:r>
          </w:p>
          <w:p>
            <w:pPr>
              <w:pStyle w:val="Corpsdetexte"/>
              <w:rPr>
                <w:b/>
                <w:bCs/>
                <w:sz w:val="20"/>
              </w:rPr>
            </w:pPr>
            <w:r>
              <w:rPr>
                <w:b/>
                <w:bCs/>
                <w:sz w:val="20"/>
              </w:rPr>
              <w:t>Rue de Theux, 51-53</w:t>
            </w:r>
          </w:p>
          <w:p>
            <w:pPr>
              <w:pStyle w:val="Corpsdetexte"/>
              <w:rPr>
                <w:b/>
                <w:bCs/>
                <w:sz w:val="20"/>
              </w:rPr>
            </w:pPr>
            <w:r>
              <w:rPr>
                <w:b/>
                <w:bCs/>
                <w:sz w:val="20"/>
              </w:rPr>
              <w:t>1040 BRUXELLES</w:t>
            </w:r>
          </w:p>
          <w:p>
            <w:pPr>
              <w:pStyle w:val="Corpsdetexte"/>
              <w:rPr>
                <w:bCs/>
                <w:sz w:val="20"/>
              </w:rPr>
            </w:pPr>
            <w:r>
              <w:rPr>
                <w:b/>
                <w:bCs/>
                <w:sz w:val="20"/>
              </w:rPr>
              <w:t xml:space="preserve">Personne de contact: </w:t>
            </w:r>
            <w:r>
              <w:rPr>
                <w:bCs/>
                <w:sz w:val="20"/>
              </w:rPr>
              <w:t>Catherine OTTE</w:t>
            </w:r>
          </w:p>
          <w:p>
            <w:pPr>
              <w:pStyle w:val="Corpsdetexte"/>
              <w:rPr>
                <w:b/>
                <w:bCs/>
                <w:sz w:val="20"/>
              </w:rPr>
            </w:pPr>
            <w:r>
              <w:rPr>
                <w:b/>
                <w:bCs/>
                <w:sz w:val="20"/>
              </w:rPr>
              <w:sym w:font="Webdings" w:char="F0C9"/>
            </w:r>
            <w:r>
              <w:rPr>
                <w:b/>
                <w:bCs/>
                <w:sz w:val="20"/>
              </w:rPr>
              <w:t xml:space="preserve">: 02/644.46.42 - </w:t>
            </w:r>
            <w:r>
              <w:rPr>
                <w:b/>
                <w:bCs/>
                <w:sz w:val="20"/>
              </w:rPr>
              <w:sym w:font="Webdings" w:char="F0CA"/>
            </w:r>
            <w:r>
              <w:rPr>
                <w:b/>
                <w:bCs/>
                <w:sz w:val="20"/>
              </w:rPr>
              <w:t>: 02/640.03.58</w:t>
            </w:r>
          </w:p>
          <w:p>
            <w:pPr>
              <w:pStyle w:val="Corpsdetexte"/>
              <w:rPr>
                <w:b/>
                <w:bCs/>
              </w:rPr>
            </w:pPr>
            <w:r>
              <w:rPr>
                <w:b/>
                <w:bCs/>
              </w:rPr>
              <w:sym w:font="Webdings" w:char="F0C8"/>
            </w:r>
            <w:r>
              <w:rPr>
                <w:b/>
                <w:bCs/>
              </w:rPr>
              <w:t xml:space="preserve">: </w:t>
            </w:r>
            <w:r>
              <w:rPr>
                <w:b/>
                <w:bCs/>
                <w:sz w:val="20"/>
                <w:szCs w:val="20"/>
              </w:rPr>
              <w:t>0479/33.69.06</w:t>
            </w:r>
          </w:p>
          <w:p>
            <w:pPr>
              <w:pStyle w:val="Corpsdetexte"/>
              <w:rPr>
                <w:bCs/>
                <w:sz w:val="20"/>
                <w:szCs w:val="20"/>
              </w:rPr>
            </w:pPr>
            <w:r>
              <w:rPr>
                <w:b/>
                <w:bCs/>
                <w:sz w:val="20"/>
              </w:rPr>
              <w:t xml:space="preserve">@: </w:t>
            </w:r>
            <w:hyperlink r:id="rId176" w:history="1">
              <w:r>
                <w:rPr>
                  <w:rStyle w:val="Lienhypertexte"/>
                  <w:bCs/>
                  <w:color w:val="auto"/>
                  <w:sz w:val="20"/>
                  <w:szCs w:val="20"/>
                </w:rPr>
                <w:t>seuil.asbl@gmail.com</w:t>
              </w:r>
            </w:hyperlink>
          </w:p>
          <w:p>
            <w:pPr>
              <w:pStyle w:val="Corpsdetexte"/>
              <w:rPr>
                <w:bCs/>
                <w:sz w:val="20"/>
              </w:rPr>
            </w:pPr>
            <w:r>
              <w:rPr>
                <w:b/>
                <w:sz w:val="20"/>
              </w:rPr>
              <w:t xml:space="preserve">Site Internet: </w:t>
            </w:r>
            <w:hyperlink r:id="rId177" w:history="1">
              <w:r>
                <w:rPr>
                  <w:bCs/>
                  <w:sz w:val="20"/>
                </w:rPr>
                <w:t>www.seuil.be</w:t>
              </w:r>
            </w:hyperlink>
          </w:p>
          <w:p>
            <w:pPr>
              <w:pStyle w:val="Corpsdetexte"/>
              <w:ind w:firstLine="709"/>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pStyle w:val="Corpsdetexte"/>
                    <w:rPr>
                      <w:b/>
                      <w:sz w:val="18"/>
                      <w:szCs w:val="18"/>
                    </w:rPr>
                  </w:pPr>
                  <w:r>
                    <w:rPr>
                      <w:b/>
                      <w:sz w:val="18"/>
                      <w:szCs w:val="18"/>
                    </w:rPr>
                    <w:t xml:space="preserve">Pour la zone du Hainaut Occidental </w:t>
                  </w:r>
                </w:p>
              </w:tc>
            </w:tr>
          </w:tbl>
          <w:p>
            <w:pPr>
              <w:pStyle w:val="Corpsdetexte"/>
              <w:rPr>
                <w:i/>
                <w:iCs/>
                <w:sz w:val="18"/>
                <w:szCs w:val="18"/>
              </w:rPr>
            </w:pPr>
            <w:r>
              <w:rPr>
                <w:b/>
                <w:bCs/>
                <w:i/>
                <w:iCs/>
                <w:sz w:val="18"/>
                <w:szCs w:val="18"/>
                <w:u w:val="single"/>
              </w:rPr>
              <w:t xml:space="preserve">SAS HO </w:t>
            </w:r>
            <w:r>
              <w:rPr>
                <w:b/>
                <w:bCs/>
                <w:i/>
                <w:iCs/>
                <w:sz w:val="18"/>
                <w:szCs w:val="18"/>
              </w:rPr>
              <w:t xml:space="preserve"> - ASBL</w:t>
            </w:r>
          </w:p>
          <w:p>
            <w:pPr>
              <w:pStyle w:val="Corpsdetexte"/>
              <w:rPr>
                <w:b/>
                <w:bCs/>
                <w:sz w:val="18"/>
                <w:szCs w:val="18"/>
              </w:rPr>
            </w:pPr>
            <w:r>
              <w:rPr>
                <w:b/>
                <w:bCs/>
                <w:sz w:val="18"/>
                <w:szCs w:val="18"/>
              </w:rPr>
              <w:t>Place de Lille, 2</w:t>
            </w:r>
          </w:p>
          <w:p>
            <w:pPr>
              <w:pStyle w:val="Corpsdetexte"/>
              <w:rPr>
                <w:b/>
                <w:bCs/>
                <w:sz w:val="18"/>
                <w:szCs w:val="18"/>
                <w:lang w:val="fr-BE"/>
              </w:rPr>
            </w:pPr>
            <w:r>
              <w:rPr>
                <w:b/>
                <w:bCs/>
                <w:sz w:val="18"/>
                <w:szCs w:val="18"/>
                <w:lang w:val="fr-BE"/>
              </w:rPr>
              <w:t>7500 TOURNAI</w:t>
            </w:r>
          </w:p>
          <w:p>
            <w:pPr>
              <w:pStyle w:val="Corpsdetexte"/>
              <w:rPr>
                <w:b/>
                <w:bCs/>
                <w:sz w:val="18"/>
                <w:szCs w:val="18"/>
              </w:rPr>
            </w:pPr>
            <w:r>
              <w:rPr>
                <w:b/>
                <w:bCs/>
                <w:sz w:val="18"/>
                <w:szCs w:val="18"/>
              </w:rPr>
              <w:t xml:space="preserve">Personnes de contact: </w:t>
            </w:r>
            <w:r>
              <w:rPr>
                <w:bCs/>
                <w:sz w:val="18"/>
                <w:szCs w:val="18"/>
              </w:rPr>
              <w:t>Antoine VANDENHOVEN</w:t>
            </w:r>
            <w:r>
              <w:rPr>
                <w:b/>
                <w:bCs/>
                <w:sz w:val="18"/>
                <w:szCs w:val="18"/>
              </w:rPr>
              <w:tab/>
              <w:t xml:space="preserve"> </w:t>
            </w:r>
          </w:p>
          <w:p>
            <w:pPr>
              <w:pStyle w:val="Corpsdetexte"/>
              <w:rPr>
                <w:b/>
                <w:bCs/>
                <w:sz w:val="20"/>
                <w:szCs w:val="20"/>
                <w:lang w:val="fr-BE"/>
              </w:rPr>
            </w:pPr>
            <w:r>
              <w:rPr>
                <w:b/>
                <w:bCs/>
                <w:sz w:val="20"/>
                <w:szCs w:val="20"/>
              </w:rPr>
              <w:sym w:font="Webdings" w:char="00C9"/>
            </w:r>
            <w:r>
              <w:rPr>
                <w:b/>
                <w:bCs/>
                <w:sz w:val="20"/>
                <w:szCs w:val="20"/>
                <w:lang w:val="fr-BE"/>
              </w:rPr>
              <w:t xml:space="preserve">: 069/77.72.96 - </w:t>
            </w:r>
            <w:r>
              <w:rPr>
                <w:b/>
                <w:bCs/>
                <w:sz w:val="20"/>
                <w:szCs w:val="20"/>
              </w:rPr>
              <w:sym w:font="Webdings" w:char="00CA"/>
            </w:r>
            <w:r>
              <w:rPr>
                <w:b/>
                <w:bCs/>
                <w:sz w:val="20"/>
                <w:szCs w:val="20"/>
                <w:lang w:val="fr-BE"/>
              </w:rPr>
              <w:t>: 069/77.79.98</w:t>
            </w:r>
          </w:p>
          <w:p>
            <w:pPr>
              <w:pStyle w:val="Corpsdetexte"/>
              <w:rPr>
                <w:b/>
                <w:bCs/>
              </w:rPr>
            </w:pPr>
            <w:r>
              <w:rPr>
                <w:b/>
                <w:bCs/>
              </w:rPr>
              <w:sym w:font="Webdings" w:char="F0C8"/>
            </w:r>
            <w:r>
              <w:rPr>
                <w:b/>
                <w:bCs/>
              </w:rPr>
              <w:t xml:space="preserve">: </w:t>
            </w:r>
            <w:r>
              <w:rPr>
                <w:b/>
                <w:bCs/>
                <w:sz w:val="20"/>
              </w:rPr>
              <w:t>0475/89.82.37</w:t>
            </w:r>
          </w:p>
          <w:p>
            <w:pPr>
              <w:pStyle w:val="Corpsdetexte"/>
              <w:rPr>
                <w:sz w:val="18"/>
                <w:szCs w:val="18"/>
              </w:rPr>
            </w:pPr>
            <w:r>
              <w:rPr>
                <w:b/>
                <w:bCs/>
                <w:sz w:val="18"/>
                <w:szCs w:val="18"/>
                <w:lang w:val="fr-BE"/>
              </w:rPr>
              <w:t xml:space="preserve">@: </w:t>
            </w:r>
            <w:hyperlink r:id="rId178" w:history="1">
              <w:r>
                <w:rPr>
                  <w:rStyle w:val="Lienhypertexte"/>
                  <w:color w:val="auto"/>
                  <w:sz w:val="20"/>
                  <w:szCs w:val="20"/>
                  <w:lang w:val="fr-BE"/>
                </w:rPr>
                <w:t>sas-ho@live.be</w:t>
              </w:r>
            </w:hyperlink>
          </w:p>
          <w:p>
            <w:pPr>
              <w:rPr>
                <w:rFonts w:cs="Arial"/>
                <w:sz w:val="20"/>
              </w:rPr>
            </w:pPr>
            <w:r>
              <w:rPr>
                <w:rFonts w:cs="Arial"/>
                <w:b/>
                <w:sz w:val="20"/>
              </w:rPr>
              <w:t>Site Internet</w:t>
            </w:r>
            <w:r>
              <w:rPr>
                <w:rFonts w:cs="Arial"/>
                <w:sz w:val="20"/>
              </w:rPr>
              <w:t xml:space="preserve">: </w:t>
            </w:r>
            <w:r>
              <w:rPr>
                <w:rStyle w:val="Lienhypertexte"/>
                <w:color w:val="auto"/>
                <w:spacing w:val="-6"/>
                <w:u w:val="none"/>
              </w:rPr>
              <w:t>www.sasho.be/?page_id=161</w:t>
            </w:r>
          </w:p>
          <w:p>
            <w:pPr>
              <w:pStyle w:val="Corpsdetexte"/>
              <w:rPr>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de Charleroi</w:t>
                  </w:r>
                </w:p>
              </w:tc>
            </w:tr>
          </w:tbl>
          <w:p>
            <w:pPr>
              <w:pStyle w:val="Corpsdetexte"/>
              <w:rPr>
                <w:i/>
                <w:iCs/>
                <w:sz w:val="20"/>
              </w:rPr>
            </w:pPr>
            <w:r>
              <w:rPr>
                <w:b/>
                <w:bCs/>
                <w:i/>
                <w:iCs/>
                <w:sz w:val="20"/>
                <w:u w:val="single"/>
              </w:rPr>
              <w:t>SENS-SAS</w:t>
            </w:r>
            <w:r>
              <w:rPr>
                <w:b/>
                <w:bCs/>
                <w:i/>
                <w:iCs/>
                <w:sz w:val="20"/>
              </w:rPr>
              <w:t xml:space="preserve"> ASBL</w:t>
            </w:r>
          </w:p>
          <w:p>
            <w:pPr>
              <w:pStyle w:val="Corpsdetexte"/>
              <w:rPr>
                <w:b/>
                <w:bCs/>
                <w:sz w:val="20"/>
              </w:rPr>
            </w:pPr>
            <w:r>
              <w:rPr>
                <w:b/>
                <w:bCs/>
                <w:sz w:val="20"/>
              </w:rPr>
              <w:t>Rue des Fougères, 85</w:t>
            </w:r>
          </w:p>
          <w:p>
            <w:pPr>
              <w:pStyle w:val="Corpsdetexte"/>
              <w:rPr>
                <w:b/>
                <w:bCs/>
                <w:sz w:val="20"/>
              </w:rPr>
            </w:pPr>
            <w:r>
              <w:rPr>
                <w:b/>
                <w:bCs/>
                <w:sz w:val="20"/>
              </w:rPr>
              <w:t>6110 MONTIGNY-LE-TILLEUL</w:t>
            </w:r>
          </w:p>
          <w:p>
            <w:pPr>
              <w:pStyle w:val="Corpsdetexte"/>
              <w:rPr>
                <w:b/>
                <w:bCs/>
                <w:sz w:val="20"/>
              </w:rPr>
            </w:pPr>
            <w:r>
              <w:rPr>
                <w:b/>
                <w:bCs/>
                <w:sz w:val="20"/>
              </w:rPr>
              <w:t xml:space="preserve">Personne de contact: </w:t>
            </w:r>
            <w:r>
              <w:rPr>
                <w:bCs/>
                <w:sz w:val="20"/>
              </w:rPr>
              <w:t>Jean QUERIAT</w:t>
            </w:r>
          </w:p>
          <w:p>
            <w:pPr>
              <w:pStyle w:val="Corpsdetexte"/>
              <w:rPr>
                <w:b/>
                <w:bCs/>
                <w:sz w:val="20"/>
              </w:rPr>
            </w:pPr>
            <w:r>
              <w:rPr>
                <w:b/>
                <w:bCs/>
                <w:sz w:val="20"/>
              </w:rPr>
              <w:sym w:font="Webdings" w:char="F0C9"/>
            </w:r>
            <w:r>
              <w:rPr>
                <w:b/>
                <w:bCs/>
                <w:sz w:val="20"/>
              </w:rPr>
              <w:t xml:space="preserve">: 071/70.34.50 - </w:t>
            </w:r>
            <w:r>
              <w:rPr>
                <w:b/>
                <w:bCs/>
                <w:sz w:val="20"/>
              </w:rPr>
              <w:sym w:font="Webdings" w:char="F0CA"/>
            </w:r>
            <w:r>
              <w:rPr>
                <w:b/>
                <w:bCs/>
                <w:sz w:val="20"/>
              </w:rPr>
              <w:t>: 071/51.35.69</w:t>
            </w:r>
          </w:p>
          <w:p>
            <w:pPr>
              <w:pStyle w:val="Corpsdetexte"/>
              <w:rPr>
                <w:sz w:val="20"/>
              </w:rPr>
            </w:pPr>
            <w:r>
              <w:rPr>
                <w:b/>
                <w:bCs/>
                <w:sz w:val="20"/>
              </w:rPr>
              <w:t xml:space="preserve">@: </w:t>
            </w:r>
            <w:hyperlink r:id="rId179" w:history="1">
              <w:r>
                <w:rPr>
                  <w:rStyle w:val="Lienhypertexte"/>
                  <w:bCs/>
                  <w:color w:val="auto"/>
                  <w:sz w:val="20"/>
                </w:rPr>
                <w:t>sens-sas@hotmail.com</w:t>
              </w:r>
            </w:hyperlink>
          </w:p>
          <w:p>
            <w:pPr>
              <w:pStyle w:val="Corpsdetexte"/>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de Mons</w:t>
                  </w:r>
                </w:p>
              </w:tc>
            </w:tr>
          </w:tbl>
          <w:p>
            <w:pPr>
              <w:pStyle w:val="Corpsdetexte"/>
              <w:rPr>
                <w:sz w:val="20"/>
              </w:rPr>
            </w:pPr>
            <w:r>
              <w:rPr>
                <w:b/>
                <w:bCs/>
                <w:i/>
                <w:iCs/>
                <w:sz w:val="20"/>
                <w:u w:val="single"/>
              </w:rPr>
              <w:t>« SAS de Mons »</w:t>
            </w:r>
            <w:r>
              <w:rPr>
                <w:b/>
                <w:bCs/>
                <w:i/>
                <w:iCs/>
                <w:sz w:val="20"/>
              </w:rPr>
              <w:t xml:space="preserve"> - ASBL</w:t>
            </w:r>
            <w:r>
              <w:rPr>
                <w:b/>
                <w:bCs/>
                <w:sz w:val="20"/>
              </w:rPr>
              <w:t xml:space="preserve"> </w:t>
            </w:r>
          </w:p>
          <w:p>
            <w:pPr>
              <w:pStyle w:val="Corpsdetexte"/>
              <w:rPr>
                <w:b/>
                <w:bCs/>
                <w:sz w:val="20"/>
              </w:rPr>
            </w:pPr>
            <w:r>
              <w:rPr>
                <w:b/>
                <w:bCs/>
                <w:sz w:val="20"/>
              </w:rPr>
              <w:t>Rue Lecat 1-1/4</w:t>
            </w:r>
          </w:p>
          <w:p>
            <w:pPr>
              <w:pStyle w:val="Corpsdetexte"/>
              <w:tabs>
                <w:tab w:val="left" w:pos="1455"/>
              </w:tabs>
              <w:rPr>
                <w:b/>
                <w:bCs/>
                <w:sz w:val="20"/>
              </w:rPr>
            </w:pPr>
            <w:r>
              <w:rPr>
                <w:b/>
                <w:bCs/>
                <w:sz w:val="20"/>
              </w:rPr>
              <w:t>7020 NIMY</w:t>
            </w:r>
          </w:p>
          <w:p>
            <w:pPr>
              <w:pStyle w:val="Corpsdetexte"/>
              <w:rPr>
                <w:sz w:val="20"/>
              </w:rPr>
            </w:pPr>
            <w:r>
              <w:rPr>
                <w:b/>
                <w:bCs/>
                <w:sz w:val="20"/>
              </w:rPr>
              <w:t>Personne de contact:</w:t>
            </w:r>
            <w:r>
              <w:rPr>
                <w:sz w:val="20"/>
              </w:rPr>
              <w:t xml:space="preserve"> Michaël DELCOURT</w:t>
            </w:r>
          </w:p>
          <w:p>
            <w:pPr>
              <w:pStyle w:val="Corpsdetexte"/>
              <w:rPr>
                <w:b/>
                <w:bCs/>
                <w:sz w:val="20"/>
              </w:rPr>
            </w:pPr>
            <w:r>
              <w:rPr>
                <w:b/>
                <w:bCs/>
                <w:sz w:val="20"/>
              </w:rPr>
              <w:sym w:font="Webdings" w:char="F0C9"/>
            </w:r>
            <w:r>
              <w:rPr>
                <w:b/>
                <w:bCs/>
                <w:sz w:val="20"/>
              </w:rPr>
              <w:t xml:space="preserve">: 065/84.80.77- </w:t>
            </w:r>
            <w:r>
              <w:rPr>
                <w:b/>
                <w:bCs/>
                <w:sz w:val="20"/>
              </w:rPr>
              <w:sym w:font="Webdings" w:char="F0CA"/>
            </w:r>
            <w:r>
              <w:rPr>
                <w:b/>
                <w:bCs/>
                <w:sz w:val="20"/>
              </w:rPr>
              <w:t>: 065/84.80.77</w:t>
            </w:r>
          </w:p>
          <w:p>
            <w:pPr>
              <w:pStyle w:val="Corpsdetexte"/>
              <w:rPr>
                <w:sz w:val="20"/>
              </w:rPr>
            </w:pPr>
            <w:r>
              <w:rPr>
                <w:b/>
                <w:bCs/>
                <w:sz w:val="20"/>
              </w:rPr>
              <w:t xml:space="preserve">@: </w:t>
            </w:r>
            <w:hyperlink r:id="rId180" w:history="1">
              <w:r>
                <w:rPr>
                  <w:rStyle w:val="Lienhypertexte"/>
                  <w:color w:val="auto"/>
                  <w:sz w:val="20"/>
                </w:rPr>
                <w:t>sasdemons@yahoo.fr</w:t>
              </w:r>
            </w:hyperlink>
          </w:p>
          <w:p>
            <w:pPr>
              <w:pStyle w:val="Corpsdetexte"/>
              <w:rPr>
                <w:sz w:val="20"/>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de Namur</w:t>
                  </w:r>
                </w:p>
              </w:tc>
            </w:tr>
          </w:tbl>
          <w:p>
            <w:pPr>
              <w:pStyle w:val="Corpsdetexte"/>
              <w:rPr>
                <w:i/>
                <w:iCs/>
                <w:sz w:val="20"/>
              </w:rPr>
            </w:pPr>
            <w:r>
              <w:rPr>
                <w:b/>
                <w:bCs/>
                <w:i/>
                <w:iCs/>
                <w:sz w:val="20"/>
                <w:u w:val="single"/>
              </w:rPr>
              <w:t>« Carrefour  accueil »</w:t>
            </w:r>
            <w:r>
              <w:rPr>
                <w:b/>
                <w:bCs/>
                <w:i/>
                <w:iCs/>
                <w:sz w:val="20"/>
              </w:rPr>
              <w:t>– Carrefour ASBL</w:t>
            </w:r>
          </w:p>
          <w:p>
            <w:pPr>
              <w:pStyle w:val="Corpsdetexte"/>
              <w:rPr>
                <w:b/>
                <w:bCs/>
                <w:sz w:val="20"/>
              </w:rPr>
            </w:pPr>
            <w:r>
              <w:rPr>
                <w:b/>
                <w:bCs/>
                <w:sz w:val="20"/>
              </w:rPr>
              <w:t>Rue Louis Loiseau, 39</w:t>
            </w:r>
          </w:p>
          <w:p>
            <w:pPr>
              <w:pStyle w:val="Corpsdetexte"/>
              <w:rPr>
                <w:b/>
                <w:bCs/>
                <w:sz w:val="20"/>
              </w:rPr>
            </w:pPr>
            <w:r>
              <w:rPr>
                <w:b/>
                <w:bCs/>
                <w:sz w:val="20"/>
              </w:rPr>
              <w:t>5000 NAMUR</w:t>
            </w:r>
          </w:p>
          <w:p>
            <w:pPr>
              <w:pStyle w:val="Corpsdetexte"/>
              <w:rPr>
                <w:b/>
                <w:bCs/>
                <w:sz w:val="20"/>
              </w:rPr>
            </w:pPr>
            <w:r>
              <w:rPr>
                <w:b/>
                <w:bCs/>
                <w:sz w:val="20"/>
              </w:rPr>
              <w:t xml:space="preserve">Personne de contact: </w:t>
            </w:r>
            <w:r>
              <w:rPr>
                <w:bCs/>
                <w:sz w:val="20"/>
              </w:rPr>
              <w:t>Joëlle COENRAETS</w:t>
            </w:r>
          </w:p>
          <w:p>
            <w:pPr>
              <w:pStyle w:val="Corpsdetexte"/>
              <w:rPr>
                <w:b/>
                <w:bCs/>
                <w:sz w:val="20"/>
              </w:rPr>
            </w:pPr>
            <w:r>
              <w:rPr>
                <w:b/>
                <w:bCs/>
                <w:sz w:val="20"/>
              </w:rPr>
              <w:sym w:font="Webdings" w:char="F0C9"/>
            </w:r>
            <w:r>
              <w:rPr>
                <w:b/>
                <w:bCs/>
                <w:sz w:val="20"/>
              </w:rPr>
              <w:t xml:space="preserve">: 081/71.74.28 - </w:t>
            </w:r>
            <w:r>
              <w:rPr>
                <w:b/>
                <w:bCs/>
                <w:sz w:val="20"/>
              </w:rPr>
              <w:sym w:font="Webdings" w:char="F0CA"/>
            </w:r>
            <w:r>
              <w:rPr>
                <w:b/>
                <w:bCs/>
                <w:sz w:val="20"/>
              </w:rPr>
              <w:t>: 081/74.65.02</w:t>
            </w:r>
          </w:p>
          <w:p>
            <w:pPr>
              <w:pStyle w:val="Corpsdetexte"/>
              <w:rPr>
                <w:sz w:val="20"/>
              </w:rPr>
            </w:pPr>
            <w:r>
              <w:rPr>
                <w:b/>
                <w:bCs/>
                <w:sz w:val="20"/>
              </w:rPr>
              <w:t xml:space="preserve">@: </w:t>
            </w:r>
            <w:hyperlink r:id="rId181" w:history="1">
              <w:r>
                <w:rPr>
                  <w:rStyle w:val="Lienhypertexte"/>
                  <w:color w:val="auto"/>
                  <w:sz w:val="20"/>
                </w:rPr>
                <w:t>carrefour.accueil@wol.be</w:t>
              </w:r>
            </w:hyperlink>
          </w:p>
        </w:tc>
        <w:tc>
          <w:tcPr>
            <w:tcW w:w="4554"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Du Brabant wallon</w:t>
                  </w:r>
                </w:p>
              </w:tc>
            </w:tr>
          </w:tbl>
          <w:p>
            <w:pPr>
              <w:pStyle w:val="Corpsdetexte"/>
              <w:rPr>
                <w:b/>
                <w:bCs/>
                <w:sz w:val="20"/>
              </w:rPr>
            </w:pPr>
            <w:r>
              <w:rPr>
                <w:b/>
                <w:bCs/>
                <w:i/>
                <w:iCs/>
                <w:sz w:val="20"/>
                <w:u w:val="single"/>
              </w:rPr>
              <w:t>"SAS Brabant wallon"</w:t>
            </w:r>
            <w:r>
              <w:rPr>
                <w:rFonts w:ascii="Courier New" w:hAnsi="Courier New" w:cs="Courier New"/>
                <w:sz w:val="20"/>
                <w:szCs w:val="20"/>
                <w:lang w:val="fr-BE"/>
              </w:rPr>
              <w:t xml:space="preserve"> </w:t>
            </w:r>
          </w:p>
          <w:p>
            <w:pPr>
              <w:pStyle w:val="Corpsdetexte"/>
              <w:rPr>
                <w:b/>
                <w:bCs/>
                <w:sz w:val="20"/>
              </w:rPr>
            </w:pPr>
            <w:r>
              <w:rPr>
                <w:b/>
                <w:bCs/>
                <w:sz w:val="20"/>
              </w:rPr>
              <w:t>rue des Fontaines, 18-20</w:t>
            </w:r>
          </w:p>
          <w:p>
            <w:pPr>
              <w:pStyle w:val="Corpsdetexte"/>
              <w:rPr>
                <w:b/>
                <w:bCs/>
                <w:sz w:val="20"/>
              </w:rPr>
            </w:pPr>
            <w:r>
              <w:rPr>
                <w:b/>
                <w:bCs/>
                <w:sz w:val="20"/>
              </w:rPr>
              <w:t>1300 Wavre</w:t>
            </w:r>
          </w:p>
          <w:p>
            <w:pPr>
              <w:pStyle w:val="Corpsdetexte"/>
              <w:rPr>
                <w:b/>
                <w:bCs/>
                <w:sz w:val="20"/>
              </w:rPr>
            </w:pPr>
            <w:r>
              <w:rPr>
                <w:b/>
                <w:bCs/>
                <w:sz w:val="20"/>
              </w:rPr>
              <w:t xml:space="preserve">Personne de contact: </w:t>
            </w:r>
            <w:r>
              <w:rPr>
                <w:bCs/>
                <w:sz w:val="20"/>
              </w:rPr>
              <w:t>Stéphanie ADANT</w:t>
            </w:r>
          </w:p>
          <w:p>
            <w:pPr>
              <w:pStyle w:val="Corpsdetexte"/>
              <w:rPr>
                <w:b/>
                <w:bCs/>
                <w:sz w:val="20"/>
                <w:lang w:val="fr-BE"/>
              </w:rPr>
            </w:pPr>
            <w:r>
              <w:rPr>
                <w:b/>
                <w:bCs/>
                <w:sz w:val="20"/>
              </w:rPr>
              <w:sym w:font="Webdings" w:char="F0C9"/>
            </w:r>
            <w:r>
              <w:rPr>
                <w:b/>
                <w:bCs/>
                <w:sz w:val="20"/>
                <w:lang w:val="fr-BE"/>
              </w:rPr>
              <w:t xml:space="preserve">: 010/24.79.99 - </w:t>
            </w:r>
            <w:r>
              <w:rPr>
                <w:b/>
                <w:bCs/>
                <w:sz w:val="20"/>
              </w:rPr>
              <w:sym w:font="Webdings" w:char="F0CA"/>
            </w:r>
            <w:r>
              <w:rPr>
                <w:b/>
                <w:bCs/>
                <w:sz w:val="20"/>
                <w:lang w:val="fr-BE"/>
              </w:rPr>
              <w:t xml:space="preserve">: 010/24.76.34 </w:t>
            </w:r>
          </w:p>
          <w:p>
            <w:pPr>
              <w:pStyle w:val="Corpsdetexte"/>
              <w:rPr>
                <w:b/>
                <w:bCs/>
                <w:sz w:val="20"/>
                <w:lang w:val="fr-BE"/>
              </w:rPr>
            </w:pPr>
            <w:r>
              <w:rPr>
                <w:b/>
                <w:bCs/>
              </w:rPr>
              <w:sym w:font="Webdings" w:char="F0C8"/>
            </w:r>
            <w:r>
              <w:rPr>
                <w:b/>
                <w:bCs/>
              </w:rPr>
              <w:t xml:space="preserve">: </w:t>
            </w:r>
            <w:r>
              <w:rPr>
                <w:b/>
                <w:bCs/>
                <w:sz w:val="20"/>
              </w:rPr>
              <w:t>0479/99.47.35</w:t>
            </w:r>
          </w:p>
          <w:p>
            <w:pPr>
              <w:pStyle w:val="Corpsdetexte"/>
              <w:rPr>
                <w:bCs/>
                <w:sz w:val="20"/>
                <w:lang w:val="fr-BE"/>
              </w:rPr>
            </w:pPr>
            <w:r>
              <w:rPr>
                <w:b/>
                <w:bCs/>
                <w:sz w:val="20"/>
                <w:lang w:val="fr-BE"/>
              </w:rPr>
              <w:t>@:</w:t>
            </w:r>
            <w:r>
              <w:rPr>
                <w:bCs/>
                <w:sz w:val="20"/>
                <w:lang w:val="fr-BE"/>
              </w:rPr>
              <w:t xml:space="preserve"> </w:t>
            </w:r>
            <w:hyperlink r:id="rId182" w:history="1">
              <w:r>
                <w:rPr>
                  <w:rStyle w:val="Lienhypertexte"/>
                  <w:color w:val="auto"/>
                  <w:sz w:val="20"/>
                  <w:szCs w:val="20"/>
                </w:rPr>
                <w:t>sasbw@hotmail.com</w:t>
              </w:r>
            </w:hyperlink>
          </w:p>
          <w:p>
            <w:pPr>
              <w:pStyle w:val="Corpsdetexte"/>
              <w:rPr>
                <w:bCs/>
                <w:sz w:val="16"/>
                <w:szCs w:val="16"/>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du Sud-Luxembourg</w:t>
                  </w:r>
                </w:p>
              </w:tc>
            </w:tr>
          </w:tbl>
          <w:p>
            <w:pPr>
              <w:pStyle w:val="Corpsdetexte"/>
              <w:rPr>
                <w:b/>
                <w:bCs/>
                <w:i/>
                <w:iCs/>
                <w:sz w:val="20"/>
                <w:u w:val="single"/>
              </w:rPr>
            </w:pPr>
            <w:r>
              <w:rPr>
                <w:b/>
                <w:bCs/>
                <w:i/>
                <w:iCs/>
                <w:sz w:val="20"/>
                <w:u w:val="single"/>
              </w:rPr>
              <w:t>Service « Emergence »</w:t>
            </w:r>
          </w:p>
          <w:p>
            <w:pPr>
              <w:pStyle w:val="Corpsdetexte"/>
              <w:rPr>
                <w:i/>
                <w:iCs/>
                <w:sz w:val="20"/>
              </w:rPr>
            </w:pPr>
            <w:r>
              <w:rPr>
                <w:b/>
                <w:bCs/>
                <w:i/>
                <w:iCs/>
                <w:sz w:val="20"/>
                <w:u w:val="single"/>
              </w:rPr>
              <w:t xml:space="preserve">Carrefour </w:t>
            </w:r>
            <w:r>
              <w:rPr>
                <w:b/>
                <w:bCs/>
                <w:i/>
                <w:iCs/>
                <w:sz w:val="20"/>
              </w:rPr>
              <w:t xml:space="preserve"> ASBL</w:t>
            </w:r>
          </w:p>
          <w:p>
            <w:pPr>
              <w:pStyle w:val="Corpsdetexte"/>
              <w:rPr>
                <w:b/>
                <w:bCs/>
                <w:sz w:val="20"/>
              </w:rPr>
            </w:pPr>
            <w:r>
              <w:rPr>
                <w:b/>
                <w:bCs/>
                <w:sz w:val="20"/>
              </w:rPr>
              <w:t>Rue des Mélèzes, 2</w:t>
            </w:r>
          </w:p>
          <w:p>
            <w:pPr>
              <w:pStyle w:val="Corpsdetexte"/>
              <w:rPr>
                <w:b/>
                <w:bCs/>
                <w:sz w:val="20"/>
              </w:rPr>
            </w:pPr>
            <w:r>
              <w:rPr>
                <w:b/>
                <w:bCs/>
                <w:sz w:val="20"/>
              </w:rPr>
              <w:t>6800 LIBRAMONT</w:t>
            </w:r>
          </w:p>
          <w:p>
            <w:pPr>
              <w:pStyle w:val="Corpsdetexte"/>
              <w:rPr>
                <w:b/>
                <w:bCs/>
                <w:sz w:val="20"/>
              </w:rPr>
            </w:pPr>
            <w:r>
              <w:rPr>
                <w:b/>
                <w:bCs/>
                <w:sz w:val="20"/>
              </w:rPr>
              <w:t xml:space="preserve">Personne de contact: </w:t>
            </w:r>
            <w:r>
              <w:rPr>
                <w:bCs/>
                <w:sz w:val="20"/>
              </w:rPr>
              <w:t>Thierry COLARD</w:t>
            </w:r>
          </w:p>
          <w:p>
            <w:pPr>
              <w:pStyle w:val="Corpsdetexte"/>
              <w:rPr>
                <w:b/>
                <w:bCs/>
                <w:sz w:val="20"/>
              </w:rPr>
            </w:pPr>
            <w:r>
              <w:rPr>
                <w:b/>
                <w:bCs/>
                <w:sz w:val="20"/>
              </w:rPr>
              <w:sym w:font="Webdings" w:char="F0C9"/>
            </w:r>
            <w:r>
              <w:rPr>
                <w:b/>
                <w:bCs/>
                <w:sz w:val="20"/>
              </w:rPr>
              <w:t>/</w:t>
            </w:r>
            <w:r>
              <w:rPr>
                <w:b/>
                <w:bCs/>
                <w:sz w:val="20"/>
              </w:rPr>
              <w:sym w:font="Webdings" w:char="F0CA"/>
            </w:r>
            <w:r>
              <w:rPr>
                <w:b/>
                <w:bCs/>
                <w:sz w:val="20"/>
              </w:rPr>
              <w:t xml:space="preserve">: 061/23.32.07 - </w:t>
            </w:r>
            <w:r>
              <w:rPr>
                <w:b/>
                <w:bCs/>
                <w:sz w:val="20"/>
              </w:rPr>
              <w:sym w:font="Webdings" w:char="F0CA"/>
            </w:r>
            <w:r>
              <w:rPr>
                <w:b/>
                <w:bCs/>
                <w:sz w:val="20"/>
                <w:lang w:val="fr-BE"/>
              </w:rPr>
              <w:t>: 061/23.25.07</w:t>
            </w:r>
          </w:p>
          <w:p>
            <w:pPr>
              <w:pStyle w:val="Corpsdetexte"/>
              <w:rPr>
                <w:sz w:val="20"/>
              </w:rPr>
            </w:pPr>
            <w:r>
              <w:rPr>
                <w:b/>
                <w:bCs/>
                <w:sz w:val="20"/>
              </w:rPr>
              <w:t xml:space="preserve">@: </w:t>
            </w:r>
            <w:hyperlink r:id="rId183" w:history="1">
              <w:r>
                <w:rPr>
                  <w:rStyle w:val="Lienhypertexte"/>
                  <w:color w:val="auto"/>
                  <w:sz w:val="20"/>
                </w:rPr>
                <w:t>emergenceaccueil@gmail.be</w:t>
              </w:r>
            </w:hyperlink>
          </w:p>
          <w:p>
            <w:pPr>
              <w:pStyle w:val="Corpsdetexte"/>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de Huy</w:t>
                  </w:r>
                </w:p>
              </w:tc>
            </w:tr>
          </w:tbl>
          <w:p>
            <w:pPr>
              <w:pStyle w:val="Corpsdetexte"/>
              <w:rPr>
                <w:i/>
                <w:iCs/>
                <w:sz w:val="20"/>
              </w:rPr>
            </w:pPr>
            <w:r>
              <w:rPr>
                <w:b/>
                <w:bCs/>
                <w:i/>
                <w:iCs/>
                <w:sz w:val="20"/>
                <w:u w:val="single"/>
              </w:rPr>
              <w:t>Aux Sources</w:t>
            </w:r>
            <w:r>
              <w:rPr>
                <w:b/>
                <w:bCs/>
                <w:i/>
                <w:iCs/>
                <w:sz w:val="20"/>
              </w:rPr>
              <w:t xml:space="preserve"> – ASBL</w:t>
            </w:r>
          </w:p>
          <w:p>
            <w:pPr>
              <w:pStyle w:val="Corpsdetexte"/>
              <w:rPr>
                <w:b/>
                <w:bCs/>
                <w:sz w:val="20"/>
              </w:rPr>
            </w:pPr>
            <w:r>
              <w:rPr>
                <w:b/>
                <w:bCs/>
                <w:sz w:val="20"/>
              </w:rPr>
              <w:t>Rue des Bons-enfants, 3</w:t>
            </w:r>
          </w:p>
          <w:p>
            <w:pPr>
              <w:pStyle w:val="Corpsdetexte"/>
              <w:rPr>
                <w:b/>
                <w:bCs/>
                <w:sz w:val="20"/>
                <w:lang w:val="fr-BE"/>
              </w:rPr>
            </w:pPr>
            <w:r>
              <w:rPr>
                <w:b/>
                <w:bCs/>
                <w:sz w:val="20"/>
                <w:lang w:val="fr-BE"/>
              </w:rPr>
              <w:t>4500 HUY</w:t>
            </w:r>
          </w:p>
          <w:p>
            <w:pPr>
              <w:pStyle w:val="Corpsdetexte"/>
              <w:rPr>
                <w:b/>
                <w:bCs/>
                <w:sz w:val="20"/>
              </w:rPr>
            </w:pPr>
            <w:r>
              <w:rPr>
                <w:b/>
                <w:bCs/>
                <w:sz w:val="20"/>
              </w:rPr>
              <w:t xml:space="preserve">Personnes de contact: </w:t>
            </w:r>
            <w:r>
              <w:rPr>
                <w:bCs/>
                <w:sz w:val="20"/>
              </w:rPr>
              <w:t>Jean-Marc CANTINAUX</w:t>
            </w:r>
            <w:r>
              <w:rPr>
                <w:b/>
                <w:bCs/>
                <w:sz w:val="20"/>
              </w:rPr>
              <w:tab/>
              <w:t xml:space="preserve"> </w:t>
            </w:r>
          </w:p>
          <w:p>
            <w:pPr>
              <w:pStyle w:val="Corpsdetexte"/>
              <w:rPr>
                <w:b/>
                <w:bCs/>
                <w:sz w:val="20"/>
                <w:lang w:val="fr-BE"/>
              </w:rPr>
            </w:pPr>
            <w:r>
              <w:rPr>
                <w:b/>
                <w:bCs/>
                <w:sz w:val="20"/>
              </w:rPr>
              <w:sym w:font="Webdings" w:char="F0C9"/>
            </w:r>
            <w:r>
              <w:rPr>
                <w:b/>
                <w:bCs/>
                <w:sz w:val="20"/>
                <w:lang w:val="fr-BE"/>
              </w:rPr>
              <w:t xml:space="preserve">: 085/25.28.40 - </w:t>
            </w:r>
            <w:r>
              <w:rPr>
                <w:b/>
                <w:bCs/>
                <w:sz w:val="20"/>
              </w:rPr>
              <w:sym w:font="Webdings" w:char="F0CA"/>
            </w:r>
            <w:r>
              <w:rPr>
                <w:b/>
                <w:bCs/>
                <w:sz w:val="20"/>
                <w:lang w:val="fr-BE"/>
              </w:rPr>
              <w:t>: 085/25.28.41</w:t>
            </w:r>
          </w:p>
          <w:p>
            <w:pPr>
              <w:pStyle w:val="Corpsdetexte"/>
              <w:rPr>
                <w:sz w:val="20"/>
                <w:lang w:val="fr-BE"/>
              </w:rPr>
            </w:pPr>
            <w:r>
              <w:rPr>
                <w:b/>
                <w:bCs/>
                <w:sz w:val="20"/>
                <w:lang w:val="fr-BE"/>
              </w:rPr>
              <w:t xml:space="preserve">@: </w:t>
            </w:r>
            <w:hyperlink r:id="rId184" w:history="1">
              <w:r>
                <w:rPr>
                  <w:rStyle w:val="Lienhypertexte"/>
                  <w:color w:val="auto"/>
                  <w:sz w:val="20"/>
                  <w:lang w:val="fr-BE"/>
                </w:rPr>
                <w:t>sasauxsources@live.be</w:t>
              </w:r>
            </w:hyperlink>
          </w:p>
          <w:p>
            <w:pPr>
              <w:pStyle w:val="Corpsdetexte"/>
              <w:rPr>
                <w:sz w:val="20"/>
                <w:lang w:val="fr-BE"/>
              </w:rPr>
            </w:pPr>
            <w:r>
              <w:rPr>
                <w:b/>
                <w:sz w:val="20"/>
              </w:rPr>
              <w:t xml:space="preserve">Site </w:t>
            </w:r>
            <w:r>
              <w:rPr>
                <w:b/>
                <w:bCs/>
                <w:sz w:val="20"/>
              </w:rPr>
              <w:t>Internet</w:t>
            </w:r>
            <w:r>
              <w:rPr>
                <w:bCs/>
                <w:sz w:val="20"/>
              </w:rPr>
              <w:t xml:space="preserve">: </w:t>
            </w:r>
            <w:r>
              <w:rPr>
                <w:rStyle w:val="Lienhypertexte"/>
                <w:color w:val="auto"/>
                <w:sz w:val="20"/>
                <w:u w:val="none"/>
              </w:rPr>
              <w:t>www.auxsources.be</w:t>
            </w:r>
          </w:p>
          <w:p>
            <w:pPr>
              <w:pStyle w:val="Corpsdetexte"/>
              <w:rPr>
                <w:smallCaps/>
                <w:sz w:val="16"/>
                <w:szCs w:val="16"/>
                <w:lang w:val="fr-B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de Liège</w:t>
                  </w:r>
                </w:p>
              </w:tc>
            </w:tr>
          </w:tbl>
          <w:p>
            <w:pPr>
              <w:pStyle w:val="Corpsdetexte"/>
              <w:rPr>
                <w:i/>
                <w:iCs/>
                <w:sz w:val="20"/>
              </w:rPr>
            </w:pPr>
            <w:r>
              <w:rPr>
                <w:b/>
                <w:bCs/>
                <w:i/>
                <w:iCs/>
                <w:sz w:val="20"/>
                <w:u w:val="single"/>
              </w:rPr>
              <w:t>Rebonds</w:t>
            </w:r>
            <w:r>
              <w:rPr>
                <w:b/>
                <w:bCs/>
                <w:i/>
                <w:iCs/>
                <w:sz w:val="20"/>
              </w:rPr>
              <w:t xml:space="preserve"> – ASBL</w:t>
            </w:r>
          </w:p>
          <w:p>
            <w:pPr>
              <w:pStyle w:val="Corpsdetexte"/>
              <w:rPr>
                <w:b/>
                <w:bCs/>
                <w:sz w:val="20"/>
              </w:rPr>
            </w:pPr>
            <w:r>
              <w:rPr>
                <w:b/>
                <w:bCs/>
                <w:sz w:val="20"/>
              </w:rPr>
              <w:t>Rue Vivegnis, 71</w:t>
            </w:r>
          </w:p>
          <w:p>
            <w:pPr>
              <w:pStyle w:val="Corpsdetexte"/>
              <w:rPr>
                <w:b/>
                <w:bCs/>
                <w:sz w:val="20"/>
              </w:rPr>
            </w:pPr>
            <w:r>
              <w:rPr>
                <w:b/>
                <w:bCs/>
                <w:sz w:val="20"/>
              </w:rPr>
              <w:t>4000 LIEGE</w:t>
            </w:r>
          </w:p>
          <w:p>
            <w:pPr>
              <w:pStyle w:val="Corpsdetexte"/>
              <w:rPr>
                <w:b/>
                <w:bCs/>
                <w:sz w:val="20"/>
              </w:rPr>
            </w:pPr>
            <w:r>
              <w:rPr>
                <w:b/>
                <w:bCs/>
                <w:sz w:val="20"/>
              </w:rPr>
              <w:t xml:space="preserve">Personne de contact: </w:t>
            </w:r>
            <w:r>
              <w:rPr>
                <w:bCs/>
                <w:sz w:val="20"/>
              </w:rPr>
              <w:t>Dominique CHANDELLE</w:t>
            </w:r>
            <w:r>
              <w:rPr>
                <w:b/>
                <w:bCs/>
                <w:sz w:val="20"/>
              </w:rPr>
              <w:t xml:space="preserve"> </w:t>
            </w:r>
          </w:p>
          <w:p>
            <w:pPr>
              <w:pStyle w:val="Corpsdetexte"/>
              <w:rPr>
                <w:b/>
                <w:bCs/>
                <w:sz w:val="20"/>
              </w:rPr>
            </w:pPr>
            <w:r>
              <w:rPr>
                <w:b/>
                <w:bCs/>
                <w:sz w:val="20"/>
              </w:rPr>
              <w:sym w:font="Webdings" w:char="F0C9"/>
            </w:r>
            <w:r>
              <w:rPr>
                <w:b/>
                <w:bCs/>
                <w:sz w:val="20"/>
              </w:rPr>
              <w:t xml:space="preserve">: 04/225.95.96 - </w:t>
            </w:r>
            <w:r>
              <w:rPr>
                <w:b/>
                <w:bCs/>
                <w:sz w:val="20"/>
              </w:rPr>
              <w:sym w:font="Webdings" w:char="F0CA"/>
            </w:r>
            <w:r>
              <w:rPr>
                <w:b/>
                <w:bCs/>
                <w:sz w:val="20"/>
              </w:rPr>
              <w:t>: 04/225.95.98</w:t>
            </w:r>
          </w:p>
          <w:p>
            <w:pPr>
              <w:pStyle w:val="Corpsdetexte"/>
              <w:rPr>
                <w:sz w:val="20"/>
              </w:rPr>
            </w:pPr>
            <w:r>
              <w:rPr>
                <w:b/>
                <w:bCs/>
                <w:sz w:val="20"/>
              </w:rPr>
              <w:t xml:space="preserve">@: </w:t>
            </w:r>
            <w:hyperlink r:id="rId185" w:history="1">
              <w:r>
                <w:rPr>
                  <w:rStyle w:val="Lienhypertexte"/>
                  <w:color w:val="auto"/>
                  <w:sz w:val="20"/>
                </w:rPr>
                <w:t>asbl.rebonds@gmail.com</w:t>
              </w:r>
            </w:hyperlink>
          </w:p>
          <w:p>
            <w:pPr>
              <w:pStyle w:val="Corpsdetexte"/>
              <w:rPr>
                <w:sz w:val="12"/>
                <w:szCs w:val="12"/>
              </w:rPr>
            </w:pPr>
          </w:p>
          <w:p>
            <w:pPr>
              <w:pStyle w:val="Corpsdetexte"/>
              <w:rPr>
                <w:i/>
                <w:iCs/>
                <w:sz w:val="20"/>
                <w:u w:val="single"/>
              </w:rPr>
            </w:pPr>
            <w:r>
              <w:rPr>
                <w:b/>
                <w:bCs/>
                <w:i/>
                <w:iCs/>
                <w:sz w:val="20"/>
                <w:u w:val="single"/>
              </w:rPr>
              <w:t>«  Compas-Format » ASBL</w:t>
            </w:r>
          </w:p>
          <w:p>
            <w:pPr>
              <w:pStyle w:val="Corpsdetexte"/>
              <w:rPr>
                <w:b/>
                <w:bCs/>
                <w:sz w:val="20"/>
              </w:rPr>
            </w:pPr>
            <w:r>
              <w:rPr>
                <w:b/>
                <w:bCs/>
                <w:sz w:val="20"/>
              </w:rPr>
              <w:t>Rue Collard Trouillet, 12</w:t>
            </w:r>
          </w:p>
          <w:p>
            <w:pPr>
              <w:pStyle w:val="Corpsdetexte"/>
              <w:rPr>
                <w:b/>
                <w:bCs/>
                <w:sz w:val="20"/>
              </w:rPr>
            </w:pPr>
            <w:r>
              <w:rPr>
                <w:b/>
                <w:bCs/>
                <w:sz w:val="20"/>
              </w:rPr>
              <w:t>4100 SERAING</w:t>
            </w:r>
          </w:p>
          <w:p>
            <w:pPr>
              <w:pStyle w:val="Corpsdetexte"/>
              <w:rPr>
                <w:sz w:val="20"/>
              </w:rPr>
            </w:pPr>
            <w:r>
              <w:rPr>
                <w:b/>
                <w:bCs/>
                <w:sz w:val="20"/>
              </w:rPr>
              <w:t>Personne de contact:</w:t>
            </w:r>
            <w:r>
              <w:rPr>
                <w:sz w:val="20"/>
              </w:rPr>
              <w:t xml:space="preserve"> Frédéric DUPREZ</w:t>
            </w:r>
          </w:p>
          <w:p>
            <w:pPr>
              <w:pStyle w:val="Corpsdetexte"/>
              <w:rPr>
                <w:b/>
                <w:bCs/>
                <w:sz w:val="20"/>
                <w:lang w:val="fr-BE"/>
              </w:rPr>
            </w:pPr>
            <w:r>
              <w:rPr>
                <w:b/>
                <w:bCs/>
                <w:sz w:val="20"/>
              </w:rPr>
              <w:sym w:font="Webdings" w:char="F0C9"/>
            </w:r>
            <w:r>
              <w:rPr>
                <w:b/>
                <w:bCs/>
                <w:sz w:val="20"/>
              </w:rPr>
              <w:t>: 04/330.97.10 –</w:t>
            </w:r>
            <w:r>
              <w:rPr>
                <w:b/>
                <w:bCs/>
                <w:sz w:val="20"/>
              </w:rPr>
              <w:sym w:font="Webdings" w:char="F0CA"/>
            </w:r>
            <w:r>
              <w:rPr>
                <w:b/>
                <w:bCs/>
                <w:sz w:val="20"/>
                <w:lang w:val="fr-BE"/>
              </w:rPr>
              <w:t>: 04/330.97.12</w:t>
            </w:r>
          </w:p>
          <w:p>
            <w:pPr>
              <w:pStyle w:val="Corpsdetexte"/>
              <w:rPr>
                <w:b/>
                <w:bCs/>
                <w:sz w:val="20"/>
                <w:lang w:val="fr-BE"/>
              </w:rPr>
            </w:pPr>
            <w:r>
              <w:rPr>
                <w:b/>
                <w:bCs/>
              </w:rPr>
              <w:sym w:font="Webdings" w:char="F0C8"/>
            </w:r>
            <w:r>
              <w:rPr>
                <w:b/>
                <w:bCs/>
              </w:rPr>
              <w:t xml:space="preserve">: </w:t>
            </w:r>
            <w:r>
              <w:rPr>
                <w:b/>
                <w:bCs/>
                <w:sz w:val="20"/>
              </w:rPr>
              <w:t>0494/82.53.28</w:t>
            </w:r>
          </w:p>
          <w:p>
            <w:pPr>
              <w:pStyle w:val="Corpsdetexte"/>
              <w:rPr>
                <w:sz w:val="20"/>
              </w:rPr>
            </w:pPr>
            <w:r>
              <w:rPr>
                <w:b/>
                <w:bCs/>
                <w:sz w:val="20"/>
              </w:rPr>
              <w:t xml:space="preserve">@: </w:t>
            </w:r>
            <w:hyperlink r:id="rId186" w:history="1">
              <w:r>
                <w:rPr>
                  <w:rStyle w:val="Lienhypertexte"/>
                  <w:color w:val="auto"/>
                  <w:sz w:val="20"/>
                </w:rPr>
                <w:t>frederic.duprez@compas-format.eu</w:t>
              </w:r>
            </w:hyperlink>
          </w:p>
          <w:p>
            <w:pPr>
              <w:rPr>
                <w:rFonts w:cs="Arial"/>
                <w:b/>
                <w:sz w:val="20"/>
              </w:rPr>
            </w:pPr>
            <w:r>
              <w:rPr>
                <w:rFonts w:cs="Arial"/>
                <w:b/>
                <w:sz w:val="20"/>
              </w:rPr>
              <w:t xml:space="preserve">Site Internet: </w:t>
            </w:r>
            <w:r>
              <w:rPr>
                <w:rStyle w:val="Lienhypertexte"/>
                <w:color w:val="auto"/>
                <w:spacing w:val="-6"/>
                <w:sz w:val="20"/>
                <w:szCs w:val="20"/>
              </w:rPr>
              <w:t>www.compas_format.eu</w:t>
            </w:r>
          </w:p>
          <w:p>
            <w:pPr>
              <w:pStyle w:val="Corpsdetexte"/>
              <w:rPr>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de Waremme</w:t>
                  </w:r>
                </w:p>
              </w:tc>
            </w:tr>
          </w:tbl>
          <w:p>
            <w:pPr>
              <w:pStyle w:val="Corpsdetexte"/>
              <w:rPr>
                <w:i/>
                <w:iCs/>
                <w:sz w:val="20"/>
                <w:u w:val="single"/>
              </w:rPr>
            </w:pPr>
            <w:r>
              <w:rPr>
                <w:b/>
                <w:bCs/>
                <w:i/>
                <w:iCs/>
                <w:sz w:val="20"/>
                <w:u w:val="single"/>
              </w:rPr>
              <w:t>«  Compas-Format » ASBL</w:t>
            </w:r>
          </w:p>
          <w:p>
            <w:pPr>
              <w:pStyle w:val="Corpsdetexte"/>
              <w:rPr>
                <w:b/>
                <w:iCs/>
                <w:sz w:val="20"/>
              </w:rPr>
            </w:pPr>
            <w:r>
              <w:rPr>
                <w:b/>
                <w:iCs/>
                <w:sz w:val="20"/>
              </w:rPr>
              <w:t>Rue Ernest Malvoz, 20A</w:t>
            </w:r>
          </w:p>
          <w:p>
            <w:pPr>
              <w:pStyle w:val="Corpsdetexte"/>
              <w:rPr>
                <w:b/>
                <w:iCs/>
                <w:sz w:val="20"/>
              </w:rPr>
            </w:pPr>
            <w:r>
              <w:rPr>
                <w:b/>
                <w:iCs/>
                <w:sz w:val="20"/>
              </w:rPr>
              <w:t>4300 WAREMME</w:t>
            </w:r>
          </w:p>
          <w:p>
            <w:pPr>
              <w:pStyle w:val="Corpsdetexte"/>
              <w:rPr>
                <w:sz w:val="20"/>
              </w:rPr>
            </w:pPr>
            <w:r>
              <w:rPr>
                <w:b/>
                <w:bCs/>
                <w:sz w:val="20"/>
              </w:rPr>
              <w:t>Personne de contact:</w:t>
            </w:r>
            <w:r>
              <w:rPr>
                <w:sz w:val="20"/>
              </w:rPr>
              <w:t xml:space="preserve"> Samuel PALLADINO</w:t>
            </w:r>
          </w:p>
          <w:p>
            <w:pPr>
              <w:pStyle w:val="Corpsdetexte"/>
              <w:rPr>
                <w:b/>
                <w:bCs/>
                <w:sz w:val="20"/>
                <w:lang w:val="fr-BE"/>
              </w:rPr>
            </w:pPr>
            <w:r>
              <w:rPr>
                <w:b/>
                <w:bCs/>
                <w:sz w:val="20"/>
              </w:rPr>
              <w:sym w:font="Webdings" w:char="F0C9"/>
            </w:r>
            <w:r>
              <w:rPr>
                <w:b/>
                <w:bCs/>
                <w:sz w:val="20"/>
                <w:lang w:val="fr-BE"/>
              </w:rPr>
              <w:t>: 019/67.72.03 –</w:t>
            </w:r>
            <w:r>
              <w:rPr>
                <w:b/>
                <w:bCs/>
                <w:sz w:val="20"/>
              </w:rPr>
              <w:sym w:font="Webdings" w:char="F0CA"/>
            </w:r>
            <w:r>
              <w:rPr>
                <w:b/>
                <w:bCs/>
                <w:sz w:val="20"/>
                <w:lang w:val="fr-BE"/>
              </w:rPr>
              <w:t>: 019/67.60.88</w:t>
            </w:r>
          </w:p>
          <w:p>
            <w:pPr>
              <w:pStyle w:val="Corpsdetexte"/>
              <w:rPr>
                <w:b/>
                <w:bCs/>
                <w:sz w:val="20"/>
                <w:lang w:val="fr-BE"/>
              </w:rPr>
            </w:pPr>
            <w:r>
              <w:rPr>
                <w:b/>
                <w:bCs/>
              </w:rPr>
              <w:sym w:font="Webdings" w:char="F0C8"/>
            </w:r>
            <w:r>
              <w:rPr>
                <w:b/>
                <w:bCs/>
              </w:rPr>
              <w:t xml:space="preserve">: </w:t>
            </w:r>
            <w:r>
              <w:rPr>
                <w:b/>
                <w:bCs/>
                <w:sz w:val="20"/>
                <w:lang w:val="fr-BE"/>
              </w:rPr>
              <w:t>0498/50.32.15</w:t>
            </w:r>
          </w:p>
          <w:p>
            <w:pPr>
              <w:pStyle w:val="Corpsdetexte"/>
              <w:rPr>
                <w:sz w:val="20"/>
              </w:rPr>
            </w:pPr>
            <w:r>
              <w:rPr>
                <w:b/>
                <w:bCs/>
                <w:sz w:val="20"/>
              </w:rPr>
              <w:t xml:space="preserve">@: </w:t>
            </w:r>
            <w:hyperlink r:id="rId187" w:history="1">
              <w:r>
                <w:rPr>
                  <w:rStyle w:val="Lienhypertexte"/>
                  <w:color w:val="auto"/>
                  <w:sz w:val="20"/>
                </w:rPr>
                <w:t>samuel.palladino@compas-format.eu</w:t>
              </w:r>
            </w:hyperlink>
          </w:p>
          <w:p>
            <w:pPr>
              <w:pStyle w:val="Corpsdetexte"/>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C99"/>
              <w:tblCellMar>
                <w:left w:w="70" w:type="dxa"/>
                <w:right w:w="70" w:type="dxa"/>
              </w:tblCellMar>
              <w:tblLook w:val="0000" w:firstRow="0" w:lastRow="0" w:firstColumn="0" w:lastColumn="0" w:noHBand="0" w:noVBand="0"/>
            </w:tblPr>
            <w:tblGrid>
              <w:gridCol w:w="4321"/>
            </w:tblGrid>
            <w:tr>
              <w:tc>
                <w:tcPr>
                  <w:tcW w:w="4321" w:type="dxa"/>
                </w:tcPr>
                <w:p>
                  <w:pPr>
                    <w:pStyle w:val="Corpsdetexte"/>
                    <w:rPr>
                      <w:b/>
                      <w:bCs/>
                      <w:sz w:val="20"/>
                    </w:rPr>
                  </w:pPr>
                  <w:r>
                    <w:rPr>
                      <w:b/>
                      <w:bCs/>
                      <w:sz w:val="20"/>
                    </w:rPr>
                    <w:t>Pour la zone de Verviers</w:t>
                  </w:r>
                </w:p>
              </w:tc>
            </w:tr>
          </w:tbl>
          <w:p>
            <w:pPr>
              <w:pStyle w:val="Corpsdetexte"/>
              <w:rPr>
                <w:i/>
                <w:iCs/>
                <w:sz w:val="20"/>
                <w:u w:val="single"/>
              </w:rPr>
            </w:pPr>
            <w:r>
              <w:rPr>
                <w:b/>
                <w:bCs/>
                <w:i/>
                <w:iCs/>
                <w:sz w:val="20"/>
                <w:u w:val="single"/>
              </w:rPr>
              <w:t>«  Compas-Format » ASBL - Espace Tremplin</w:t>
            </w:r>
          </w:p>
          <w:p>
            <w:pPr>
              <w:pStyle w:val="Corpsdetexte"/>
              <w:rPr>
                <w:b/>
                <w:iCs/>
                <w:sz w:val="20"/>
              </w:rPr>
            </w:pPr>
            <w:r>
              <w:rPr>
                <w:b/>
                <w:iCs/>
                <w:sz w:val="20"/>
              </w:rPr>
              <w:t>Rue Robert Centner, 8</w:t>
            </w:r>
          </w:p>
          <w:p>
            <w:pPr>
              <w:pStyle w:val="Corpsdetexte"/>
              <w:rPr>
                <w:b/>
                <w:iCs/>
                <w:sz w:val="20"/>
              </w:rPr>
            </w:pPr>
            <w:r>
              <w:rPr>
                <w:b/>
                <w:iCs/>
                <w:sz w:val="20"/>
              </w:rPr>
              <w:t>4800 VERVIERS</w:t>
            </w:r>
          </w:p>
          <w:p>
            <w:pPr>
              <w:pStyle w:val="Corpsdetexte"/>
              <w:rPr>
                <w:sz w:val="20"/>
              </w:rPr>
            </w:pPr>
            <w:r>
              <w:rPr>
                <w:b/>
                <w:bCs/>
                <w:sz w:val="20"/>
              </w:rPr>
              <w:t>Personne de contact:</w:t>
            </w:r>
            <w:r>
              <w:rPr>
                <w:sz w:val="20"/>
              </w:rPr>
              <w:t xml:space="preserve"> Frédéric ANGELUCCI</w:t>
            </w:r>
          </w:p>
          <w:p>
            <w:pPr>
              <w:pStyle w:val="Corpsdetexte"/>
              <w:rPr>
                <w:b/>
                <w:bCs/>
                <w:sz w:val="20"/>
                <w:lang w:val="fr-BE"/>
              </w:rPr>
            </w:pPr>
            <w:r>
              <w:rPr>
                <w:b/>
                <w:bCs/>
                <w:sz w:val="20"/>
              </w:rPr>
              <w:sym w:font="Webdings" w:char="F0C9"/>
            </w:r>
            <w:r>
              <w:rPr>
                <w:b/>
                <w:bCs/>
                <w:sz w:val="20"/>
                <w:lang w:val="fr-BE"/>
              </w:rPr>
              <w:t>: 087/56.06.53 –</w:t>
            </w:r>
            <w:r>
              <w:rPr>
                <w:b/>
                <w:bCs/>
                <w:sz w:val="20"/>
              </w:rPr>
              <w:sym w:font="Webdings" w:char="F0CA"/>
            </w:r>
            <w:r>
              <w:rPr>
                <w:b/>
                <w:bCs/>
                <w:sz w:val="20"/>
                <w:lang w:val="fr-BE"/>
              </w:rPr>
              <w:t>: 087/22.85.52</w:t>
            </w:r>
          </w:p>
          <w:p>
            <w:pPr>
              <w:pStyle w:val="Corpsdetexte"/>
              <w:rPr>
                <w:b/>
                <w:bCs/>
                <w:sz w:val="20"/>
                <w:lang w:val="fr-BE"/>
              </w:rPr>
            </w:pPr>
            <w:r>
              <w:rPr>
                <w:b/>
                <w:bCs/>
              </w:rPr>
              <w:sym w:font="Webdings" w:char="F0C8"/>
            </w:r>
            <w:r>
              <w:rPr>
                <w:b/>
                <w:bCs/>
              </w:rPr>
              <w:t xml:space="preserve">: </w:t>
            </w:r>
            <w:r>
              <w:rPr>
                <w:b/>
                <w:bCs/>
                <w:sz w:val="20"/>
                <w:lang w:val="fr-BE"/>
              </w:rPr>
              <w:t>0496/55.59.39</w:t>
            </w:r>
          </w:p>
          <w:p>
            <w:pPr>
              <w:pStyle w:val="Corpsdetexte"/>
              <w:rPr>
                <w:sz w:val="20"/>
              </w:rPr>
            </w:pPr>
            <w:r>
              <w:rPr>
                <w:b/>
                <w:bCs/>
                <w:sz w:val="20"/>
              </w:rPr>
              <w:t xml:space="preserve">@: </w:t>
            </w:r>
            <w:hyperlink r:id="rId188" w:history="1">
              <w:r>
                <w:rPr>
                  <w:rStyle w:val="Lienhypertexte"/>
                  <w:color w:val="auto"/>
                  <w:sz w:val="20"/>
                </w:rPr>
                <w:t>frederic.angelucci@compas-format.eu</w:t>
              </w:r>
            </w:hyperlink>
          </w:p>
          <w:p>
            <w:pPr>
              <w:pStyle w:val="Corpsdetexte"/>
              <w:rPr>
                <w:smallCaps/>
                <w:sz w:val="20"/>
              </w:rPr>
            </w:pPr>
          </w:p>
        </w:tc>
      </w:tr>
    </w:tbl>
    <w:p>
      <w:pPr>
        <w:pStyle w:val="Corpsdetexte"/>
        <w:tabs>
          <w:tab w:val="left" w:pos="4930"/>
          <w:tab w:val="left" w:pos="9790"/>
        </w:tabs>
        <w:jc w:val="left"/>
        <w:rPr>
          <w:b/>
          <w:bCs/>
          <w:sz w:val="2"/>
        </w:rPr>
      </w:pPr>
      <w:r>
        <w:rPr>
          <w:b/>
          <w:bCs/>
          <w:sz w:val="20"/>
        </w:rPr>
        <w:br w:type="page"/>
      </w:r>
    </w:p>
    <w:p>
      <w:pPr>
        <w:pStyle w:val="annexe"/>
      </w:pPr>
      <w:bookmarkStart w:id="2148" w:name="_Annexe_2.1.7._1"/>
      <w:bookmarkStart w:id="2149" w:name="_Annexe_2.1.7."/>
      <w:bookmarkStart w:id="2150" w:name="Annexe_27"/>
      <w:bookmarkStart w:id="2151" w:name="Annexe_225C"/>
      <w:bookmarkStart w:id="2152" w:name="Annexe_25C"/>
      <w:bookmarkStart w:id="2153" w:name="_Toc356216082"/>
      <w:bookmarkStart w:id="2154" w:name="_Toc423420193"/>
      <w:bookmarkStart w:id="2155" w:name="_Toc450645442"/>
      <w:bookmarkStart w:id="2156" w:name="_Toc453942681"/>
      <w:bookmarkStart w:id="2157" w:name="_Toc454888298"/>
      <w:bookmarkStart w:id="2158" w:name="_Toc486241919"/>
      <w:bookmarkStart w:id="2159" w:name="_Toc272404501"/>
      <w:bookmarkStart w:id="2160" w:name="_Toc295913874"/>
      <w:bookmarkEnd w:id="2148"/>
      <w:bookmarkEnd w:id="2149"/>
      <w:bookmarkEnd w:id="2150"/>
      <w:r>
        <w:t>Annexe 2.5.C</w:t>
      </w:r>
      <w:bookmarkEnd w:id="2151"/>
      <w:r>
        <w:t>.</w:t>
      </w:r>
      <w:bookmarkEnd w:id="2152"/>
      <w:r>
        <w:t xml:space="preserve"> Inscription d’un élève à l’issue d’une prise en charge en application des articles 31, 32 ou 33 du Décret sectoriel du 21/11/2013</w:t>
      </w:r>
      <w:bookmarkEnd w:id="2153"/>
      <w:bookmarkEnd w:id="2154"/>
      <w:bookmarkEnd w:id="2155"/>
      <w:bookmarkEnd w:id="2156"/>
      <w:bookmarkEnd w:id="2157"/>
      <w:bookmarkEnd w:id="2158"/>
    </w:p>
    <w:p>
      <w:pPr>
        <w:rPr>
          <w:rFonts w:ascii="Georgia" w:hAnsi="Georgia"/>
          <w:b/>
          <w:bCs/>
          <w:szCs w:val="22"/>
        </w:rPr>
      </w:pPr>
    </w:p>
    <w:p>
      <w:pPr>
        <w:tabs>
          <w:tab w:val="left" w:pos="6096"/>
        </w:tabs>
        <w:ind w:right="-1"/>
        <w:rPr>
          <w:rFonts w:cs="Arial"/>
          <w:b/>
          <w:bCs/>
          <w:sz w:val="24"/>
        </w:rPr>
      </w:pPr>
      <w:r>
        <w:rPr>
          <w:rFonts w:cs="Arial"/>
          <w:b/>
          <w:bCs/>
          <w:sz w:val="24"/>
          <w:u w:val="single"/>
        </w:rPr>
        <w:t>Etablissement</w:t>
      </w:r>
      <w:r>
        <w:rPr>
          <w:rFonts w:cs="Arial"/>
          <w:b/>
          <w:bCs/>
          <w:sz w:val="24"/>
        </w:rPr>
        <w:t xml:space="preserve"> :</w:t>
      </w:r>
    </w:p>
    <w:p>
      <w:pPr>
        <w:tabs>
          <w:tab w:val="left" w:pos="1701"/>
        </w:tabs>
        <w:ind w:left="709" w:right="-1"/>
        <w:rPr>
          <w:rFonts w:cs="Arial"/>
          <w:sz w:val="24"/>
          <w:u w:val="single"/>
        </w:rPr>
      </w:pPr>
    </w:p>
    <w:p>
      <w:pPr>
        <w:tabs>
          <w:tab w:val="left" w:pos="1701"/>
        </w:tabs>
        <w:ind w:right="-1"/>
        <w:rPr>
          <w:rFonts w:cs="Arial"/>
          <w:bCs/>
          <w:sz w:val="24"/>
        </w:rPr>
      </w:pPr>
      <w:r>
        <w:rPr>
          <w:rFonts w:cs="Arial"/>
          <w:bCs/>
          <w:sz w:val="24"/>
        </w:rPr>
        <w:t>DENOMINATION</w:t>
      </w:r>
      <w:r>
        <w:rPr>
          <w:rFonts w:cs="Arial"/>
          <w:bCs/>
          <w:sz w:val="24"/>
        </w:rPr>
        <w:tab/>
        <w:t>…………………………………………………………</w:t>
      </w:r>
    </w:p>
    <w:p>
      <w:pPr>
        <w:tabs>
          <w:tab w:val="left" w:pos="1701"/>
        </w:tabs>
        <w:ind w:right="-1"/>
        <w:rPr>
          <w:rFonts w:cs="Arial"/>
          <w:bCs/>
          <w:sz w:val="24"/>
        </w:rPr>
      </w:pPr>
      <w:r>
        <w:rPr>
          <w:rFonts w:cs="Arial"/>
          <w:bCs/>
          <w:sz w:val="24"/>
        </w:rPr>
        <w:t>ADRESSE</w:t>
      </w:r>
      <w:r>
        <w:rPr>
          <w:rFonts w:cs="Arial"/>
          <w:bCs/>
          <w:sz w:val="24"/>
        </w:rPr>
        <w:tab/>
      </w:r>
      <w:r>
        <w:rPr>
          <w:rFonts w:cs="Arial"/>
          <w:bCs/>
          <w:sz w:val="24"/>
        </w:rPr>
        <w:tab/>
        <w:t>…………………………………………………………</w:t>
      </w:r>
    </w:p>
    <w:p>
      <w:pPr>
        <w:tabs>
          <w:tab w:val="left" w:pos="1701"/>
        </w:tabs>
        <w:ind w:right="-1"/>
        <w:rPr>
          <w:rFonts w:cs="Arial"/>
          <w:sz w:val="24"/>
        </w:rPr>
      </w:pPr>
      <w:r>
        <w:rPr>
          <w:rFonts w:cs="Arial"/>
          <w:bCs/>
          <w:sz w:val="24"/>
        </w:rPr>
        <w:t>CP LOCALITE</w:t>
      </w:r>
      <w:r>
        <w:rPr>
          <w:rFonts w:cs="Arial"/>
          <w:bCs/>
          <w:sz w:val="24"/>
        </w:rPr>
        <w:tab/>
      </w:r>
      <w:r>
        <w:rPr>
          <w:rFonts w:cs="Arial"/>
          <w:b/>
          <w:sz w:val="24"/>
        </w:rPr>
        <w:tab/>
      </w:r>
      <w:r>
        <w:rPr>
          <w:rFonts w:cs="Arial"/>
          <w:sz w:val="24"/>
        </w:rPr>
        <w:t>………………………………………………………....</w:t>
      </w:r>
    </w:p>
    <w:p>
      <w:pPr>
        <w:tabs>
          <w:tab w:val="left" w:pos="1701"/>
        </w:tabs>
        <w:ind w:right="-1"/>
        <w:rPr>
          <w:rFonts w:cs="Arial"/>
          <w:sz w:val="24"/>
        </w:rPr>
      </w:pPr>
      <w:r>
        <w:rPr>
          <w:rFonts w:cs="Arial"/>
          <w:sz w:val="24"/>
        </w:rPr>
        <w:t>TEL.</w:t>
      </w:r>
      <w:r>
        <w:rPr>
          <w:rFonts w:cs="Arial"/>
          <w:sz w:val="24"/>
        </w:rPr>
        <w:tab/>
      </w:r>
      <w:r>
        <w:rPr>
          <w:rFonts w:cs="Arial"/>
          <w:sz w:val="24"/>
        </w:rPr>
        <w:tab/>
        <w:t>…………………………………………………………</w:t>
      </w:r>
    </w:p>
    <w:p>
      <w:pPr>
        <w:tabs>
          <w:tab w:val="left" w:pos="1701"/>
        </w:tabs>
        <w:ind w:right="-1"/>
        <w:rPr>
          <w:rFonts w:cs="Arial"/>
          <w:sz w:val="24"/>
        </w:rPr>
      </w:pPr>
      <w:r>
        <w:rPr>
          <w:rFonts w:cs="Arial"/>
          <w:sz w:val="24"/>
        </w:rPr>
        <w:t>N° FASE</w:t>
      </w:r>
      <w:r>
        <w:rPr>
          <w:rFonts w:cs="Arial"/>
          <w:sz w:val="24"/>
        </w:rPr>
        <w:tab/>
      </w:r>
      <w:r>
        <w:rPr>
          <w:rFonts w:cs="Arial"/>
          <w:sz w:val="24"/>
        </w:rPr>
        <w:tab/>
        <w:t>…………………………………………………………</w:t>
      </w:r>
    </w:p>
    <w:p>
      <w:pPr>
        <w:tabs>
          <w:tab w:val="left" w:pos="1701"/>
        </w:tabs>
        <w:ind w:right="-1"/>
        <w:rPr>
          <w:rFonts w:cs="Arial"/>
          <w:sz w:val="24"/>
        </w:rPr>
      </w:pPr>
      <w:r>
        <w:rPr>
          <w:rFonts w:cs="Arial"/>
          <w:sz w:val="24"/>
        </w:rPr>
        <w:t>N° FASE DE L’IMPLANTATION …………………………………………..</w:t>
      </w:r>
    </w:p>
    <w:p>
      <w:pPr>
        <w:tabs>
          <w:tab w:val="left" w:pos="2388"/>
        </w:tabs>
        <w:ind w:right="-1"/>
        <w:rPr>
          <w:rFonts w:cs="Arial"/>
          <w:sz w:val="24"/>
        </w:rPr>
      </w:pPr>
    </w:p>
    <w:p>
      <w:pPr>
        <w:tabs>
          <w:tab w:val="left" w:pos="2388"/>
        </w:tabs>
        <w:ind w:right="-1"/>
        <w:jc w:val="both"/>
        <w:rPr>
          <w:rFonts w:cs="Arial"/>
          <w:sz w:val="24"/>
        </w:rPr>
      </w:pPr>
      <w:r>
        <w:rPr>
          <w:rFonts w:cs="Arial"/>
          <w:b/>
          <w:bCs/>
          <w:sz w:val="24"/>
          <w:u w:val="single"/>
        </w:rPr>
        <w:t>Elève accueilli</w:t>
      </w:r>
      <w:r>
        <w:rPr>
          <w:rFonts w:cs="Arial"/>
          <w:sz w:val="24"/>
        </w:rPr>
        <w:t> :</w:t>
      </w:r>
    </w:p>
    <w:p>
      <w:pPr>
        <w:tabs>
          <w:tab w:val="left" w:pos="2388"/>
        </w:tabs>
        <w:ind w:right="-1"/>
        <w:rPr>
          <w:rFonts w:cs="Arial"/>
          <w:sz w:val="24"/>
        </w:rPr>
      </w:pPr>
    </w:p>
    <w:p>
      <w:pPr>
        <w:tabs>
          <w:tab w:val="left" w:pos="2388"/>
        </w:tabs>
        <w:ind w:right="-1"/>
        <w:rPr>
          <w:rFonts w:cs="Arial"/>
          <w:sz w:val="24"/>
        </w:rPr>
      </w:pPr>
      <w:r>
        <w:rPr>
          <w:rFonts w:cs="Arial"/>
          <w:sz w:val="24"/>
        </w:rPr>
        <w:t>NOM : ………………………………………………………………………………….</w:t>
      </w:r>
    </w:p>
    <w:p>
      <w:pPr>
        <w:tabs>
          <w:tab w:val="left" w:pos="2388"/>
        </w:tabs>
        <w:ind w:right="-1"/>
        <w:rPr>
          <w:rFonts w:cs="Arial"/>
          <w:sz w:val="24"/>
        </w:rPr>
      </w:pPr>
      <w:r>
        <w:rPr>
          <w:rFonts w:cs="Arial"/>
          <w:sz w:val="24"/>
        </w:rPr>
        <w:t>PRENOM : …………………………………………………………………………….</w:t>
      </w:r>
    </w:p>
    <w:p>
      <w:pPr>
        <w:pStyle w:val="Corpsdetexte"/>
        <w:tabs>
          <w:tab w:val="left" w:pos="5220"/>
        </w:tabs>
        <w:rPr>
          <w:sz w:val="24"/>
        </w:rPr>
      </w:pPr>
      <w:r>
        <w:rPr>
          <w:sz w:val="24"/>
        </w:rPr>
        <w:t xml:space="preserve">DATE DE NAISSANCE (JJ/MM/AA) :  </w:t>
      </w:r>
      <w:r>
        <w:rPr>
          <w:sz w:val="24"/>
        </w:rPr>
        <w:sym w:font="Webdings" w:char="0063"/>
      </w:r>
      <w:r>
        <w:rPr>
          <w:sz w:val="24"/>
        </w:rPr>
        <w:sym w:font="Webdings" w:char="0063"/>
      </w:r>
      <w:r>
        <w:rPr>
          <w:sz w:val="24"/>
        </w:rPr>
        <w:sym w:font="Webdings" w:char="0063"/>
      </w:r>
      <w:r>
        <w:rPr>
          <w:sz w:val="24"/>
        </w:rPr>
        <w:sym w:font="Webdings" w:char="0063"/>
      </w:r>
      <w:r>
        <w:rPr>
          <w:sz w:val="24"/>
        </w:rPr>
        <w:sym w:font="Webdings" w:char="0063"/>
      </w:r>
      <w:r>
        <w:rPr>
          <w:sz w:val="24"/>
        </w:rPr>
        <w:sym w:font="Webdings" w:char="0063"/>
      </w:r>
    </w:p>
    <w:p>
      <w:pPr>
        <w:jc w:val="both"/>
        <w:rPr>
          <w:rFonts w:cs="Arial"/>
          <w:sz w:val="24"/>
        </w:rPr>
      </w:pPr>
      <w:r>
        <w:rPr>
          <w:rFonts w:cs="Arial"/>
          <w:sz w:val="24"/>
        </w:rPr>
        <w:t>Année d’études : ……………………………………………....</w:t>
      </w:r>
    </w:p>
    <w:p>
      <w:pPr>
        <w:tabs>
          <w:tab w:val="left" w:pos="2388"/>
        </w:tabs>
        <w:ind w:right="-1"/>
        <w:rPr>
          <w:rFonts w:cs="Arial"/>
          <w:sz w:val="24"/>
        </w:rPr>
      </w:pPr>
      <w:r>
        <w:rPr>
          <w:rFonts w:cs="Arial"/>
          <w:sz w:val="24"/>
        </w:rPr>
        <w:t xml:space="preserve">Inscrit depuis le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pPr>
        <w:tabs>
          <w:tab w:val="left" w:pos="2388"/>
        </w:tabs>
        <w:ind w:right="-1"/>
        <w:rPr>
          <w:rFonts w:cs="Arial"/>
          <w:sz w:val="24"/>
        </w:rPr>
      </w:pPr>
      <w:r>
        <w:rPr>
          <w:rFonts w:cs="Arial"/>
          <w:sz w:val="24"/>
        </w:rPr>
        <w:t xml:space="preserve">Date d’intégration/réintégration (JJ/MM/AA) :  </w:t>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r>
        <w:rPr>
          <w:rFonts w:cs="Arial"/>
          <w:sz w:val="24"/>
        </w:rPr>
        <w:sym w:font="Webdings" w:char="F063"/>
      </w:r>
    </w:p>
    <w:p>
      <w:pPr>
        <w:tabs>
          <w:tab w:val="left" w:pos="2388"/>
        </w:tabs>
        <w:ind w:right="-1"/>
        <w:rPr>
          <w:rFonts w:cs="Arial"/>
          <w:sz w:val="24"/>
        </w:rPr>
      </w:pPr>
    </w:p>
    <w:p>
      <w:pPr>
        <w:tabs>
          <w:tab w:val="left" w:pos="2388"/>
        </w:tabs>
        <w:ind w:right="-1"/>
        <w:rPr>
          <w:rFonts w:cs="Arial"/>
          <w:b/>
          <w:bCs/>
          <w:sz w:val="24"/>
          <w:u w:val="single"/>
        </w:rPr>
      </w:pPr>
      <w:r>
        <w:rPr>
          <w:rFonts w:cs="Arial"/>
          <w:b/>
          <w:bCs/>
          <w:sz w:val="24"/>
          <w:u w:val="single"/>
        </w:rPr>
        <w:t>Service d’accrochage scolaire :</w:t>
      </w:r>
    </w:p>
    <w:p>
      <w:pPr>
        <w:tabs>
          <w:tab w:val="left" w:pos="2388"/>
        </w:tabs>
        <w:ind w:right="-1"/>
        <w:rPr>
          <w:rFonts w:cs="Arial"/>
          <w:b/>
          <w:bCs/>
          <w:sz w:val="24"/>
          <w:u w:val="single"/>
        </w:rPr>
      </w:pPr>
    </w:p>
    <w:p>
      <w:pPr>
        <w:tabs>
          <w:tab w:val="left" w:pos="1701"/>
        </w:tabs>
        <w:ind w:right="-1"/>
        <w:rPr>
          <w:rFonts w:cs="Arial"/>
          <w:sz w:val="24"/>
        </w:rPr>
      </w:pPr>
      <w:r>
        <w:rPr>
          <w:rFonts w:cs="Arial"/>
          <w:bCs/>
          <w:sz w:val="24"/>
        </w:rPr>
        <w:t>DENOMINATION : ………………………………………………………………………………………</w:t>
      </w:r>
    </w:p>
    <w:p>
      <w:pPr>
        <w:ind w:right="-1"/>
        <w:rPr>
          <w:rFonts w:cs="Arial"/>
          <w:sz w:val="24"/>
        </w:rPr>
      </w:pPr>
    </w:p>
    <w:p>
      <w:pPr>
        <w:ind w:right="-1"/>
        <w:rPr>
          <w:rFonts w:cs="Arial"/>
          <w:sz w:val="24"/>
        </w:rPr>
      </w:pPr>
    </w:p>
    <w:p>
      <w:pPr>
        <w:ind w:right="-1"/>
        <w:rPr>
          <w:rFonts w:cs="Arial"/>
          <w:sz w:val="24"/>
        </w:rPr>
      </w:pPr>
      <w:r>
        <w:rPr>
          <w:rFonts w:cs="Arial"/>
          <w:sz w:val="24"/>
        </w:rPr>
        <w:t xml:space="preserve">Date : </w:t>
      </w:r>
      <w:r>
        <w:rPr>
          <w:rFonts w:cs="Arial"/>
          <w:sz w:val="24"/>
        </w:rPr>
        <w:tab/>
      </w:r>
      <w:r>
        <w:rPr>
          <w:rFonts w:cs="Arial"/>
          <w:sz w:val="24"/>
        </w:rPr>
        <w:tab/>
      </w:r>
      <w:r>
        <w:rPr>
          <w:rFonts w:cs="Arial"/>
          <w:sz w:val="24"/>
        </w:rPr>
        <w:tab/>
      </w:r>
      <w:r>
        <w:rPr>
          <w:rFonts w:cs="Arial"/>
          <w:sz w:val="24"/>
        </w:rPr>
        <w:tab/>
        <w:t>NOM et prénom du Chef d’établissement :</w:t>
      </w:r>
    </w:p>
    <w:p>
      <w:pPr>
        <w:ind w:left="2124" w:right="-1" w:firstLine="708"/>
        <w:rPr>
          <w:rFonts w:cs="Arial"/>
          <w:sz w:val="24"/>
        </w:rPr>
      </w:pPr>
      <w:r>
        <w:rPr>
          <w:rFonts w:cs="Arial"/>
          <w:sz w:val="24"/>
        </w:rPr>
        <w:t>Signature :</w:t>
      </w:r>
    </w:p>
    <w:p>
      <w:pPr>
        <w:tabs>
          <w:tab w:val="right" w:pos="9072"/>
        </w:tabs>
        <w:ind w:right="-1"/>
        <w:rPr>
          <w:rFonts w:cs="Arial"/>
          <w:b/>
          <w:sz w:val="24"/>
          <w:u w:val="single"/>
        </w:rPr>
      </w:pPr>
    </w:p>
    <w:p>
      <w:pPr>
        <w:tabs>
          <w:tab w:val="right" w:pos="9072"/>
        </w:tabs>
        <w:ind w:right="-1"/>
        <w:rPr>
          <w:rFonts w:cs="Arial"/>
          <w:b/>
          <w:sz w:val="24"/>
          <w:u w:val="single"/>
        </w:rPr>
      </w:pPr>
      <w:r>
        <w:rPr>
          <w:rFonts w:cs="Arial"/>
          <w:b/>
          <w:sz w:val="24"/>
          <w:u w:val="single"/>
        </w:rPr>
        <w:t>_____________________________________________________________</w:t>
      </w:r>
    </w:p>
    <w:p>
      <w:pPr>
        <w:tabs>
          <w:tab w:val="right" w:pos="9072"/>
        </w:tabs>
        <w:ind w:right="-1"/>
        <w:rPr>
          <w:rFonts w:cs="Arial"/>
          <w:b/>
          <w:sz w:val="24"/>
          <w:u w:val="single"/>
        </w:rPr>
      </w:pPr>
    </w:p>
    <w:p>
      <w:pPr>
        <w:rPr>
          <w:rFonts w:cs="Arial"/>
          <w:sz w:val="24"/>
        </w:rPr>
      </w:pPr>
      <w:bookmarkStart w:id="2161" w:name="_Toc324768112"/>
      <w:bookmarkStart w:id="2162" w:name="_Toc324767254"/>
      <w:r>
        <w:rPr>
          <w:rFonts w:cs="Arial"/>
          <w:sz w:val="24"/>
        </w:rPr>
        <w:t>PARTIE RESERVEE A L’ADMINISTRATION</w:t>
      </w:r>
      <w:bookmarkEnd w:id="2161"/>
      <w:bookmarkEnd w:id="2162"/>
    </w:p>
    <w:p>
      <w:pPr>
        <w:rPr>
          <w:rFonts w:cs="Arial"/>
          <w:sz w:val="24"/>
        </w:rPr>
      </w:pPr>
    </w:p>
    <w:p>
      <w:pPr>
        <w:pBdr>
          <w:top w:val="single" w:sz="4" w:space="1" w:color="auto"/>
          <w:left w:val="single" w:sz="4" w:space="4" w:color="auto"/>
          <w:bottom w:val="single" w:sz="4" w:space="1" w:color="auto"/>
          <w:right w:val="single" w:sz="4" w:space="4" w:color="auto"/>
        </w:pBdr>
        <w:rPr>
          <w:rFonts w:cs="Arial"/>
          <w:sz w:val="24"/>
        </w:rPr>
      </w:pPr>
      <w:r>
        <w:rPr>
          <w:rFonts w:cs="Arial"/>
          <w:sz w:val="24"/>
        </w:rPr>
        <w:t>Visa de l’agent :</w:t>
      </w:r>
    </w:p>
    <w:p>
      <w:pPr>
        <w:pBdr>
          <w:top w:val="single" w:sz="4" w:space="1" w:color="auto"/>
          <w:left w:val="single" w:sz="4" w:space="4" w:color="auto"/>
          <w:bottom w:val="single" w:sz="4" w:space="1" w:color="auto"/>
          <w:right w:val="single" w:sz="4" w:space="4" w:color="auto"/>
        </w:pBdr>
        <w:rPr>
          <w:rFonts w:cs="Arial"/>
          <w:sz w:val="24"/>
        </w:rPr>
      </w:pPr>
    </w:p>
    <w:p>
      <w:pPr>
        <w:pBdr>
          <w:top w:val="single" w:sz="4" w:space="1" w:color="auto"/>
          <w:left w:val="single" w:sz="4" w:space="4" w:color="auto"/>
          <w:bottom w:val="single" w:sz="4" w:space="1" w:color="auto"/>
          <w:right w:val="single" w:sz="4" w:space="4" w:color="auto"/>
        </w:pBdr>
        <w:rPr>
          <w:rFonts w:cs="Arial"/>
          <w:sz w:val="24"/>
        </w:rPr>
      </w:pPr>
    </w:p>
    <w:p>
      <w:pPr>
        <w:pBdr>
          <w:top w:val="single" w:sz="4" w:space="1" w:color="auto"/>
          <w:left w:val="single" w:sz="4" w:space="4" w:color="auto"/>
          <w:bottom w:val="single" w:sz="4" w:space="1" w:color="auto"/>
          <w:right w:val="single" w:sz="4" w:space="4" w:color="auto"/>
        </w:pBdr>
        <w:rPr>
          <w:rFonts w:cs="Arial"/>
          <w:sz w:val="24"/>
        </w:rPr>
      </w:pPr>
      <w:r>
        <w:rPr>
          <w:rFonts w:cs="Arial"/>
          <w:sz w:val="24"/>
        </w:rPr>
        <w:t>Le Directeur,</w:t>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r>
      <w:r>
        <w:rPr>
          <w:rFonts w:cs="Arial"/>
          <w:sz w:val="24"/>
        </w:rPr>
        <w:tab/>
        <w:t>Date : ….../….../……..</w:t>
      </w:r>
    </w:p>
    <w:p>
      <w:pPr>
        <w:pBdr>
          <w:top w:val="single" w:sz="4" w:space="1" w:color="auto"/>
          <w:left w:val="single" w:sz="4" w:space="4" w:color="auto"/>
          <w:bottom w:val="single" w:sz="4" w:space="1" w:color="auto"/>
          <w:right w:val="single" w:sz="4" w:space="4" w:color="auto"/>
        </w:pBdr>
        <w:rPr>
          <w:rFonts w:cs="Arial"/>
          <w:sz w:val="24"/>
        </w:rPr>
      </w:pPr>
    </w:p>
    <w:p>
      <w:pPr>
        <w:pBdr>
          <w:top w:val="single" w:sz="4" w:space="1" w:color="auto"/>
          <w:left w:val="single" w:sz="4" w:space="4" w:color="auto"/>
          <w:bottom w:val="single" w:sz="4" w:space="1" w:color="auto"/>
          <w:right w:val="single" w:sz="4" w:space="4" w:color="auto"/>
        </w:pBdr>
        <w:rPr>
          <w:rFonts w:cs="Arial"/>
          <w:sz w:val="24"/>
        </w:rPr>
      </w:pPr>
    </w:p>
    <w:p>
      <w:pPr>
        <w:pBdr>
          <w:top w:val="single" w:sz="4" w:space="1" w:color="auto"/>
          <w:left w:val="single" w:sz="4" w:space="4" w:color="auto"/>
          <w:bottom w:val="single" w:sz="4" w:space="1" w:color="auto"/>
          <w:right w:val="single" w:sz="4" w:space="4" w:color="auto"/>
        </w:pBdr>
        <w:rPr>
          <w:rFonts w:cs="Arial"/>
          <w:sz w:val="24"/>
        </w:rPr>
      </w:pPr>
    </w:p>
    <w:p/>
    <w:p>
      <w:pPr>
        <w:pStyle w:val="annexe"/>
      </w:pPr>
    </w:p>
    <w:p>
      <w:pPr>
        <w:pStyle w:val="annexe"/>
      </w:pPr>
      <w:r>
        <w:br w:type="page"/>
      </w:r>
      <w:bookmarkStart w:id="2163" w:name="Annexe_2_7"/>
      <w:bookmarkStart w:id="2164" w:name="_Toc423420194"/>
      <w:bookmarkStart w:id="2165" w:name="_Toc450645443"/>
      <w:bookmarkStart w:id="2166" w:name="_Toc453942682"/>
      <w:bookmarkStart w:id="2167" w:name="_Toc454888299"/>
      <w:bookmarkStart w:id="2168" w:name="_Toc486241920"/>
      <w:r>
        <w:t>Annexe 2.7.</w:t>
      </w:r>
      <w:bookmarkStart w:id="2169" w:name="_Toc166930693"/>
      <w:bookmarkEnd w:id="2163"/>
      <w:r>
        <w:t xml:space="preserve"> Modèle de base de protocole de collaboration avec les services de police</w:t>
      </w:r>
      <w:bookmarkEnd w:id="2159"/>
      <w:bookmarkEnd w:id="2160"/>
      <w:bookmarkEnd w:id="2164"/>
      <w:bookmarkEnd w:id="2165"/>
      <w:bookmarkEnd w:id="2166"/>
      <w:bookmarkEnd w:id="2167"/>
      <w:bookmarkEnd w:id="2168"/>
      <w:bookmarkEnd w:id="2169"/>
    </w:p>
    <w:p>
      <w:pPr>
        <w:rPr>
          <w:rFonts w:cs="Arial"/>
        </w:rPr>
      </w:pPr>
    </w:p>
    <w:p>
      <w:pPr>
        <w:rPr>
          <w:rFonts w:cs="Arial"/>
        </w:rPr>
      </w:pPr>
    </w:p>
    <w:p>
      <w:pPr>
        <w:numPr>
          <w:ilvl w:val="0"/>
          <w:numId w:val="131"/>
        </w:numPr>
        <w:tabs>
          <w:tab w:val="clear" w:pos="1080"/>
          <w:tab w:val="num" w:pos="540"/>
        </w:tabs>
        <w:ind w:left="540" w:hanging="540"/>
        <w:jc w:val="both"/>
        <w:rPr>
          <w:rFonts w:cs="Arial"/>
          <w:b/>
          <w:bCs/>
          <w:u w:val="single"/>
          <w:lang w:val="fr-BE"/>
        </w:rPr>
      </w:pPr>
      <w:r>
        <w:rPr>
          <w:rFonts w:cs="Arial"/>
          <w:b/>
          <w:bCs/>
          <w:u w:val="single"/>
          <w:lang w:val="fr-BE"/>
        </w:rPr>
        <w:t>Parties</w:t>
      </w:r>
    </w:p>
    <w:p>
      <w:pPr>
        <w:jc w:val="both"/>
        <w:rPr>
          <w:rFonts w:cs="Arial"/>
          <w:lang w:val="fr-BE"/>
        </w:rPr>
      </w:pPr>
    </w:p>
    <w:p>
      <w:pPr>
        <w:jc w:val="both"/>
        <w:rPr>
          <w:rFonts w:cs="Arial"/>
          <w:lang w:val="fr-BE"/>
        </w:rPr>
      </w:pPr>
      <w:r>
        <w:rPr>
          <w:rFonts w:cs="Arial"/>
          <w:lang w:val="fr-BE"/>
        </w:rPr>
        <w:t>Préciser l’identité et les fonctions de chacun des intervenants.</w:t>
      </w:r>
    </w:p>
    <w:p>
      <w:pPr>
        <w:jc w:val="both"/>
        <w:rPr>
          <w:rFonts w:cs="Arial"/>
          <w:lang w:val="fr-BE"/>
        </w:rPr>
      </w:pPr>
    </w:p>
    <w:p>
      <w:pPr>
        <w:jc w:val="both"/>
        <w:rPr>
          <w:rFonts w:cs="Arial"/>
          <w:lang w:val="fr-BE"/>
        </w:rPr>
      </w:pPr>
    </w:p>
    <w:p>
      <w:pPr>
        <w:numPr>
          <w:ilvl w:val="0"/>
          <w:numId w:val="131"/>
        </w:numPr>
        <w:tabs>
          <w:tab w:val="clear" w:pos="1080"/>
          <w:tab w:val="num" w:pos="540"/>
        </w:tabs>
        <w:ind w:left="540" w:hanging="540"/>
        <w:jc w:val="both"/>
        <w:rPr>
          <w:rFonts w:cs="Arial"/>
          <w:b/>
          <w:bCs/>
          <w:u w:val="single"/>
          <w:lang w:val="fr-BE"/>
        </w:rPr>
      </w:pPr>
      <w:r>
        <w:rPr>
          <w:rFonts w:cs="Arial"/>
          <w:b/>
          <w:bCs/>
          <w:u w:val="single"/>
          <w:lang w:val="fr-BE"/>
        </w:rPr>
        <w:t>Principes et engagements</w:t>
      </w:r>
    </w:p>
    <w:p>
      <w:pPr>
        <w:jc w:val="both"/>
        <w:rPr>
          <w:rFonts w:cs="Arial"/>
          <w:lang w:val="fr-BE"/>
        </w:rPr>
      </w:pPr>
    </w:p>
    <w:p>
      <w:pPr>
        <w:jc w:val="both"/>
        <w:rPr>
          <w:rFonts w:cs="Arial"/>
          <w:lang w:val="fr-BE"/>
        </w:rPr>
      </w:pPr>
      <w:r>
        <w:rPr>
          <w:rFonts w:cs="Arial"/>
          <w:lang w:val="fr-BE"/>
        </w:rPr>
        <w:t>Article 1</w:t>
      </w:r>
      <w:r>
        <w:rPr>
          <w:rFonts w:cs="Arial"/>
          <w:vertAlign w:val="superscript"/>
          <w:lang w:val="fr-BE"/>
        </w:rPr>
        <w:t>er</w:t>
      </w:r>
      <w:r>
        <w:rPr>
          <w:rFonts w:cs="Arial"/>
          <w:lang w:val="fr-BE"/>
        </w:rPr>
        <w:t xml:space="preserve"> – L’objectif de la présente convention est d’organiser la collaboration entre les différentes parties en vue de promouvoir la sécurité des élèves et des membres du personnel dans les établissements scolaires concernés.</w:t>
      </w:r>
    </w:p>
    <w:p>
      <w:pPr>
        <w:jc w:val="both"/>
        <w:rPr>
          <w:rFonts w:cs="Arial"/>
          <w:lang w:val="fr-BE"/>
        </w:rPr>
      </w:pPr>
    </w:p>
    <w:p>
      <w:pPr>
        <w:jc w:val="both"/>
        <w:rPr>
          <w:rFonts w:cs="Arial"/>
          <w:lang w:val="fr-BE"/>
        </w:rPr>
      </w:pPr>
      <w:r>
        <w:rPr>
          <w:rFonts w:cs="Arial"/>
          <w:lang w:val="fr-BE"/>
        </w:rPr>
        <w:t>Article 2 – Elle ne peut avoir pour effet d’engager les parties, et particulièrement les directeurs ou chefs d’établissement, au-delà de leurs obligations légales.</w:t>
      </w:r>
    </w:p>
    <w:p>
      <w:pPr>
        <w:jc w:val="both"/>
        <w:rPr>
          <w:rFonts w:cs="Arial"/>
          <w:lang w:val="fr-BE"/>
        </w:rPr>
      </w:pPr>
    </w:p>
    <w:p>
      <w:pPr>
        <w:jc w:val="both"/>
        <w:rPr>
          <w:rFonts w:cs="Arial"/>
          <w:lang w:val="fr-BE"/>
        </w:rPr>
      </w:pPr>
      <w:r>
        <w:rPr>
          <w:rFonts w:cs="Arial"/>
          <w:lang w:val="fr-BE"/>
        </w:rPr>
        <w:t>Article 3 – Dans la mesure où les obligations légales de chacune des parties le permettent, les décisions prises dans le cadre de la présente convention le sont par consensus.</w:t>
      </w:r>
    </w:p>
    <w:p>
      <w:pPr>
        <w:jc w:val="both"/>
        <w:rPr>
          <w:rFonts w:cs="Arial"/>
          <w:lang w:val="fr-BE"/>
        </w:rPr>
      </w:pPr>
    </w:p>
    <w:p>
      <w:pPr>
        <w:jc w:val="both"/>
        <w:rPr>
          <w:rFonts w:cs="Arial"/>
          <w:lang w:val="fr-BE"/>
        </w:rPr>
      </w:pPr>
      <w:r>
        <w:rPr>
          <w:rFonts w:cs="Arial"/>
          <w:lang w:val="fr-BE"/>
        </w:rPr>
        <w:t>Article 4 – La convention est évaluée à la fin de chaque année scolaire. Elle est, le cas échéant, reconduite et adaptée au début de l’année scolaire qui suit.</w:t>
      </w:r>
    </w:p>
    <w:p>
      <w:pPr>
        <w:jc w:val="both"/>
        <w:rPr>
          <w:rFonts w:cs="Arial"/>
          <w:lang w:val="fr-BE"/>
        </w:rPr>
      </w:pPr>
    </w:p>
    <w:p>
      <w:pPr>
        <w:jc w:val="both"/>
        <w:rPr>
          <w:rFonts w:cs="Arial"/>
          <w:lang w:val="fr-BE"/>
        </w:rPr>
      </w:pPr>
      <w:r>
        <w:rPr>
          <w:rFonts w:cs="Arial"/>
          <w:lang w:val="fr-BE"/>
        </w:rPr>
        <w:t>Article 5 – § 1</w:t>
      </w:r>
      <w:r>
        <w:rPr>
          <w:rFonts w:cs="Arial"/>
          <w:vertAlign w:val="superscript"/>
          <w:lang w:val="fr-BE"/>
        </w:rPr>
        <w:t>er</w:t>
      </w:r>
      <w:r>
        <w:rPr>
          <w:rFonts w:cs="Arial"/>
          <w:lang w:val="fr-BE"/>
        </w:rPr>
        <w:t>. Après concertation, les parties estiment que les situations ou problèmes suivants supposent la mise en place d’un programme d’action:</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 …</w:t>
      </w:r>
    </w:p>
    <w:p>
      <w:pPr>
        <w:jc w:val="both"/>
        <w:rPr>
          <w:rFonts w:cs="Arial"/>
          <w:lang w:val="fr-BE"/>
        </w:rPr>
      </w:pPr>
    </w:p>
    <w:p>
      <w:pPr>
        <w:jc w:val="both"/>
        <w:rPr>
          <w:rFonts w:cs="Arial"/>
          <w:lang w:val="fr-BE"/>
        </w:rPr>
      </w:pPr>
      <w:r>
        <w:rPr>
          <w:rFonts w:cs="Arial"/>
          <w:lang w:val="fr-BE"/>
        </w:rPr>
        <w:t xml:space="preserve">§ </w:t>
      </w:r>
      <w:smartTag w:uri="urn:schemas-microsoft-com:office:smarttags" w:element="metricconverter">
        <w:smartTagPr>
          <w:attr w:name="ProductID" w:val="2. A"/>
        </w:smartTagPr>
        <w:r>
          <w:rPr>
            <w:rFonts w:cs="Arial"/>
            <w:lang w:val="fr-BE"/>
          </w:rPr>
          <w:t>2. A</w:t>
        </w:r>
      </w:smartTag>
      <w:r>
        <w:rPr>
          <w:rFonts w:cs="Arial"/>
          <w:lang w:val="fr-BE"/>
        </w:rPr>
        <w:t xml:space="preserve"> cette fin, elles marquent leur accord pour que les actions suivantes soient entreprises:</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w:t>
      </w:r>
    </w:p>
    <w:p>
      <w:pPr>
        <w:jc w:val="both"/>
        <w:rPr>
          <w:rFonts w:cs="Arial"/>
          <w:lang w:val="fr-BE"/>
        </w:rPr>
      </w:pPr>
      <w:r>
        <w:rPr>
          <w:rFonts w:cs="Arial"/>
          <w:lang w:val="fr-BE"/>
        </w:rPr>
        <w:t>-…. (préciser calendrier et modalités)</w:t>
      </w:r>
    </w:p>
    <w:p>
      <w:pPr>
        <w:jc w:val="both"/>
        <w:rPr>
          <w:rFonts w:cs="Arial"/>
          <w:lang w:val="fr-BE"/>
        </w:rPr>
      </w:pPr>
    </w:p>
    <w:p>
      <w:pPr>
        <w:jc w:val="both"/>
        <w:rPr>
          <w:rFonts w:cs="Arial"/>
        </w:rPr>
      </w:pPr>
      <w:r>
        <w:rPr>
          <w:rFonts w:cs="Arial"/>
          <w:lang w:val="fr-BE"/>
        </w:rPr>
        <w:t>Article 6 – Lorsque, dans le courant de l’année scolaire, en raison de circonstances particulières, il doit être procédé à un ajustement du programme défini à l’article précédent, la partie qui l’estime nécessaire réunit l’ensemble des autres parties afin de convenir de cette adaptation.</w:t>
      </w:r>
    </w:p>
    <w:p>
      <w:pPr>
        <w:pStyle w:val="annexe"/>
      </w:pPr>
      <w:r>
        <w:br w:type="page"/>
      </w:r>
      <w:bookmarkStart w:id="2170" w:name="Annexe_29"/>
      <w:bookmarkStart w:id="2171" w:name="_Toc423420198"/>
      <w:bookmarkStart w:id="2172" w:name="_Toc450645447"/>
      <w:bookmarkStart w:id="2173" w:name="_Toc453942686"/>
      <w:bookmarkStart w:id="2174" w:name="_Toc454888303"/>
      <w:bookmarkStart w:id="2175" w:name="_Toc486241921"/>
      <w:bookmarkEnd w:id="2170"/>
      <w:r>
        <w:t>Annexe 2.9 Commission consultative de l’enseignement spécialisé</w:t>
      </w:r>
      <w:bookmarkEnd w:id="2171"/>
      <w:bookmarkEnd w:id="2172"/>
      <w:bookmarkEnd w:id="2173"/>
      <w:bookmarkEnd w:id="2174"/>
      <w:bookmarkEnd w:id="2175"/>
    </w:p>
    <w:p>
      <w:pPr>
        <w:rPr>
          <w:rFonts w:cs="Arial"/>
          <w:b/>
          <w:sz w:val="20"/>
          <w:szCs w:val="16"/>
          <w:u w:val="single"/>
        </w:rPr>
      </w:pPr>
      <w:r>
        <w:rPr>
          <w:rFonts w:cs="Arial"/>
          <w:b/>
          <w:sz w:val="20"/>
          <w:szCs w:val="16"/>
          <w:u w:val="single"/>
        </w:rPr>
        <w:t xml:space="preserve">    </w:t>
      </w:r>
    </w:p>
    <w:p>
      <w:pPr>
        <w:pBdr>
          <w:top w:val="single" w:sz="4" w:space="1" w:color="auto"/>
          <w:left w:val="single" w:sz="4" w:space="22" w:color="auto"/>
          <w:bottom w:val="single" w:sz="4" w:space="1" w:color="auto"/>
          <w:right w:val="single" w:sz="4" w:space="4" w:color="auto"/>
        </w:pBdr>
        <w:shd w:val="clear" w:color="auto" w:fill="F3F3F3"/>
        <w:ind w:left="180"/>
        <w:rPr>
          <w:rFonts w:cs="Arial"/>
          <w:b/>
          <w:sz w:val="20"/>
          <w:szCs w:val="26"/>
        </w:rPr>
      </w:pPr>
      <w:r>
        <w:rPr>
          <w:rFonts w:cs="Arial"/>
          <w:b/>
          <w:sz w:val="20"/>
          <w:szCs w:val="26"/>
        </w:rPr>
        <w:t>Situation n°3: « opportunité de transférer dans un établissement d’enseignement spécialisé un élève inscrit dans un établissement d’enseignement ordinaire»</w:t>
      </w:r>
    </w:p>
    <w:p>
      <w:pPr>
        <w:jc w:val="center"/>
        <w:rPr>
          <w:rFonts w:cs="Arial"/>
          <w:sz w:val="20"/>
          <w:szCs w:val="22"/>
        </w:rPr>
      </w:pPr>
    </w:p>
    <w:p>
      <w:pPr>
        <w:rPr>
          <w:rFonts w:cs="Arial"/>
          <w:b/>
          <w:sz w:val="20"/>
        </w:rPr>
      </w:pPr>
      <w:r>
        <w:rPr>
          <w:rFonts w:cs="Arial"/>
          <w:b/>
          <w:sz w:val="20"/>
        </w:rPr>
        <w:t>Demande introduite par:</w:t>
      </w:r>
    </w:p>
    <w:p>
      <w:pPr>
        <w:rPr>
          <w:rFonts w:cs="Arial"/>
          <w:sz w:val="20"/>
        </w:rPr>
      </w:pPr>
      <w:r>
        <w:rPr>
          <w:rFonts w:cs="Arial"/>
          <w:b/>
          <w:sz w:val="20"/>
          <w:szCs w:val="28"/>
        </w:rPr>
        <w:t>□</w:t>
      </w:r>
      <w:r>
        <w:rPr>
          <w:rFonts w:cs="Arial"/>
          <w:sz w:val="20"/>
          <w:szCs w:val="28"/>
        </w:rPr>
        <w:t xml:space="preserve">: </w:t>
      </w:r>
      <w:r>
        <w:rPr>
          <w:rFonts w:cs="Arial"/>
          <w:sz w:val="20"/>
        </w:rPr>
        <w:t>chef de famille (qualité □ père □ mère  □ tuteur □ autre à préciser ………………………)</w:t>
      </w:r>
    </w:p>
    <w:p>
      <w:pPr>
        <w:rPr>
          <w:rFonts w:cs="Arial"/>
          <w:sz w:val="20"/>
        </w:rPr>
      </w:pPr>
      <w:r>
        <w:rPr>
          <w:rFonts w:cs="Arial"/>
          <w:b/>
          <w:sz w:val="20"/>
          <w:szCs w:val="28"/>
        </w:rPr>
        <w:t>□</w:t>
      </w:r>
      <w:r>
        <w:rPr>
          <w:rFonts w:cs="Arial"/>
          <w:sz w:val="20"/>
          <w:szCs w:val="28"/>
        </w:rPr>
        <w:t xml:space="preserve">: </w:t>
      </w:r>
      <w:r>
        <w:rPr>
          <w:rFonts w:cs="Arial"/>
          <w:sz w:val="20"/>
        </w:rPr>
        <w:t>membre de l’inspection scolaire</w:t>
      </w:r>
    </w:p>
    <w:p>
      <w:pPr>
        <w:rPr>
          <w:rFonts w:cs="Arial"/>
          <w:sz w:val="20"/>
          <w:szCs w:val="28"/>
        </w:rPr>
      </w:pPr>
      <w:r>
        <w:rPr>
          <w:rFonts w:cs="Arial"/>
          <w:sz w:val="20"/>
          <w:szCs w:val="28"/>
        </w:rPr>
        <w:t xml:space="preserve">□: </w:t>
      </w:r>
      <w:r>
        <w:rPr>
          <w:rFonts w:cs="Arial"/>
          <w:sz w:val="20"/>
        </w:rPr>
        <w:t>chef d’établissement d’enseignement ordinaire</w:t>
      </w:r>
    </w:p>
    <w:p>
      <w:pPr>
        <w:rPr>
          <w:rFonts w:cs="Arial"/>
          <w:sz w:val="20"/>
        </w:rPr>
      </w:pPr>
      <w:r>
        <w:rPr>
          <w:rFonts w:cs="Arial"/>
          <w:sz w:val="20"/>
          <w:szCs w:val="28"/>
        </w:rPr>
        <w:t>□</w:t>
      </w:r>
      <w:r>
        <w:rPr>
          <w:rFonts w:cs="Arial"/>
          <w:sz w:val="20"/>
        </w:rPr>
        <w:t>:</w:t>
      </w:r>
      <w:r>
        <w:rPr>
          <w:rFonts w:cs="Arial"/>
          <w:sz w:val="20"/>
          <w:szCs w:val="28"/>
        </w:rPr>
        <w:t xml:space="preserve"> </w:t>
      </w:r>
      <w:r>
        <w:rPr>
          <w:rFonts w:cs="Arial"/>
          <w:sz w:val="20"/>
        </w:rPr>
        <w:t>médecin PSE</w:t>
      </w:r>
    </w:p>
    <w:p>
      <w:pPr>
        <w:rPr>
          <w:rFonts w:cs="Arial"/>
          <w:sz w:val="20"/>
          <w:szCs w:val="28"/>
        </w:rPr>
      </w:pPr>
      <w:r>
        <w:rPr>
          <w:rFonts w:cs="Arial"/>
          <w:b/>
          <w:sz w:val="20"/>
        </w:rPr>
        <w:t>Identité du demandeur</w:t>
      </w:r>
      <w:r>
        <w:rPr>
          <w:rFonts w:cs="Arial"/>
          <w:sz w:val="20"/>
          <w:szCs w:val="28"/>
        </w:rPr>
        <w:t>:</w:t>
      </w:r>
    </w:p>
    <w:p>
      <w:pPr>
        <w:rPr>
          <w:rFonts w:cs="Arial"/>
          <w:sz w:val="20"/>
        </w:rPr>
      </w:pPr>
      <w:r>
        <w:rPr>
          <w:rFonts w:cs="Arial"/>
          <w:sz w:val="20"/>
        </w:rPr>
        <w:t>Nom, prénom: …………………………………….</w:t>
      </w:r>
    </w:p>
    <w:p>
      <w:pPr>
        <w:rPr>
          <w:rFonts w:cs="Arial"/>
          <w:sz w:val="20"/>
        </w:rPr>
      </w:pPr>
      <w:r>
        <w:rPr>
          <w:rFonts w:cs="Arial"/>
          <w:sz w:val="20"/>
        </w:rPr>
        <w:t>Adresse: ……. ……………………………………</w:t>
      </w:r>
    </w:p>
    <w:p>
      <w:pPr>
        <w:rPr>
          <w:rFonts w:cs="Arial"/>
          <w:sz w:val="20"/>
        </w:rPr>
      </w:pPr>
      <w:r>
        <w:rPr>
          <w:rFonts w:cs="Arial"/>
          <w:sz w:val="20"/>
        </w:rPr>
        <w:t xml:space="preserve">                …..         …..……………………………</w:t>
      </w:r>
    </w:p>
    <w:p>
      <w:pPr>
        <w:rPr>
          <w:rFonts w:cs="Arial"/>
          <w:sz w:val="20"/>
          <w:szCs w:val="22"/>
        </w:rPr>
      </w:pPr>
      <w:r>
        <w:rPr>
          <w:rFonts w:cs="Arial"/>
          <w:sz w:val="20"/>
        </w:rPr>
        <w:sym w:font="Wingdings" w:char="F028"/>
      </w:r>
      <w:r>
        <w:rPr>
          <w:rFonts w:cs="Arial"/>
          <w:sz w:val="20"/>
        </w:rPr>
        <w:t xml:space="preserve">:          /                                                 </w:t>
      </w:r>
      <w:r>
        <w:rPr>
          <w:rFonts w:cs="Arial"/>
          <w:sz w:val="20"/>
        </w:rPr>
        <w:sym w:font="Wingdings" w:char="F03A"/>
      </w:r>
      <w:r>
        <w:rPr>
          <w:rFonts w:cs="Arial"/>
          <w:sz w:val="20"/>
        </w:rPr>
        <w:t>:</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tc>
          <w:tcPr>
            <w:tcW w:w="10008" w:type="dxa"/>
            <w:tcBorders>
              <w:top w:val="single" w:sz="4" w:space="0" w:color="auto"/>
              <w:left w:val="single" w:sz="4" w:space="0" w:color="auto"/>
              <w:bottom w:val="single" w:sz="4" w:space="0" w:color="auto"/>
              <w:right w:val="single" w:sz="4" w:space="0" w:color="auto"/>
            </w:tcBorders>
          </w:tcPr>
          <w:p>
            <w:pPr>
              <w:rPr>
                <w:rFonts w:cs="Arial"/>
                <w:b/>
                <w:bCs/>
                <w:caps/>
                <w:sz w:val="20"/>
              </w:rPr>
            </w:pPr>
            <w:r>
              <w:rPr>
                <w:rFonts w:cs="Arial"/>
                <w:b/>
                <w:bCs/>
                <w:caps/>
                <w:sz w:val="20"/>
              </w:rPr>
              <w:t>concernE l’ElEve:</w:t>
            </w:r>
          </w:p>
          <w:p>
            <w:pPr>
              <w:rPr>
                <w:rFonts w:cs="Arial"/>
                <w:bCs/>
                <w:sz w:val="20"/>
              </w:rPr>
            </w:pPr>
            <w:r>
              <w:rPr>
                <w:rFonts w:cs="Arial"/>
                <w:bCs/>
                <w:sz w:val="20"/>
              </w:rPr>
              <w:br/>
              <w:t>NOM, PRENOM: ………………………………………….</w:t>
            </w:r>
          </w:p>
          <w:p>
            <w:pPr>
              <w:jc w:val="both"/>
              <w:rPr>
                <w:rFonts w:cs="Arial"/>
                <w:bCs/>
                <w:sz w:val="20"/>
              </w:rPr>
            </w:pPr>
            <w:r>
              <w:rPr>
                <w:rFonts w:cs="Arial"/>
                <w:bCs/>
                <w:sz w:val="20"/>
              </w:rPr>
              <w:t>ADRESSE: ………………………………………………….</w:t>
            </w:r>
          </w:p>
          <w:p>
            <w:pPr>
              <w:ind w:left="1440"/>
              <w:jc w:val="both"/>
              <w:rPr>
                <w:rFonts w:cs="Arial"/>
                <w:bCs/>
                <w:sz w:val="20"/>
              </w:rPr>
            </w:pPr>
            <w:r>
              <w:rPr>
                <w:rFonts w:cs="Arial"/>
                <w:bCs/>
                <w:sz w:val="20"/>
              </w:rPr>
              <w:t>………..                      ……………………….</w:t>
            </w:r>
          </w:p>
          <w:p>
            <w:pPr>
              <w:jc w:val="both"/>
              <w:rPr>
                <w:rFonts w:cs="Arial"/>
                <w:bCs/>
                <w:sz w:val="20"/>
              </w:rPr>
            </w:pPr>
            <w:r>
              <w:rPr>
                <w:rFonts w:cs="Arial"/>
                <w:bCs/>
                <w:sz w:val="20"/>
              </w:rPr>
              <w:t xml:space="preserve">Date de naissance:     /       /     </w:t>
            </w:r>
          </w:p>
          <w:p>
            <w:pPr>
              <w:jc w:val="both"/>
              <w:rPr>
                <w:rFonts w:cs="Arial"/>
                <w:bCs/>
                <w:sz w:val="20"/>
              </w:rPr>
            </w:pPr>
            <w:r>
              <w:rPr>
                <w:rFonts w:cs="Arial"/>
                <w:bCs/>
                <w:sz w:val="20"/>
              </w:rPr>
              <w:t xml:space="preserve">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tc>
                <w:tcPr>
                  <w:tcW w:w="9535" w:type="dxa"/>
                  <w:tcBorders>
                    <w:top w:val="single" w:sz="4" w:space="0" w:color="auto"/>
                    <w:left w:val="single" w:sz="4" w:space="0" w:color="auto"/>
                    <w:bottom w:val="single" w:sz="4" w:space="0" w:color="auto"/>
                    <w:right w:val="single" w:sz="4" w:space="0" w:color="auto"/>
                  </w:tcBorders>
                </w:tcPr>
                <w:p>
                  <w:pPr>
                    <w:jc w:val="both"/>
                    <w:rPr>
                      <w:rFonts w:cs="Arial"/>
                      <w:b/>
                      <w:bCs/>
                      <w:sz w:val="20"/>
                    </w:rPr>
                  </w:pPr>
                  <w:r>
                    <w:rPr>
                      <w:rFonts w:cs="Arial"/>
                      <w:b/>
                      <w:bCs/>
                      <w:sz w:val="20"/>
                    </w:rPr>
                    <w:t>Ecole fréquentée (N° FASE):</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Nom:</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Adresse</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bookmarkStart w:id="2176" w:name="OLE_LINK1"/>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bookmarkEnd w:id="2176"/>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
                      <w:bCs/>
                      <w:sz w:val="20"/>
                    </w:rPr>
                    <w:t xml:space="preserve">CPMS  </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Dénomination:</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Agent de référence:</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t>Adresse</w:t>
                  </w:r>
                </w:p>
              </w:tc>
            </w:tr>
            <w:tr>
              <w:tc>
                <w:tcPr>
                  <w:tcW w:w="9535" w:type="dxa"/>
                  <w:tcBorders>
                    <w:top w:val="single" w:sz="4" w:space="0" w:color="auto"/>
                    <w:left w:val="single" w:sz="4" w:space="0" w:color="auto"/>
                    <w:bottom w:val="single" w:sz="4" w:space="0" w:color="auto"/>
                    <w:right w:val="single" w:sz="4" w:space="0" w:color="auto"/>
                  </w:tcBorders>
                </w:tcPr>
                <w:p>
                  <w:pPr>
                    <w:jc w:val="both"/>
                    <w:rPr>
                      <w:rFonts w:cs="Arial"/>
                      <w:bCs/>
                      <w:sz w:val="20"/>
                    </w:rPr>
                  </w:pPr>
                  <w:r>
                    <w:rPr>
                      <w:rFonts w:cs="Arial"/>
                      <w:bCs/>
                      <w:sz w:val="20"/>
                    </w:rPr>
                    <w:sym w:font="Wingdings" w:char="F028"/>
                  </w:r>
                  <w:r>
                    <w:rPr>
                      <w:rFonts w:cs="Arial"/>
                      <w:bCs/>
                      <w:sz w:val="20"/>
                    </w:rPr>
                    <w:t xml:space="preserve">:                                                     </w:t>
                  </w:r>
                  <w:r>
                    <w:rPr>
                      <w:rFonts w:cs="Arial"/>
                      <w:bCs/>
                      <w:sz w:val="20"/>
                    </w:rPr>
                    <w:sym w:font="Wingdings" w:char="F03A"/>
                  </w:r>
                  <w:r>
                    <w:rPr>
                      <w:rFonts w:cs="Arial"/>
                      <w:bCs/>
                      <w:sz w:val="20"/>
                    </w:rPr>
                    <w:t>:</w:t>
                  </w:r>
                </w:p>
              </w:tc>
            </w:tr>
          </w:tbl>
          <w:p>
            <w:pPr>
              <w:jc w:val="both"/>
              <w:rPr>
                <w:rFonts w:cs="Arial"/>
                <w:sz w:val="20"/>
                <w:szCs w:val="22"/>
              </w:rPr>
            </w:pPr>
          </w:p>
        </w:tc>
      </w:tr>
      <w:tr>
        <w:tc>
          <w:tcPr>
            <w:tcW w:w="10008" w:type="dxa"/>
            <w:tcBorders>
              <w:top w:val="single" w:sz="4" w:space="0" w:color="auto"/>
              <w:left w:val="single" w:sz="4" w:space="0" w:color="auto"/>
              <w:bottom w:val="single" w:sz="4" w:space="0" w:color="auto"/>
              <w:right w:val="single" w:sz="4" w:space="0" w:color="auto"/>
            </w:tcBorders>
          </w:tcPr>
          <w:p>
            <w:pPr>
              <w:jc w:val="both"/>
              <w:rPr>
                <w:rFonts w:cs="Arial"/>
                <w:b/>
                <w:sz w:val="20"/>
              </w:rPr>
            </w:pPr>
          </w:p>
          <w:p>
            <w:pPr>
              <w:jc w:val="both"/>
              <w:rPr>
                <w:rFonts w:cs="Arial"/>
                <w:b/>
                <w:sz w:val="20"/>
              </w:rPr>
            </w:pPr>
            <w:r>
              <w:rPr>
                <w:rFonts w:cs="Arial"/>
                <w:b/>
                <w:sz w:val="20"/>
                <w:szCs w:val="22"/>
              </w:rPr>
              <w:t>Documents utiles et/ou nécessaires au traitement de la demande</w:t>
            </w:r>
            <w:r>
              <w:rPr>
                <w:rFonts w:cs="Arial"/>
                <w:b/>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8"/>
              <w:gridCol w:w="4889"/>
            </w:tblGrid>
            <w:tr>
              <w:tc>
                <w:tcPr>
                  <w:tcW w:w="4888" w:type="dxa"/>
                  <w:shd w:val="clear" w:color="auto" w:fill="F3F3F3"/>
                </w:tcPr>
                <w:p>
                  <w:pPr>
                    <w:jc w:val="both"/>
                    <w:rPr>
                      <w:rFonts w:cs="Arial"/>
                      <w:b/>
                      <w:sz w:val="20"/>
                    </w:rPr>
                  </w:pPr>
                  <w:r>
                    <w:rPr>
                      <w:rFonts w:cs="Arial"/>
                      <w:b/>
                      <w:sz w:val="20"/>
                    </w:rPr>
                    <w:t>Enseignement primaire:</w:t>
                  </w:r>
                </w:p>
              </w:tc>
              <w:tc>
                <w:tcPr>
                  <w:tcW w:w="4889" w:type="dxa"/>
                  <w:shd w:val="clear" w:color="auto" w:fill="F3F3F3"/>
                </w:tcPr>
                <w:p>
                  <w:pPr>
                    <w:jc w:val="both"/>
                    <w:rPr>
                      <w:rFonts w:cs="Arial"/>
                      <w:b/>
                      <w:sz w:val="20"/>
                    </w:rPr>
                  </w:pPr>
                  <w:r>
                    <w:rPr>
                      <w:rFonts w:cs="Arial"/>
                      <w:b/>
                      <w:sz w:val="20"/>
                    </w:rPr>
                    <w:t>Enseignement secondaire:</w:t>
                  </w:r>
                </w:p>
              </w:tc>
            </w:tr>
            <w:tr>
              <w:tc>
                <w:tcPr>
                  <w:tcW w:w="4888" w:type="dxa"/>
                </w:tcPr>
                <w:p>
                  <w:pPr>
                    <w:jc w:val="both"/>
                    <w:rPr>
                      <w:rFonts w:cs="Arial"/>
                      <w:b/>
                      <w:sz w:val="20"/>
                      <w:szCs w:val="22"/>
                    </w:rPr>
                  </w:pPr>
                  <w:r>
                    <w:rPr>
                      <w:rFonts w:cs="Arial"/>
                      <w:b/>
                      <w:sz w:val="20"/>
                      <w:szCs w:val="22"/>
                    </w:rPr>
                    <w:t xml:space="preserve">□ </w:t>
                  </w:r>
                  <w:r>
                    <w:rPr>
                      <w:rFonts w:cs="Arial"/>
                      <w:sz w:val="20"/>
                      <w:szCs w:val="22"/>
                    </w:rPr>
                    <w:t>lettre de motivation</w:t>
                  </w:r>
                </w:p>
              </w:tc>
              <w:tc>
                <w:tcPr>
                  <w:tcW w:w="4889" w:type="dxa"/>
                </w:tcPr>
                <w:p>
                  <w:pPr>
                    <w:jc w:val="both"/>
                    <w:rPr>
                      <w:rFonts w:cs="Arial"/>
                      <w:b/>
                      <w:sz w:val="20"/>
                      <w:szCs w:val="22"/>
                    </w:rPr>
                  </w:pPr>
                  <w:r>
                    <w:rPr>
                      <w:rFonts w:cs="Arial"/>
                      <w:b/>
                      <w:sz w:val="20"/>
                      <w:szCs w:val="22"/>
                    </w:rPr>
                    <w:t xml:space="preserve">□ </w:t>
                  </w:r>
                  <w:r>
                    <w:rPr>
                      <w:rFonts w:cs="Arial"/>
                      <w:sz w:val="20"/>
                      <w:szCs w:val="22"/>
                    </w:rPr>
                    <w:t>lettre de motivation</w:t>
                  </w:r>
                </w:p>
              </w:tc>
            </w:tr>
            <w:tr>
              <w:tc>
                <w:tcPr>
                  <w:tcW w:w="4888" w:type="dxa"/>
                </w:tcPr>
                <w:p>
                  <w:pPr>
                    <w:jc w:val="both"/>
                    <w:rPr>
                      <w:rFonts w:cs="Arial"/>
                      <w:sz w:val="20"/>
                      <w:szCs w:val="22"/>
                    </w:rPr>
                  </w:pPr>
                  <w:r>
                    <w:rPr>
                      <w:rFonts w:cs="Arial"/>
                      <w:sz w:val="20"/>
                      <w:szCs w:val="22"/>
                    </w:rPr>
                    <w:t>□ avis PMS</w:t>
                  </w:r>
                </w:p>
              </w:tc>
              <w:tc>
                <w:tcPr>
                  <w:tcW w:w="4889" w:type="dxa"/>
                </w:tcPr>
                <w:p>
                  <w:pPr>
                    <w:jc w:val="both"/>
                    <w:rPr>
                      <w:rFonts w:cs="Arial"/>
                      <w:sz w:val="20"/>
                      <w:szCs w:val="22"/>
                    </w:rPr>
                  </w:pPr>
                  <w:r>
                    <w:rPr>
                      <w:rFonts w:cs="Arial"/>
                      <w:sz w:val="20"/>
                      <w:szCs w:val="22"/>
                    </w:rPr>
                    <w:t>□ avis PMS</w:t>
                  </w:r>
                </w:p>
              </w:tc>
            </w:tr>
            <w:tr>
              <w:tc>
                <w:tcPr>
                  <w:tcW w:w="4888" w:type="dxa"/>
                </w:tcPr>
                <w:p>
                  <w:pPr>
                    <w:jc w:val="both"/>
                    <w:rPr>
                      <w:rFonts w:cs="Arial"/>
                      <w:sz w:val="20"/>
                      <w:szCs w:val="22"/>
                    </w:rPr>
                  </w:pPr>
                  <w:r>
                    <w:rPr>
                      <w:rFonts w:cs="Arial"/>
                      <w:sz w:val="20"/>
                      <w:szCs w:val="22"/>
                    </w:rPr>
                    <w:t>□ avis du titulaire de classe et de la direction</w:t>
                  </w:r>
                </w:p>
              </w:tc>
              <w:tc>
                <w:tcPr>
                  <w:tcW w:w="4889" w:type="dxa"/>
                </w:tcPr>
                <w:p>
                  <w:pPr>
                    <w:jc w:val="both"/>
                    <w:rPr>
                      <w:rFonts w:cs="Arial"/>
                      <w:sz w:val="20"/>
                      <w:szCs w:val="22"/>
                    </w:rPr>
                  </w:pPr>
                  <w:r>
                    <w:rPr>
                      <w:rFonts w:cs="Arial"/>
                      <w:sz w:val="20"/>
                      <w:szCs w:val="22"/>
                    </w:rPr>
                    <w:t>□ avis du conseil de classe</w:t>
                  </w:r>
                </w:p>
              </w:tc>
            </w:tr>
          </w:tbl>
          <w:p>
            <w:pPr>
              <w:jc w:val="both"/>
              <w:rPr>
                <w:rFonts w:cs="Arial"/>
                <w:b/>
                <w:sz w:val="20"/>
                <w:szCs w:val="22"/>
              </w:rPr>
            </w:pPr>
          </w:p>
          <w:p>
            <w:pPr>
              <w:jc w:val="both"/>
              <w:rPr>
                <w:rFonts w:cs="Arial"/>
                <w:i/>
                <w:sz w:val="20"/>
                <w:szCs w:val="22"/>
              </w:rPr>
            </w:pPr>
            <w:r>
              <w:rPr>
                <w:rFonts w:cs="Arial"/>
                <w:i/>
                <w:sz w:val="20"/>
                <w:szCs w:val="22"/>
              </w:rPr>
              <w:t xml:space="preserve">□ éventuellement </w:t>
            </w:r>
            <w:r>
              <w:rPr>
                <w:rFonts w:cs="Arial"/>
                <w:sz w:val="20"/>
                <w:szCs w:val="22"/>
              </w:rPr>
              <w:t>avis de l’école spécialisée contactée</w:t>
            </w:r>
          </w:p>
          <w:p>
            <w:pPr>
              <w:jc w:val="both"/>
              <w:rPr>
                <w:rFonts w:cs="Arial"/>
                <w:b/>
                <w:sz w:val="20"/>
              </w:rPr>
            </w:pPr>
            <w:r>
              <w:rPr>
                <w:rFonts w:cs="Arial"/>
                <w:sz w:val="20"/>
                <w:szCs w:val="22"/>
              </w:rPr>
              <w:t>------------------------------------------------------------------------------------------------------------------------------------</w:t>
            </w:r>
          </w:p>
          <w:p>
            <w:pPr>
              <w:jc w:val="both"/>
              <w:rPr>
                <w:rFonts w:cs="Arial"/>
                <w:b/>
                <w:sz w:val="20"/>
              </w:rPr>
            </w:pPr>
            <w:r>
              <w:rPr>
                <w:rFonts w:cs="Arial"/>
                <w:b/>
                <w:sz w:val="20"/>
              </w:rPr>
              <w:t>DATE:                                                                           SIGNATURE:</w:t>
            </w:r>
          </w:p>
          <w:p>
            <w:pPr>
              <w:jc w:val="both"/>
              <w:rPr>
                <w:rFonts w:cs="Arial"/>
                <w:b/>
                <w:sz w:val="20"/>
              </w:rPr>
            </w:pPr>
          </w:p>
        </w:tc>
      </w:tr>
      <w:tr>
        <w:tc>
          <w:tcPr>
            <w:tcW w:w="10008" w:type="dxa"/>
            <w:tcBorders>
              <w:top w:val="single" w:sz="4" w:space="0" w:color="auto"/>
              <w:left w:val="single" w:sz="4" w:space="0" w:color="auto"/>
              <w:bottom w:val="single" w:sz="4" w:space="0" w:color="auto"/>
              <w:right w:val="single" w:sz="4" w:space="0" w:color="auto"/>
            </w:tcBorders>
            <w:shd w:val="clear" w:color="auto" w:fill="auto"/>
          </w:tcPr>
          <w:p>
            <w:pPr>
              <w:jc w:val="center"/>
              <w:rPr>
                <w:rFonts w:cs="Arial"/>
                <w:sz w:val="20"/>
              </w:rPr>
            </w:pPr>
            <w:r>
              <w:rPr>
                <w:rFonts w:cs="Arial"/>
                <w:b/>
                <w:sz w:val="20"/>
                <w:szCs w:val="22"/>
              </w:rPr>
              <w:t>Formulaire de demande d’avis à adresser</w:t>
            </w:r>
            <w:r>
              <w:rPr>
                <w:rFonts w:cs="Arial"/>
                <w:sz w:val="20"/>
              </w:rPr>
              <w:t>:</w:t>
            </w:r>
          </w:p>
          <w:p>
            <w:pPr>
              <w:jc w:val="center"/>
              <w:rPr>
                <w:rFonts w:cs="Arial"/>
                <w:sz w:val="20"/>
              </w:rPr>
            </w:pPr>
            <w:r>
              <w:rPr>
                <w:rFonts w:cs="Arial"/>
                <w:sz w:val="20"/>
              </w:rPr>
              <w:t>Direction générale de l’Enseignement obligatoire</w:t>
            </w:r>
          </w:p>
          <w:p>
            <w:pPr>
              <w:jc w:val="center"/>
              <w:rPr>
                <w:rFonts w:cs="Arial"/>
                <w:sz w:val="20"/>
              </w:rPr>
            </w:pPr>
            <w:r>
              <w:rPr>
                <w:rFonts w:cs="Arial"/>
                <w:sz w:val="20"/>
              </w:rPr>
              <w:t xml:space="preserve">Service de l’enseignement spécialisé </w:t>
            </w:r>
          </w:p>
          <w:p>
            <w:pPr>
              <w:jc w:val="center"/>
              <w:rPr>
                <w:rFonts w:cs="Arial"/>
                <w:sz w:val="20"/>
                <w:szCs w:val="20"/>
                <w:lang w:val="fr-BE"/>
              </w:rPr>
            </w:pPr>
            <w:r>
              <w:rPr>
                <w:rFonts w:cs="Arial"/>
                <w:sz w:val="20"/>
                <w:szCs w:val="20"/>
              </w:rPr>
              <w:t>Madame Nathalie DUJARDIN</w:t>
            </w:r>
          </w:p>
          <w:p>
            <w:pPr>
              <w:jc w:val="center"/>
              <w:rPr>
                <w:rFonts w:cs="Arial"/>
                <w:sz w:val="20"/>
                <w:szCs w:val="20"/>
              </w:rPr>
            </w:pPr>
            <w:r>
              <w:rPr>
                <w:rFonts w:cs="Arial"/>
                <w:sz w:val="20"/>
                <w:szCs w:val="20"/>
              </w:rPr>
              <w:t>Rue Adolphe Lavallée, 1</w:t>
            </w:r>
          </w:p>
          <w:p>
            <w:pPr>
              <w:jc w:val="center"/>
              <w:rPr>
                <w:rFonts w:cs="Arial"/>
                <w:sz w:val="20"/>
                <w:szCs w:val="20"/>
                <w:lang w:val="fr-BE"/>
              </w:rPr>
            </w:pPr>
            <w:r>
              <w:rPr>
                <w:rFonts w:cs="Arial"/>
                <w:sz w:val="20"/>
                <w:szCs w:val="20"/>
              </w:rPr>
              <w:t>Bureau 2 F 246</w:t>
            </w:r>
          </w:p>
          <w:p>
            <w:pPr>
              <w:jc w:val="center"/>
              <w:rPr>
                <w:rFonts w:cs="Arial"/>
                <w:b/>
                <w:sz w:val="20"/>
              </w:rPr>
            </w:pPr>
            <w:r>
              <w:rPr>
                <w:rFonts w:cs="Arial"/>
                <w:sz w:val="20"/>
                <w:szCs w:val="20"/>
              </w:rPr>
              <w:t>1080 Bruxelles</w:t>
            </w:r>
          </w:p>
        </w:tc>
      </w:tr>
    </w:tbl>
    <w:p>
      <w:pPr>
        <w:jc w:val="center"/>
        <w:rPr>
          <w:rFonts w:cs="Arial"/>
          <w:b/>
          <w:sz w:val="20"/>
          <w:szCs w:val="22"/>
          <w:u w:val="single"/>
        </w:rPr>
      </w:pPr>
    </w:p>
    <w:p>
      <w:pPr>
        <w:pStyle w:val="annexe"/>
      </w:pPr>
      <w:r>
        <w:br w:type="page"/>
      </w:r>
      <w:bookmarkStart w:id="2177" w:name="Annexe_31A"/>
      <w:bookmarkStart w:id="2178" w:name="_Toc295913878"/>
      <w:bookmarkStart w:id="2179" w:name="_Toc423420199"/>
      <w:bookmarkStart w:id="2180" w:name="_Toc450645448"/>
      <w:bookmarkStart w:id="2181" w:name="_Toc453942687"/>
      <w:bookmarkStart w:id="2182" w:name="_Toc454888304"/>
      <w:bookmarkStart w:id="2183" w:name="_Toc486241922"/>
      <w:bookmarkEnd w:id="2177"/>
      <w:r>
        <w:t>Annexe 3.1.A.</w:t>
      </w:r>
      <w:bookmarkEnd w:id="2137"/>
      <w:r>
        <w:t xml:space="preserve"> Demande de reconnaissance de Bâtiment annexe: Enseignement  subventionné.</w:t>
      </w:r>
      <w:bookmarkEnd w:id="2178"/>
      <w:bookmarkEnd w:id="2179"/>
      <w:bookmarkEnd w:id="2180"/>
      <w:bookmarkEnd w:id="2181"/>
      <w:bookmarkEnd w:id="2182"/>
      <w:bookmarkEnd w:id="2183"/>
    </w:p>
    <w:p/>
    <w:p>
      <w:pPr>
        <w:jc w:val="right"/>
        <w:rPr>
          <w:b/>
          <w:sz w:val="24"/>
        </w:rPr>
      </w:pPr>
      <w:r>
        <w:rPr>
          <w:b/>
          <w:sz w:val="24"/>
        </w:rPr>
        <w:t>Année scolaire 2017-2018</w:t>
      </w:r>
    </w:p>
    <w:p/>
    <w:p>
      <w:pPr>
        <w:pBdr>
          <w:top w:val="single" w:sz="4" w:space="1" w:color="auto"/>
          <w:left w:val="single" w:sz="4" w:space="4" w:color="auto"/>
          <w:bottom w:val="single" w:sz="4" w:space="1" w:color="auto"/>
          <w:right w:val="single" w:sz="4" w:space="1" w:color="auto"/>
        </w:pBdr>
        <w:rPr>
          <w:b/>
          <w:sz w:val="24"/>
        </w:rPr>
      </w:pPr>
      <w:r>
        <w:rPr>
          <w:b/>
          <w:sz w:val="24"/>
        </w:rPr>
        <w:t>Demande de reconnaissance de Bâtiment annexe – Enseignement subventionné</w:t>
      </w:r>
    </w:p>
    <w:p/>
    <w:p>
      <w:pPr>
        <w:rPr>
          <w:sz w:val="20"/>
          <w:szCs w:val="20"/>
        </w:rPr>
      </w:pPr>
      <w:r>
        <w:rPr>
          <w:b/>
          <w:i/>
          <w:sz w:val="20"/>
          <w:szCs w:val="20"/>
          <w:u w:val="single"/>
        </w:rPr>
        <w:t>A RENVOYER</w:t>
      </w:r>
      <w:r>
        <w:rPr>
          <w:sz w:val="20"/>
          <w:szCs w:val="20"/>
        </w:rPr>
        <w:t xml:space="preserve"> en 2 exemplaires à </w:t>
      </w:r>
      <w:smartTag w:uri="urn:schemas-microsoft-com:office:smarttags" w:element="PersonName">
        <w:smartTagPr>
          <w:attr w:name="ProductID" w:val="la  Direction G￩n￩rale"/>
        </w:smartTagPr>
        <w:r>
          <w:rPr>
            <w:sz w:val="20"/>
            <w:szCs w:val="20"/>
          </w:rPr>
          <w:t xml:space="preserve">la </w:t>
        </w:r>
        <w:r>
          <w:rPr>
            <w:sz w:val="20"/>
            <w:szCs w:val="20"/>
          </w:rPr>
          <w:tab/>
          <w:t>Direction Générale</w:t>
        </w:r>
      </w:smartTag>
      <w:r>
        <w:rPr>
          <w:sz w:val="20"/>
          <w:szCs w:val="20"/>
        </w:rPr>
        <w:t xml:space="preserve"> de l’Enseignement Obligatoire,</w:t>
      </w:r>
    </w:p>
    <w:p>
      <w:pPr>
        <w:rPr>
          <w:sz w:val="20"/>
          <w:szCs w:val="20"/>
        </w:rPr>
      </w:pPr>
      <w:r>
        <w:rPr>
          <w:sz w:val="20"/>
          <w:szCs w:val="20"/>
        </w:rPr>
        <w:tab/>
      </w:r>
      <w:r>
        <w:rPr>
          <w:sz w:val="20"/>
          <w:szCs w:val="20"/>
        </w:rPr>
        <w:tab/>
      </w:r>
      <w:r>
        <w:rPr>
          <w:sz w:val="20"/>
          <w:szCs w:val="20"/>
        </w:rPr>
        <w:tab/>
      </w:r>
      <w:r>
        <w:rPr>
          <w:sz w:val="20"/>
          <w:szCs w:val="20"/>
        </w:rPr>
        <w:tab/>
      </w:r>
      <w:r>
        <w:rPr>
          <w:sz w:val="20"/>
          <w:szCs w:val="20"/>
        </w:rPr>
        <w:tab/>
        <w:t>Rue Adolphe Lavallée, 1 – bureau 2F211</w:t>
      </w:r>
    </w:p>
    <w:p>
      <w:r>
        <w:rPr>
          <w:sz w:val="20"/>
          <w:szCs w:val="20"/>
        </w:rPr>
        <w:tab/>
      </w:r>
      <w:r>
        <w:rPr>
          <w:sz w:val="20"/>
          <w:szCs w:val="20"/>
        </w:rPr>
        <w:tab/>
      </w:r>
      <w:r>
        <w:rPr>
          <w:sz w:val="20"/>
          <w:szCs w:val="20"/>
        </w:rPr>
        <w:tab/>
      </w:r>
      <w:r>
        <w:rPr>
          <w:sz w:val="20"/>
          <w:szCs w:val="20"/>
        </w:rPr>
        <w:tab/>
      </w:r>
      <w:r>
        <w:rPr>
          <w:sz w:val="20"/>
          <w:szCs w:val="20"/>
        </w:rPr>
        <w:tab/>
        <w:t>1080 Bruxelles</w:t>
      </w:r>
    </w:p>
    <w:p/>
    <w:tbl>
      <w:tblPr>
        <w:tblW w:w="9900" w:type="dxa"/>
        <w:tblInd w:w="70" w:type="dxa"/>
        <w:tblLayout w:type="fixed"/>
        <w:tblCellMar>
          <w:left w:w="70" w:type="dxa"/>
          <w:right w:w="70" w:type="dxa"/>
        </w:tblCellMar>
        <w:tblLook w:val="0000" w:firstRow="0" w:lastRow="0" w:firstColumn="0" w:lastColumn="0" w:noHBand="0" w:noVBand="0"/>
      </w:tblPr>
      <w:tblGrid>
        <w:gridCol w:w="1880"/>
        <w:gridCol w:w="1340"/>
        <w:gridCol w:w="3543"/>
        <w:gridCol w:w="3137"/>
      </w:tblGrid>
      <w:tr>
        <w:trPr>
          <w:trHeight w:hRule="exact" w:val="454"/>
        </w:trPr>
        <w:tc>
          <w:tcPr>
            <w:tcW w:w="6763" w:type="dxa"/>
            <w:gridSpan w:val="3"/>
            <w:tcBorders>
              <w:top w:val="single" w:sz="6" w:space="0" w:color="auto"/>
              <w:left w:val="single" w:sz="6" w:space="0" w:color="auto"/>
              <w:right w:val="single" w:sz="6" w:space="0" w:color="auto"/>
            </w:tcBorders>
            <w:vAlign w:val="center"/>
          </w:tcPr>
          <w:p>
            <w:pPr>
              <w:rPr>
                <w:i/>
                <w:sz w:val="16"/>
                <w:lang w:val="nl-BE"/>
              </w:rPr>
            </w:pPr>
            <w:r>
              <w:rPr>
                <w:b/>
                <w:sz w:val="20"/>
                <w:u w:val="single"/>
                <w:lang w:val="nl-BE"/>
              </w:rPr>
              <w:t>Ecole:</w:t>
            </w:r>
            <w:r>
              <w:rPr>
                <w:sz w:val="20"/>
                <w:lang w:val="nl-BE"/>
              </w:rPr>
              <w:t xml:space="preserve">    </w:t>
            </w:r>
          </w:p>
        </w:tc>
        <w:tc>
          <w:tcPr>
            <w:tcW w:w="3137" w:type="dxa"/>
            <w:tcBorders>
              <w:top w:val="single" w:sz="6" w:space="0" w:color="auto"/>
              <w:left w:val="single" w:sz="6" w:space="0" w:color="auto"/>
              <w:right w:val="single" w:sz="6" w:space="0" w:color="auto"/>
            </w:tcBorders>
            <w:vAlign w:val="center"/>
          </w:tcPr>
          <w:p>
            <w:pPr>
              <w:rPr>
                <w:b/>
                <w:lang w:val="nl-BE"/>
              </w:rPr>
            </w:pPr>
            <w:r>
              <w:rPr>
                <w:b/>
                <w:lang w:val="nl-BE"/>
              </w:rPr>
              <w:t xml:space="preserve">N° FASE: </w:t>
            </w:r>
            <w:r>
              <w:rPr>
                <w:b/>
                <w:lang w:val="nl-BE"/>
              </w:rPr>
              <w:tab/>
            </w:r>
            <w:r>
              <w:rPr>
                <w:b/>
                <w:lang w:val="nl-BE"/>
              </w:rPr>
              <w:tab/>
            </w:r>
          </w:p>
        </w:tc>
      </w:tr>
      <w:tr>
        <w:trPr>
          <w:cantSplit/>
          <w:trHeight w:val="360"/>
        </w:trPr>
        <w:tc>
          <w:tcPr>
            <w:tcW w:w="1880" w:type="dxa"/>
            <w:vMerge w:val="restart"/>
            <w:tcBorders>
              <w:top w:val="single" w:sz="6" w:space="0" w:color="auto"/>
              <w:left w:val="single" w:sz="6" w:space="0" w:color="auto"/>
            </w:tcBorders>
            <w:vAlign w:val="center"/>
          </w:tcPr>
          <w:p>
            <w:pPr>
              <w:jc w:val="center"/>
              <w:rPr>
                <w:b/>
                <w:sz w:val="20"/>
                <w:u w:val="single"/>
              </w:rPr>
            </w:pPr>
            <w:r>
              <w:rPr>
                <w:b/>
                <w:sz w:val="20"/>
                <w:u w:val="single"/>
              </w:rPr>
              <w:t>Siège administratif de l'école:</w:t>
            </w:r>
          </w:p>
        </w:tc>
        <w:tc>
          <w:tcPr>
            <w:tcW w:w="8020" w:type="dxa"/>
            <w:gridSpan w:val="3"/>
            <w:tcBorders>
              <w:top w:val="single" w:sz="6" w:space="0" w:color="auto"/>
              <w:left w:val="single" w:sz="6" w:space="0" w:color="auto"/>
              <w:bottom w:val="single" w:sz="4" w:space="0" w:color="auto"/>
              <w:right w:val="single" w:sz="6" w:space="0" w:color="auto"/>
            </w:tcBorders>
            <w:vAlign w:val="center"/>
          </w:tcPr>
          <w:p>
            <w:pPr>
              <w:rPr>
                <w:sz w:val="20"/>
              </w:rPr>
            </w:pPr>
            <w:r>
              <w:rPr>
                <w:sz w:val="20"/>
              </w:rPr>
              <w:t xml:space="preserve">Rue + n°:  </w:t>
            </w:r>
          </w:p>
        </w:tc>
      </w:tr>
      <w:tr>
        <w:trPr>
          <w:cantSplit/>
          <w:trHeight w:hRule="exact" w:val="369"/>
        </w:trPr>
        <w:tc>
          <w:tcPr>
            <w:tcW w:w="1880" w:type="dxa"/>
            <w:vMerge/>
            <w:tcBorders>
              <w:left w:val="single" w:sz="6" w:space="0" w:color="auto"/>
              <w:bottom w:val="single" w:sz="6" w:space="0" w:color="auto"/>
            </w:tcBorders>
          </w:tcPr>
          <w:p>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pPr>
              <w:rPr>
                <w:sz w:val="20"/>
              </w:rPr>
            </w:pPr>
            <w:r>
              <w:rPr>
                <w:sz w:val="20"/>
              </w:rPr>
              <w:t>CP:</w:t>
            </w:r>
          </w:p>
        </w:tc>
        <w:tc>
          <w:tcPr>
            <w:tcW w:w="6680" w:type="dxa"/>
            <w:gridSpan w:val="2"/>
            <w:tcBorders>
              <w:top w:val="single" w:sz="4" w:space="0" w:color="auto"/>
              <w:left w:val="single" w:sz="4" w:space="0" w:color="auto"/>
              <w:bottom w:val="single" w:sz="6" w:space="0" w:color="auto"/>
              <w:right w:val="single" w:sz="6" w:space="0" w:color="auto"/>
            </w:tcBorders>
            <w:vAlign w:val="center"/>
          </w:tcPr>
          <w:p>
            <w:pPr>
              <w:rPr>
                <w:sz w:val="20"/>
              </w:rPr>
            </w:pPr>
            <w:r>
              <w:rPr>
                <w:sz w:val="20"/>
              </w:rPr>
              <w:t>Localité:</w:t>
            </w:r>
          </w:p>
        </w:tc>
      </w:tr>
      <w:tr>
        <w:trPr>
          <w:trHeight w:val="200"/>
        </w:trPr>
        <w:tc>
          <w:tcPr>
            <w:tcW w:w="9900" w:type="dxa"/>
            <w:gridSpan w:val="4"/>
            <w:tcBorders>
              <w:top w:val="single" w:sz="6" w:space="0" w:color="auto"/>
            </w:tcBorders>
          </w:tcPr>
          <w:p>
            <w:pPr>
              <w:rPr>
                <w:sz w:val="20"/>
              </w:rPr>
            </w:pPr>
          </w:p>
        </w:tc>
      </w:tr>
      <w:tr>
        <w:trPr>
          <w:trHeight w:val="200"/>
        </w:trPr>
        <w:tc>
          <w:tcPr>
            <w:tcW w:w="9900" w:type="dxa"/>
            <w:gridSpan w:val="4"/>
            <w:tcBorders>
              <w:bottom w:val="single" w:sz="6" w:space="0" w:color="auto"/>
            </w:tcBorders>
          </w:tcPr>
          <w:p>
            <w:pPr>
              <w:rPr>
                <w:b/>
                <w:sz w:val="20"/>
                <w:u w:val="single"/>
              </w:rPr>
            </w:pPr>
            <w:r>
              <w:rPr>
                <w:b/>
                <w:sz w:val="20"/>
                <w:u w:val="single"/>
              </w:rPr>
              <w:t xml:space="preserve">Implantation à laquelle le bâtiment annexe sera attaché </w:t>
            </w:r>
          </w:p>
        </w:tc>
      </w:tr>
      <w:tr>
        <w:trPr>
          <w:trHeight w:val="438"/>
        </w:trPr>
        <w:tc>
          <w:tcPr>
            <w:tcW w:w="1880" w:type="dxa"/>
            <w:tcBorders>
              <w:top w:val="single" w:sz="6" w:space="0" w:color="auto"/>
              <w:left w:val="single" w:sz="6" w:space="0" w:color="auto"/>
            </w:tcBorders>
          </w:tcPr>
          <w:p>
            <w:pPr>
              <w:rPr>
                <w:b/>
                <w:sz w:val="20"/>
                <w:u w:val="single"/>
              </w:rPr>
            </w:pPr>
            <w:r>
              <w:rPr>
                <w:b/>
                <w:sz w:val="20"/>
              </w:rPr>
              <w:t>N° FASE</w:t>
            </w:r>
            <w:r>
              <w:rPr>
                <w:sz w:val="20"/>
              </w:rPr>
              <w:t>:</w:t>
            </w:r>
            <w:r>
              <w:rPr>
                <w:b/>
                <w:sz w:val="20"/>
                <w:u w:val="single"/>
              </w:rPr>
              <w:t xml:space="preserve"> </w:t>
            </w:r>
          </w:p>
        </w:tc>
        <w:tc>
          <w:tcPr>
            <w:tcW w:w="8020" w:type="dxa"/>
            <w:gridSpan w:val="3"/>
            <w:tcBorders>
              <w:top w:val="single" w:sz="6" w:space="0" w:color="auto"/>
              <w:left w:val="single" w:sz="6" w:space="0" w:color="auto"/>
              <w:bottom w:val="single" w:sz="4" w:space="0" w:color="auto"/>
              <w:right w:val="single" w:sz="6" w:space="0" w:color="auto"/>
            </w:tcBorders>
          </w:tcPr>
          <w:p>
            <w:pPr>
              <w:rPr>
                <w:sz w:val="20"/>
              </w:rPr>
            </w:pPr>
            <w:r>
              <w:rPr>
                <w:sz w:val="20"/>
              </w:rPr>
              <w:t xml:space="preserve">Adresse:   </w:t>
            </w:r>
          </w:p>
        </w:tc>
      </w:tr>
      <w:tr>
        <w:trPr>
          <w:trHeight w:val="200"/>
        </w:trPr>
        <w:tc>
          <w:tcPr>
            <w:tcW w:w="9900" w:type="dxa"/>
            <w:gridSpan w:val="4"/>
            <w:tcBorders>
              <w:top w:val="single" w:sz="6" w:space="0" w:color="auto"/>
            </w:tcBorders>
          </w:tcPr>
          <w:p>
            <w:pPr>
              <w:rPr>
                <w:sz w:val="20"/>
              </w:rPr>
            </w:pPr>
          </w:p>
        </w:tc>
      </w:tr>
    </w:tbl>
    <w:p>
      <w:r>
        <w:rPr>
          <w:b/>
          <w:sz w:val="20"/>
          <w:u w:val="single"/>
        </w:rPr>
        <w:t>Bâtiment annexe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6"/>
        <w:gridCol w:w="4958"/>
        <w:gridCol w:w="1592"/>
      </w:tblGrid>
      <w:tr>
        <w:trPr>
          <w:trHeight w:val="657"/>
        </w:trPr>
        <w:tc>
          <w:tcPr>
            <w:tcW w:w="3227" w:type="dxa"/>
          </w:tcPr>
          <w:p>
            <w:pPr>
              <w:spacing w:before="120" w:after="120"/>
              <w:rPr>
                <w:b/>
                <w:bCs/>
              </w:rPr>
            </w:pPr>
            <w:r>
              <w:rPr>
                <w:b/>
                <w:bCs/>
              </w:rPr>
              <w:t>Adresse complète </w:t>
            </w:r>
          </w:p>
        </w:tc>
        <w:tc>
          <w:tcPr>
            <w:tcW w:w="6673" w:type="dxa"/>
            <w:gridSpan w:val="2"/>
          </w:tcPr>
          <w:p>
            <w:pPr>
              <w:spacing w:before="120" w:after="120"/>
              <w:rPr>
                <w:b/>
                <w:bCs/>
                <w:sz w:val="20"/>
              </w:rPr>
            </w:pPr>
            <w:r>
              <w:rPr>
                <w:b/>
                <w:bCs/>
                <w:sz w:val="20"/>
              </w:rPr>
              <w:t xml:space="preserve">Rue + n°:  </w:t>
            </w:r>
          </w:p>
          <w:p>
            <w:pPr>
              <w:spacing w:before="120" w:after="120"/>
              <w:rPr>
                <w:b/>
                <w:bCs/>
              </w:rPr>
            </w:pPr>
            <w:r>
              <w:rPr>
                <w:b/>
                <w:bCs/>
              </w:rPr>
              <w:t xml:space="preserve">CP + Localité: </w:t>
            </w:r>
          </w:p>
        </w:tc>
      </w:tr>
      <w:tr>
        <w:tc>
          <w:tcPr>
            <w:tcW w:w="3227" w:type="dxa"/>
          </w:tcPr>
          <w:p>
            <w:pPr>
              <w:spacing w:before="120" w:after="120"/>
              <w:rPr>
                <w:b/>
                <w:bCs/>
              </w:rPr>
            </w:pPr>
            <w:r>
              <w:rPr>
                <w:b/>
                <w:bCs/>
              </w:rPr>
              <w:t>Niveau d’enseignement </w:t>
            </w:r>
          </w:p>
        </w:tc>
        <w:tc>
          <w:tcPr>
            <w:tcW w:w="6673" w:type="dxa"/>
            <w:gridSpan w:val="2"/>
          </w:tcPr>
          <w:p>
            <w:pPr>
              <w:spacing w:before="120" w:after="120"/>
              <w:rPr>
                <w:b/>
                <w:bCs/>
              </w:rPr>
            </w:pPr>
            <w:r>
              <w:rPr>
                <w:b/>
                <w:bCs/>
              </w:rPr>
              <w:t>maternel – primaire – fondamental</w:t>
            </w:r>
          </w:p>
        </w:tc>
      </w:tr>
      <w:tr>
        <w:tc>
          <w:tcPr>
            <w:tcW w:w="3227" w:type="dxa"/>
          </w:tcPr>
          <w:p>
            <w:pPr>
              <w:spacing w:before="120" w:after="120"/>
              <w:rPr>
                <w:b/>
                <w:bCs/>
              </w:rPr>
            </w:pPr>
            <w:r>
              <w:rPr>
                <w:b/>
                <w:bCs/>
              </w:rPr>
              <w:t>Années d’études concernées </w:t>
            </w:r>
          </w:p>
        </w:tc>
        <w:tc>
          <w:tcPr>
            <w:tcW w:w="6673" w:type="dxa"/>
            <w:gridSpan w:val="2"/>
          </w:tcPr>
          <w:p>
            <w:pPr>
              <w:spacing w:before="120" w:after="120"/>
              <w:rPr>
                <w:b/>
                <w:bCs/>
              </w:rPr>
            </w:pPr>
            <w:r>
              <w:rPr>
                <w:b/>
                <w:bCs/>
              </w:rPr>
              <w:t xml:space="preserve">M1-M2-M3 </w:t>
            </w:r>
            <w:r>
              <w:rPr>
                <w:rFonts w:cs="Arial"/>
                <w:b/>
                <w:bCs/>
              </w:rPr>
              <w:t>▬</w:t>
            </w:r>
            <w:r>
              <w:rPr>
                <w:b/>
                <w:bCs/>
              </w:rPr>
              <w:t xml:space="preserve"> P1-P2-P3-P4-P5-P6</w:t>
            </w:r>
          </w:p>
        </w:tc>
      </w:tr>
      <w:tr>
        <w:tc>
          <w:tcPr>
            <w:tcW w:w="8280" w:type="dxa"/>
            <w:gridSpan w:val="2"/>
          </w:tcPr>
          <w:p>
            <w:pPr>
              <w:spacing w:before="120" w:after="120"/>
              <w:rPr>
                <w:b/>
                <w:bCs/>
              </w:rPr>
            </w:pPr>
            <w:r>
              <w:rPr>
                <w:b/>
                <w:bCs/>
              </w:rPr>
              <w:t>Distance* entre le bâtiment annexe et l’implantation à laquelle il est attaché:</w:t>
            </w:r>
            <w:r>
              <w:rPr>
                <w:b/>
                <w:bCs/>
              </w:rPr>
              <w:br/>
              <w:t>*</w:t>
            </w:r>
            <w:r>
              <w:rPr>
                <w:rFonts w:ascii="Arial Narrow" w:hAnsi="Arial Narrow" w:cs="Tahoma"/>
                <w:b/>
                <w:bCs/>
                <w:i/>
                <w:sz w:val="16"/>
                <w:szCs w:val="16"/>
              </w:rPr>
              <w:t>Distance mesurée par la route, à l’exception des autoroutes, sans qu’il soit tenu compte des déviations ou de sens uniques</w:t>
            </w:r>
          </w:p>
        </w:tc>
        <w:tc>
          <w:tcPr>
            <w:tcW w:w="1620" w:type="dxa"/>
          </w:tcPr>
          <w:p>
            <w:pPr>
              <w:spacing w:before="120" w:after="120"/>
              <w:rPr>
                <w:b/>
                <w:bCs/>
              </w:rPr>
            </w:pPr>
          </w:p>
        </w:tc>
      </w:tr>
    </w:tbl>
    <w:p/>
    <w:p>
      <w:r>
        <w:rPr>
          <w:b/>
          <w:sz w:val="20"/>
          <w:u w:val="single"/>
        </w:rPr>
        <w:t>Justification motivée de la demande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tc>
          <w:tcPr>
            <w:tcW w:w="9897" w:type="dxa"/>
          </w:tcPr>
          <w:p>
            <w:pPr>
              <w:spacing w:before="120" w:after="120"/>
              <w:rPr>
                <w:b/>
                <w:bCs/>
                <w:i/>
                <w:sz w:val="20"/>
                <w:szCs w:val="20"/>
              </w:rPr>
            </w:pPr>
            <w:r>
              <w:rPr>
                <w:b/>
                <w:bCs/>
                <w:i/>
                <w:sz w:val="20"/>
                <w:szCs w:val="20"/>
              </w:rPr>
              <w:t>A compléter ci-dessous ou joindre une note séparée</w:t>
            </w:r>
          </w:p>
          <w:p>
            <w:pPr>
              <w:spacing w:before="120" w:after="120"/>
              <w:rPr>
                <w:b/>
                <w:bCs/>
              </w:rPr>
            </w:pPr>
          </w:p>
          <w:p>
            <w:pPr>
              <w:spacing w:before="120" w:after="120"/>
              <w:rPr>
                <w:b/>
                <w:bCs/>
              </w:rPr>
            </w:pPr>
          </w:p>
          <w:p>
            <w:pPr>
              <w:spacing w:before="120" w:after="120"/>
              <w:rPr>
                <w:b/>
                <w:bCs/>
              </w:rPr>
            </w:pPr>
          </w:p>
        </w:tc>
      </w:tr>
    </w:tbl>
    <w:p/>
    <w:p>
      <w:pPr>
        <w:jc w:val="center"/>
        <w:rPr>
          <w:b/>
          <w:sz w:val="20"/>
          <w:szCs w:val="20"/>
        </w:rPr>
      </w:pPr>
      <w:r>
        <w:rPr>
          <w:b/>
          <w:sz w:val="20"/>
          <w:szCs w:val="20"/>
          <w:u w:val="single"/>
        </w:rPr>
        <w:t>DÉCLARATION DU POUVOIR ORGANISATEUR</w:t>
      </w:r>
      <w:r>
        <w:rPr>
          <w:b/>
          <w:sz w:val="20"/>
          <w:szCs w:val="20"/>
          <w:u w:val="single"/>
          <w:bdr w:val="single" w:sz="12" w:space="0" w:color="auto"/>
        </w:rPr>
        <w:t xml:space="preserve">  </w:t>
      </w:r>
      <w:r>
        <w:rPr>
          <w:b/>
          <w:sz w:val="20"/>
          <w:szCs w:val="20"/>
          <w:u w:val="single"/>
        </w:rPr>
        <w:br/>
      </w:r>
    </w:p>
    <w:p>
      <w:pPr>
        <w:jc w:val="both"/>
        <w:rPr>
          <w:sz w:val="20"/>
          <w:szCs w:val="20"/>
        </w:rPr>
      </w:pPr>
      <w:r>
        <w:rPr>
          <w:sz w:val="20"/>
          <w:szCs w:val="20"/>
        </w:rPr>
        <w:t>Le Pouvoir organisateur affirme sur l’honneur que le bâtiment annexe susvisé répond aux conditions de salubrité et d’hygiène des locaux, prévues par l’art. 24§2, 6° de la loi du 29/05/1959.</w:t>
      </w:r>
    </w:p>
    <w:p>
      <w:pPr>
        <w:rPr>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5"/>
        <w:gridCol w:w="4911"/>
      </w:tblGrid>
      <w:tr>
        <w:tc>
          <w:tcPr>
            <w:tcW w:w="5002" w:type="dxa"/>
          </w:tcPr>
          <w:p>
            <w:pPr>
              <w:rPr>
                <w:b/>
                <w:i/>
                <w:sz w:val="20"/>
                <w:szCs w:val="20"/>
              </w:rPr>
            </w:pPr>
            <w:bookmarkStart w:id="2184" w:name="_Annexe_3.1.B"/>
            <w:bookmarkStart w:id="2185" w:name="_Toc295913879"/>
            <w:bookmarkEnd w:id="2184"/>
            <w:r>
              <w:rPr>
                <w:b/>
                <w:i/>
                <w:sz w:val="20"/>
                <w:szCs w:val="20"/>
              </w:rPr>
              <w:t xml:space="preserve">Le Directeur / </w:t>
            </w:r>
            <w:smartTag w:uri="urn:schemas-microsoft-com:office:smarttags" w:element="PersonName">
              <w:smartTagPr>
                <w:attr w:name="ProductID" w:val="la Directrice"/>
              </w:smartTagPr>
              <w:r>
                <w:rPr>
                  <w:b/>
                  <w:i/>
                  <w:sz w:val="20"/>
                  <w:szCs w:val="20"/>
                </w:rPr>
                <w:t>La Directrice</w:t>
              </w:r>
            </w:smartTag>
            <w:r>
              <w:rPr>
                <w:b/>
                <w:i/>
                <w:sz w:val="20"/>
                <w:szCs w:val="20"/>
              </w:rPr>
              <w:t xml:space="preserve"> d’école:</w:t>
            </w:r>
            <w:bookmarkEnd w:id="2185"/>
          </w:p>
          <w:p>
            <w:r>
              <w:t>Date:</w:t>
            </w:r>
          </w:p>
          <w:p>
            <w:r>
              <w:t>Signature:</w:t>
            </w:r>
          </w:p>
          <w:p/>
          <w:p/>
          <w:p>
            <w:r>
              <w:t>Nom (en majuscule)</w:t>
            </w:r>
          </w:p>
        </w:tc>
        <w:tc>
          <w:tcPr>
            <w:tcW w:w="5003" w:type="dxa"/>
          </w:tcPr>
          <w:p>
            <w:pPr>
              <w:rPr>
                <w:b/>
                <w:i/>
                <w:sz w:val="20"/>
                <w:szCs w:val="20"/>
              </w:rPr>
            </w:pPr>
            <w:bookmarkStart w:id="2186" w:name="_Toc295913880"/>
            <w:r>
              <w:rPr>
                <w:b/>
                <w:i/>
                <w:sz w:val="20"/>
                <w:szCs w:val="20"/>
              </w:rPr>
              <w:t>Le Pouvoir organisateur:</w:t>
            </w:r>
            <w:bookmarkEnd w:id="2186"/>
          </w:p>
          <w:p>
            <w:r>
              <w:t>Date:</w:t>
            </w:r>
          </w:p>
          <w:p>
            <w:r>
              <w:t>Signature:</w:t>
            </w:r>
          </w:p>
          <w:p/>
          <w:p/>
          <w:p>
            <w:pPr>
              <w:rPr>
                <w:b/>
                <w:i/>
                <w:sz w:val="20"/>
                <w:szCs w:val="20"/>
              </w:rPr>
            </w:pPr>
            <w:bookmarkStart w:id="2187" w:name="_Toc295913881"/>
            <w:r>
              <w:rPr>
                <w:b/>
                <w:i/>
                <w:sz w:val="20"/>
                <w:szCs w:val="20"/>
              </w:rPr>
              <w:t>Nom (en majuscule)</w:t>
            </w:r>
            <w:bookmarkEnd w:id="2187"/>
          </w:p>
        </w:tc>
      </w:tr>
    </w:tbl>
    <w:p>
      <w:pPr>
        <w:pStyle w:val="annexe"/>
      </w:pPr>
      <w:r>
        <w:br w:type="page"/>
      </w:r>
      <w:bookmarkStart w:id="2188" w:name="Annexe_31B"/>
      <w:bookmarkStart w:id="2189" w:name="_Toc265141678"/>
      <w:bookmarkStart w:id="2190" w:name="_Toc295913882"/>
      <w:bookmarkStart w:id="2191" w:name="_Toc423420200"/>
      <w:bookmarkStart w:id="2192" w:name="_Toc450645449"/>
      <w:bookmarkStart w:id="2193" w:name="_Toc453942688"/>
      <w:bookmarkStart w:id="2194" w:name="_Toc454888305"/>
      <w:bookmarkStart w:id="2195" w:name="_Toc486241923"/>
      <w:bookmarkEnd w:id="2188"/>
      <w:r>
        <w:t>Annexe 3.1.B</w:t>
      </w:r>
      <w:bookmarkEnd w:id="2189"/>
      <w:r>
        <w:t xml:space="preserve">. Demande de reconnaissance de Bâtiment annexe: Enseignement </w:t>
      </w:r>
      <w:bookmarkEnd w:id="2190"/>
      <w:r>
        <w:t xml:space="preserve">organisé par </w:t>
      </w:r>
      <w:smartTag w:uri="urn:schemas-microsoft-com:office:smarttags" w:element="PersonName">
        <w:smartTagPr>
          <w:attr w:name="ProductID" w:val="la FWB"/>
        </w:smartTagPr>
        <w:r>
          <w:t>la FWB</w:t>
        </w:r>
      </w:smartTag>
      <w:bookmarkEnd w:id="2191"/>
      <w:bookmarkEnd w:id="2192"/>
      <w:bookmarkEnd w:id="2193"/>
      <w:bookmarkEnd w:id="2194"/>
      <w:bookmarkEnd w:id="2195"/>
    </w:p>
    <w:p>
      <w:pPr>
        <w:pStyle w:val="Titre5"/>
        <w:rPr>
          <w:color w:val="auto"/>
        </w:rPr>
      </w:pPr>
    </w:p>
    <w:p>
      <w:pPr>
        <w:tabs>
          <w:tab w:val="left" w:pos="3464"/>
          <w:tab w:val="right" w:pos="9638"/>
        </w:tabs>
        <w:rPr>
          <w:b/>
          <w:sz w:val="24"/>
        </w:rPr>
      </w:pPr>
      <w:r>
        <w:rPr>
          <w:b/>
          <w:sz w:val="24"/>
        </w:rPr>
        <w:tab/>
      </w:r>
      <w:r>
        <w:rPr>
          <w:b/>
          <w:sz w:val="24"/>
        </w:rPr>
        <w:tab/>
        <w:t>Année scolaire 2017-2018</w:t>
      </w:r>
    </w:p>
    <w:p/>
    <w:p>
      <w:pPr>
        <w:pBdr>
          <w:top w:val="single" w:sz="4" w:space="1" w:color="auto"/>
          <w:left w:val="single" w:sz="4" w:space="4" w:color="auto"/>
          <w:bottom w:val="single" w:sz="4" w:space="1" w:color="auto"/>
          <w:right w:val="single" w:sz="4" w:space="1" w:color="auto"/>
        </w:pBdr>
        <w:rPr>
          <w:b/>
          <w:sz w:val="24"/>
        </w:rPr>
      </w:pPr>
      <w:r>
        <w:rPr>
          <w:b/>
          <w:sz w:val="24"/>
        </w:rPr>
        <w:t xml:space="preserve">Demande de reconnaissance de Bâtiment annexe – Enseignement organisé par </w:t>
      </w:r>
      <w:smartTag w:uri="urn:schemas-microsoft-com:office:smarttags" w:element="PersonName">
        <w:smartTagPr>
          <w:attr w:name="ProductID" w:val="la FWB"/>
        </w:smartTagPr>
        <w:r>
          <w:rPr>
            <w:b/>
            <w:sz w:val="24"/>
          </w:rPr>
          <w:t xml:space="preserve">la </w:t>
        </w:r>
        <w:r>
          <w:rPr>
            <w:b/>
            <w:sz w:val="20"/>
            <w:szCs w:val="20"/>
          </w:rPr>
          <w:t>FWB</w:t>
        </w:r>
      </w:smartTag>
    </w:p>
    <w:p/>
    <w:p>
      <w:pPr>
        <w:rPr>
          <w:sz w:val="20"/>
          <w:szCs w:val="20"/>
        </w:rPr>
      </w:pPr>
      <w:r>
        <w:rPr>
          <w:b/>
          <w:i/>
          <w:sz w:val="20"/>
          <w:szCs w:val="20"/>
          <w:u w:val="single"/>
        </w:rPr>
        <w:t>A RENVOYER</w:t>
      </w:r>
      <w:r>
        <w:rPr>
          <w:sz w:val="20"/>
          <w:szCs w:val="20"/>
        </w:rPr>
        <w:t xml:space="preserve"> en 2 exemplaires à </w:t>
      </w:r>
      <w:smartTag w:uri="urn:schemas-microsoft-com:office:smarttags" w:element="PersonName">
        <w:smartTagPr>
          <w:attr w:name="ProductID" w:val="la  Direction G￩n￩rale"/>
        </w:smartTagPr>
        <w:r>
          <w:rPr>
            <w:sz w:val="20"/>
            <w:szCs w:val="20"/>
          </w:rPr>
          <w:t xml:space="preserve">la </w:t>
        </w:r>
        <w:r>
          <w:rPr>
            <w:sz w:val="20"/>
            <w:szCs w:val="20"/>
          </w:rPr>
          <w:tab/>
          <w:t>Direction Générale</w:t>
        </w:r>
      </w:smartTag>
      <w:r>
        <w:rPr>
          <w:sz w:val="20"/>
          <w:szCs w:val="20"/>
        </w:rPr>
        <w:t xml:space="preserve"> de l’Enseignement Obligatoire,</w:t>
      </w:r>
    </w:p>
    <w:p>
      <w:pPr>
        <w:rPr>
          <w:sz w:val="20"/>
          <w:szCs w:val="20"/>
        </w:rPr>
      </w:pPr>
      <w:r>
        <w:rPr>
          <w:sz w:val="20"/>
          <w:szCs w:val="20"/>
        </w:rPr>
        <w:tab/>
      </w:r>
      <w:r>
        <w:rPr>
          <w:sz w:val="20"/>
          <w:szCs w:val="20"/>
        </w:rPr>
        <w:tab/>
      </w:r>
      <w:r>
        <w:rPr>
          <w:sz w:val="20"/>
          <w:szCs w:val="20"/>
        </w:rPr>
        <w:tab/>
      </w:r>
      <w:r>
        <w:rPr>
          <w:sz w:val="20"/>
          <w:szCs w:val="20"/>
        </w:rPr>
        <w:tab/>
      </w:r>
      <w:r>
        <w:rPr>
          <w:sz w:val="20"/>
          <w:szCs w:val="20"/>
        </w:rPr>
        <w:tab/>
        <w:t>Rue Adolphe Lavallée, 1 – bureau 2F211</w:t>
      </w:r>
    </w:p>
    <w:p>
      <w:r>
        <w:rPr>
          <w:sz w:val="20"/>
          <w:szCs w:val="20"/>
        </w:rPr>
        <w:tab/>
      </w:r>
      <w:r>
        <w:rPr>
          <w:sz w:val="20"/>
          <w:szCs w:val="20"/>
        </w:rPr>
        <w:tab/>
      </w:r>
      <w:r>
        <w:rPr>
          <w:sz w:val="20"/>
          <w:szCs w:val="20"/>
        </w:rPr>
        <w:tab/>
      </w:r>
      <w:r>
        <w:rPr>
          <w:sz w:val="20"/>
          <w:szCs w:val="20"/>
        </w:rPr>
        <w:tab/>
      </w:r>
      <w:r>
        <w:rPr>
          <w:sz w:val="20"/>
          <w:szCs w:val="20"/>
        </w:rPr>
        <w:tab/>
        <w:t>1080 Bruxelles</w:t>
      </w:r>
    </w:p>
    <w:p>
      <w:bookmarkStart w:id="2196" w:name="_Toc265141679"/>
    </w:p>
    <w:tbl>
      <w:tblPr>
        <w:tblW w:w="9900" w:type="dxa"/>
        <w:tblInd w:w="70" w:type="dxa"/>
        <w:tblLayout w:type="fixed"/>
        <w:tblCellMar>
          <w:left w:w="70" w:type="dxa"/>
          <w:right w:w="70" w:type="dxa"/>
        </w:tblCellMar>
        <w:tblLook w:val="0000" w:firstRow="0" w:lastRow="0" w:firstColumn="0" w:lastColumn="0" w:noHBand="0" w:noVBand="0"/>
      </w:tblPr>
      <w:tblGrid>
        <w:gridCol w:w="1880"/>
        <w:gridCol w:w="1340"/>
        <w:gridCol w:w="3543"/>
        <w:gridCol w:w="3137"/>
      </w:tblGrid>
      <w:tr>
        <w:trPr>
          <w:trHeight w:hRule="exact" w:val="454"/>
        </w:trPr>
        <w:tc>
          <w:tcPr>
            <w:tcW w:w="6763" w:type="dxa"/>
            <w:gridSpan w:val="3"/>
            <w:tcBorders>
              <w:top w:val="single" w:sz="6" w:space="0" w:color="auto"/>
              <w:left w:val="single" w:sz="6" w:space="0" w:color="auto"/>
              <w:right w:val="single" w:sz="6" w:space="0" w:color="auto"/>
            </w:tcBorders>
            <w:vAlign w:val="center"/>
          </w:tcPr>
          <w:p>
            <w:pPr>
              <w:rPr>
                <w:i/>
                <w:sz w:val="16"/>
                <w:lang w:val="nl-BE"/>
              </w:rPr>
            </w:pPr>
            <w:r>
              <w:rPr>
                <w:b/>
                <w:sz w:val="20"/>
                <w:u w:val="single"/>
                <w:lang w:val="nl-BE"/>
              </w:rPr>
              <w:t>Ecole:</w:t>
            </w:r>
            <w:r>
              <w:rPr>
                <w:sz w:val="20"/>
                <w:lang w:val="nl-BE"/>
              </w:rPr>
              <w:t xml:space="preserve">    </w:t>
            </w:r>
          </w:p>
        </w:tc>
        <w:tc>
          <w:tcPr>
            <w:tcW w:w="3137" w:type="dxa"/>
            <w:tcBorders>
              <w:top w:val="single" w:sz="6" w:space="0" w:color="auto"/>
              <w:left w:val="single" w:sz="6" w:space="0" w:color="auto"/>
              <w:right w:val="single" w:sz="6" w:space="0" w:color="auto"/>
            </w:tcBorders>
            <w:vAlign w:val="center"/>
          </w:tcPr>
          <w:p>
            <w:pPr>
              <w:rPr>
                <w:b/>
                <w:lang w:val="nl-BE"/>
              </w:rPr>
            </w:pPr>
            <w:r>
              <w:rPr>
                <w:b/>
                <w:lang w:val="nl-BE"/>
              </w:rPr>
              <w:t xml:space="preserve">N° FASE: </w:t>
            </w:r>
            <w:r>
              <w:rPr>
                <w:b/>
                <w:lang w:val="nl-BE"/>
              </w:rPr>
              <w:tab/>
            </w:r>
            <w:r>
              <w:rPr>
                <w:b/>
                <w:lang w:val="nl-BE"/>
              </w:rPr>
              <w:tab/>
            </w:r>
          </w:p>
        </w:tc>
      </w:tr>
      <w:tr>
        <w:trPr>
          <w:cantSplit/>
          <w:trHeight w:val="360"/>
        </w:trPr>
        <w:tc>
          <w:tcPr>
            <w:tcW w:w="1880" w:type="dxa"/>
            <w:vMerge w:val="restart"/>
            <w:tcBorders>
              <w:top w:val="single" w:sz="6" w:space="0" w:color="auto"/>
              <w:left w:val="single" w:sz="6" w:space="0" w:color="auto"/>
            </w:tcBorders>
            <w:vAlign w:val="center"/>
          </w:tcPr>
          <w:p>
            <w:pPr>
              <w:jc w:val="center"/>
              <w:rPr>
                <w:b/>
                <w:sz w:val="20"/>
                <w:u w:val="single"/>
              </w:rPr>
            </w:pPr>
            <w:r>
              <w:rPr>
                <w:b/>
                <w:sz w:val="20"/>
                <w:u w:val="single"/>
              </w:rPr>
              <w:t>Siège administratif de l'école:</w:t>
            </w:r>
          </w:p>
        </w:tc>
        <w:tc>
          <w:tcPr>
            <w:tcW w:w="8020" w:type="dxa"/>
            <w:gridSpan w:val="3"/>
            <w:tcBorders>
              <w:top w:val="single" w:sz="6" w:space="0" w:color="auto"/>
              <w:left w:val="single" w:sz="6" w:space="0" w:color="auto"/>
              <w:bottom w:val="single" w:sz="4" w:space="0" w:color="auto"/>
              <w:right w:val="single" w:sz="6" w:space="0" w:color="auto"/>
            </w:tcBorders>
            <w:vAlign w:val="center"/>
          </w:tcPr>
          <w:p>
            <w:pPr>
              <w:rPr>
                <w:sz w:val="20"/>
              </w:rPr>
            </w:pPr>
            <w:r>
              <w:rPr>
                <w:sz w:val="20"/>
              </w:rPr>
              <w:t xml:space="preserve">Rue + n°:  </w:t>
            </w:r>
          </w:p>
        </w:tc>
      </w:tr>
      <w:tr>
        <w:trPr>
          <w:cantSplit/>
          <w:trHeight w:hRule="exact" w:val="369"/>
        </w:trPr>
        <w:tc>
          <w:tcPr>
            <w:tcW w:w="1880" w:type="dxa"/>
            <w:vMerge/>
            <w:tcBorders>
              <w:left w:val="single" w:sz="6" w:space="0" w:color="auto"/>
              <w:bottom w:val="single" w:sz="6" w:space="0" w:color="auto"/>
            </w:tcBorders>
          </w:tcPr>
          <w:p>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pPr>
              <w:rPr>
                <w:sz w:val="20"/>
              </w:rPr>
            </w:pPr>
            <w:r>
              <w:rPr>
                <w:sz w:val="20"/>
              </w:rPr>
              <w:t>CP:</w:t>
            </w:r>
          </w:p>
        </w:tc>
        <w:tc>
          <w:tcPr>
            <w:tcW w:w="6680" w:type="dxa"/>
            <w:gridSpan w:val="2"/>
            <w:tcBorders>
              <w:top w:val="single" w:sz="4" w:space="0" w:color="auto"/>
              <w:left w:val="single" w:sz="4" w:space="0" w:color="auto"/>
              <w:bottom w:val="single" w:sz="6" w:space="0" w:color="auto"/>
              <w:right w:val="single" w:sz="6" w:space="0" w:color="auto"/>
            </w:tcBorders>
            <w:vAlign w:val="center"/>
          </w:tcPr>
          <w:p>
            <w:pPr>
              <w:rPr>
                <w:sz w:val="20"/>
              </w:rPr>
            </w:pPr>
            <w:r>
              <w:rPr>
                <w:sz w:val="20"/>
              </w:rPr>
              <w:t>Localité:</w:t>
            </w:r>
          </w:p>
        </w:tc>
      </w:tr>
      <w:tr>
        <w:trPr>
          <w:trHeight w:val="200"/>
        </w:trPr>
        <w:tc>
          <w:tcPr>
            <w:tcW w:w="9900" w:type="dxa"/>
            <w:gridSpan w:val="4"/>
            <w:tcBorders>
              <w:top w:val="single" w:sz="6" w:space="0" w:color="auto"/>
            </w:tcBorders>
          </w:tcPr>
          <w:p>
            <w:pPr>
              <w:rPr>
                <w:sz w:val="20"/>
              </w:rPr>
            </w:pPr>
          </w:p>
        </w:tc>
      </w:tr>
      <w:tr>
        <w:trPr>
          <w:trHeight w:val="200"/>
        </w:trPr>
        <w:tc>
          <w:tcPr>
            <w:tcW w:w="9900" w:type="dxa"/>
            <w:gridSpan w:val="4"/>
            <w:tcBorders>
              <w:bottom w:val="single" w:sz="6" w:space="0" w:color="auto"/>
            </w:tcBorders>
          </w:tcPr>
          <w:p>
            <w:pPr>
              <w:rPr>
                <w:b/>
                <w:sz w:val="20"/>
                <w:u w:val="single"/>
              </w:rPr>
            </w:pPr>
            <w:r>
              <w:rPr>
                <w:b/>
                <w:sz w:val="20"/>
                <w:u w:val="single"/>
              </w:rPr>
              <w:t xml:space="preserve">Implantation à laquelle le bâtiment annexe sera attaché </w:t>
            </w:r>
          </w:p>
        </w:tc>
      </w:tr>
      <w:tr>
        <w:trPr>
          <w:trHeight w:val="438"/>
        </w:trPr>
        <w:tc>
          <w:tcPr>
            <w:tcW w:w="1880" w:type="dxa"/>
            <w:tcBorders>
              <w:top w:val="single" w:sz="6" w:space="0" w:color="auto"/>
              <w:left w:val="single" w:sz="6" w:space="0" w:color="auto"/>
            </w:tcBorders>
          </w:tcPr>
          <w:p>
            <w:pPr>
              <w:rPr>
                <w:b/>
                <w:sz w:val="20"/>
                <w:u w:val="single"/>
              </w:rPr>
            </w:pPr>
            <w:r>
              <w:rPr>
                <w:b/>
                <w:sz w:val="20"/>
              </w:rPr>
              <w:t>N° FASE</w:t>
            </w:r>
            <w:r>
              <w:rPr>
                <w:sz w:val="20"/>
              </w:rPr>
              <w:t>:</w:t>
            </w:r>
            <w:r>
              <w:rPr>
                <w:b/>
                <w:sz w:val="20"/>
                <w:u w:val="single"/>
              </w:rPr>
              <w:t xml:space="preserve"> </w:t>
            </w:r>
          </w:p>
        </w:tc>
        <w:tc>
          <w:tcPr>
            <w:tcW w:w="8020" w:type="dxa"/>
            <w:gridSpan w:val="3"/>
            <w:tcBorders>
              <w:top w:val="single" w:sz="6" w:space="0" w:color="auto"/>
              <w:left w:val="single" w:sz="6" w:space="0" w:color="auto"/>
              <w:bottom w:val="single" w:sz="4" w:space="0" w:color="auto"/>
              <w:right w:val="single" w:sz="6" w:space="0" w:color="auto"/>
            </w:tcBorders>
          </w:tcPr>
          <w:p>
            <w:pPr>
              <w:rPr>
                <w:sz w:val="20"/>
              </w:rPr>
            </w:pPr>
            <w:r>
              <w:rPr>
                <w:sz w:val="20"/>
              </w:rPr>
              <w:t xml:space="preserve">Adresse:   </w:t>
            </w:r>
          </w:p>
        </w:tc>
      </w:tr>
      <w:tr>
        <w:trPr>
          <w:trHeight w:val="200"/>
        </w:trPr>
        <w:tc>
          <w:tcPr>
            <w:tcW w:w="9900" w:type="dxa"/>
            <w:gridSpan w:val="4"/>
            <w:tcBorders>
              <w:top w:val="single" w:sz="6" w:space="0" w:color="auto"/>
            </w:tcBorders>
          </w:tcPr>
          <w:p>
            <w:pPr>
              <w:rPr>
                <w:sz w:val="20"/>
              </w:rPr>
            </w:pPr>
          </w:p>
        </w:tc>
      </w:tr>
    </w:tbl>
    <w:p>
      <w:r>
        <w:rPr>
          <w:b/>
          <w:sz w:val="20"/>
          <w:u w:val="single"/>
        </w:rPr>
        <w:t>Bâtiment annexe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6"/>
        <w:gridCol w:w="4958"/>
        <w:gridCol w:w="1592"/>
      </w:tblGrid>
      <w:tr>
        <w:trPr>
          <w:trHeight w:val="657"/>
        </w:trPr>
        <w:tc>
          <w:tcPr>
            <w:tcW w:w="3227" w:type="dxa"/>
          </w:tcPr>
          <w:p>
            <w:pPr>
              <w:spacing w:before="120" w:after="120"/>
              <w:rPr>
                <w:b/>
                <w:bCs/>
              </w:rPr>
            </w:pPr>
            <w:r>
              <w:rPr>
                <w:b/>
                <w:bCs/>
              </w:rPr>
              <w:t>Adresse complète </w:t>
            </w:r>
          </w:p>
        </w:tc>
        <w:tc>
          <w:tcPr>
            <w:tcW w:w="6673" w:type="dxa"/>
            <w:gridSpan w:val="2"/>
          </w:tcPr>
          <w:p>
            <w:pPr>
              <w:spacing w:before="120" w:after="120"/>
              <w:rPr>
                <w:b/>
                <w:bCs/>
                <w:sz w:val="20"/>
              </w:rPr>
            </w:pPr>
            <w:r>
              <w:rPr>
                <w:b/>
                <w:bCs/>
                <w:sz w:val="20"/>
              </w:rPr>
              <w:t xml:space="preserve">Rue + n°:  </w:t>
            </w:r>
          </w:p>
          <w:p>
            <w:pPr>
              <w:spacing w:before="120" w:after="120"/>
              <w:rPr>
                <w:b/>
                <w:bCs/>
              </w:rPr>
            </w:pPr>
            <w:r>
              <w:rPr>
                <w:b/>
                <w:bCs/>
              </w:rPr>
              <w:t xml:space="preserve">CP + Localité: </w:t>
            </w:r>
          </w:p>
        </w:tc>
      </w:tr>
      <w:tr>
        <w:tc>
          <w:tcPr>
            <w:tcW w:w="3227" w:type="dxa"/>
          </w:tcPr>
          <w:p>
            <w:pPr>
              <w:spacing w:before="120" w:after="120"/>
              <w:rPr>
                <w:b/>
                <w:bCs/>
              </w:rPr>
            </w:pPr>
            <w:r>
              <w:rPr>
                <w:b/>
                <w:bCs/>
              </w:rPr>
              <w:t>Niveau d’enseignement </w:t>
            </w:r>
          </w:p>
        </w:tc>
        <w:tc>
          <w:tcPr>
            <w:tcW w:w="6673" w:type="dxa"/>
            <w:gridSpan w:val="2"/>
          </w:tcPr>
          <w:p>
            <w:pPr>
              <w:spacing w:before="120" w:after="120"/>
              <w:rPr>
                <w:b/>
                <w:bCs/>
              </w:rPr>
            </w:pPr>
            <w:r>
              <w:rPr>
                <w:b/>
                <w:bCs/>
              </w:rPr>
              <w:t>maternel – primaire – fondamental</w:t>
            </w:r>
          </w:p>
        </w:tc>
      </w:tr>
      <w:tr>
        <w:tc>
          <w:tcPr>
            <w:tcW w:w="3227" w:type="dxa"/>
          </w:tcPr>
          <w:p>
            <w:pPr>
              <w:spacing w:before="120" w:after="120"/>
              <w:rPr>
                <w:b/>
                <w:bCs/>
              </w:rPr>
            </w:pPr>
            <w:r>
              <w:rPr>
                <w:b/>
                <w:bCs/>
              </w:rPr>
              <w:t>Années d’études concernées </w:t>
            </w:r>
          </w:p>
        </w:tc>
        <w:tc>
          <w:tcPr>
            <w:tcW w:w="6673" w:type="dxa"/>
            <w:gridSpan w:val="2"/>
          </w:tcPr>
          <w:p>
            <w:pPr>
              <w:spacing w:before="120" w:after="120"/>
              <w:rPr>
                <w:b/>
                <w:bCs/>
              </w:rPr>
            </w:pPr>
            <w:r>
              <w:rPr>
                <w:b/>
                <w:bCs/>
              </w:rPr>
              <w:t xml:space="preserve">M1-M2-M3 </w:t>
            </w:r>
            <w:r>
              <w:rPr>
                <w:rFonts w:cs="Arial"/>
                <w:b/>
                <w:bCs/>
              </w:rPr>
              <w:t>▬</w:t>
            </w:r>
            <w:r>
              <w:rPr>
                <w:b/>
                <w:bCs/>
              </w:rPr>
              <w:t xml:space="preserve"> P1-P2-P3-P4-P5-P6</w:t>
            </w:r>
          </w:p>
        </w:tc>
      </w:tr>
      <w:tr>
        <w:tc>
          <w:tcPr>
            <w:tcW w:w="8280" w:type="dxa"/>
            <w:gridSpan w:val="2"/>
          </w:tcPr>
          <w:p>
            <w:pPr>
              <w:spacing w:before="120" w:after="120"/>
              <w:rPr>
                <w:b/>
                <w:bCs/>
              </w:rPr>
            </w:pPr>
            <w:r>
              <w:rPr>
                <w:b/>
                <w:bCs/>
              </w:rPr>
              <w:t>Distance* entre le bâtiment annexe et l’implantation à laquelle il est attaché:</w:t>
            </w:r>
            <w:r>
              <w:rPr>
                <w:b/>
                <w:bCs/>
              </w:rPr>
              <w:br/>
              <w:t>*</w:t>
            </w:r>
            <w:r>
              <w:rPr>
                <w:rFonts w:ascii="Arial Narrow" w:hAnsi="Arial Narrow" w:cs="Tahoma"/>
                <w:b/>
                <w:bCs/>
                <w:i/>
                <w:sz w:val="16"/>
                <w:szCs w:val="16"/>
              </w:rPr>
              <w:t>Distance mesurée par la route, à l’exception des autoroutes, sans qu’il soit tenu compte des déviations ou de sens uniques</w:t>
            </w:r>
          </w:p>
        </w:tc>
        <w:tc>
          <w:tcPr>
            <w:tcW w:w="1620" w:type="dxa"/>
          </w:tcPr>
          <w:p>
            <w:pPr>
              <w:spacing w:before="120" w:after="120"/>
              <w:rPr>
                <w:b/>
                <w:bCs/>
              </w:rPr>
            </w:pPr>
          </w:p>
        </w:tc>
      </w:tr>
    </w:tbl>
    <w:p/>
    <w:p>
      <w:r>
        <w:rPr>
          <w:b/>
          <w:sz w:val="20"/>
          <w:u w:val="single"/>
        </w:rPr>
        <w:t>Justification motivée de la demande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6"/>
      </w:tblGrid>
      <w:tr>
        <w:tc>
          <w:tcPr>
            <w:tcW w:w="9897" w:type="dxa"/>
          </w:tcPr>
          <w:p>
            <w:pPr>
              <w:spacing w:before="120" w:after="120"/>
              <w:rPr>
                <w:b/>
                <w:bCs/>
                <w:i/>
                <w:sz w:val="20"/>
                <w:szCs w:val="20"/>
              </w:rPr>
            </w:pPr>
            <w:r>
              <w:rPr>
                <w:b/>
                <w:bCs/>
                <w:i/>
                <w:sz w:val="20"/>
                <w:szCs w:val="20"/>
              </w:rPr>
              <w:t>A compléter ci-dessous ou joindre une note séparée</w:t>
            </w:r>
          </w:p>
          <w:p>
            <w:pPr>
              <w:spacing w:before="120" w:after="120"/>
              <w:rPr>
                <w:b/>
                <w:bCs/>
              </w:rPr>
            </w:pPr>
          </w:p>
          <w:p>
            <w:pPr>
              <w:spacing w:before="120" w:after="120"/>
              <w:rPr>
                <w:b/>
                <w:bCs/>
              </w:rPr>
            </w:pPr>
          </w:p>
          <w:p>
            <w:pPr>
              <w:spacing w:before="120" w:after="120"/>
              <w:rPr>
                <w:b/>
                <w:bCs/>
              </w:rPr>
            </w:pPr>
          </w:p>
        </w:tc>
      </w:tr>
    </w:tbl>
    <w:p/>
    <w:p>
      <w:pPr>
        <w:jc w:val="center"/>
        <w:rPr>
          <w:b/>
          <w:sz w:val="20"/>
          <w:szCs w:val="20"/>
        </w:rPr>
      </w:pPr>
      <w:r>
        <w:rPr>
          <w:b/>
          <w:sz w:val="20"/>
          <w:szCs w:val="20"/>
          <w:u w:val="single"/>
        </w:rPr>
        <w:t>DÉCLARATION DU POUVOIR ORGANISATEUR</w:t>
      </w:r>
      <w:r>
        <w:rPr>
          <w:b/>
          <w:sz w:val="20"/>
          <w:szCs w:val="20"/>
          <w:u w:val="single"/>
          <w:bdr w:val="single" w:sz="12" w:space="0" w:color="auto"/>
        </w:rPr>
        <w:t xml:space="preserve">  </w:t>
      </w:r>
      <w:r>
        <w:rPr>
          <w:b/>
          <w:sz w:val="20"/>
          <w:szCs w:val="20"/>
          <w:u w:val="single"/>
        </w:rPr>
        <w:br/>
      </w:r>
    </w:p>
    <w:p>
      <w:pPr>
        <w:jc w:val="both"/>
        <w:rPr>
          <w:sz w:val="20"/>
          <w:szCs w:val="20"/>
        </w:rPr>
      </w:pPr>
      <w:r>
        <w:rPr>
          <w:sz w:val="20"/>
          <w:szCs w:val="20"/>
        </w:rPr>
        <w:t>Le Pouvoir organisateur affirme sur l’honneur que le bâtiment annexe susvisé répond aux conditions de salubrité et d’hygiène des locaux, prévues par l’art. 24§2, 6° de la loi du 29/05/1959.</w:t>
      </w:r>
    </w:p>
    <w:p>
      <w:pPr>
        <w:rPr>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0"/>
        <w:gridCol w:w="4916"/>
      </w:tblGrid>
      <w:tr>
        <w:tc>
          <w:tcPr>
            <w:tcW w:w="5002" w:type="dxa"/>
          </w:tcPr>
          <w:p>
            <w:pPr>
              <w:rPr>
                <w:b/>
                <w:i/>
                <w:sz w:val="20"/>
                <w:szCs w:val="20"/>
              </w:rPr>
            </w:pPr>
            <w:bookmarkStart w:id="2197" w:name="_Toc295913883"/>
            <w:r>
              <w:rPr>
                <w:b/>
                <w:i/>
                <w:sz w:val="20"/>
                <w:szCs w:val="20"/>
              </w:rPr>
              <w:t xml:space="preserve">Le Directeur / </w:t>
            </w:r>
            <w:smartTag w:uri="urn:schemas-microsoft-com:office:smarttags" w:element="PersonName">
              <w:smartTagPr>
                <w:attr w:name="ProductID" w:val="la Directrice"/>
              </w:smartTagPr>
              <w:r>
                <w:rPr>
                  <w:b/>
                  <w:i/>
                  <w:sz w:val="20"/>
                  <w:szCs w:val="20"/>
                </w:rPr>
                <w:t>La Directrice</w:t>
              </w:r>
            </w:smartTag>
            <w:r>
              <w:rPr>
                <w:b/>
                <w:i/>
                <w:sz w:val="20"/>
                <w:szCs w:val="20"/>
              </w:rPr>
              <w:t xml:space="preserve"> d’école:</w:t>
            </w:r>
            <w:bookmarkEnd w:id="2197"/>
          </w:p>
          <w:p>
            <w:r>
              <w:t>Date:</w:t>
            </w:r>
          </w:p>
          <w:p>
            <w:r>
              <w:t>Signature:</w:t>
            </w:r>
          </w:p>
          <w:p/>
          <w:p/>
          <w:p>
            <w:r>
              <w:t>Nom (en majuscule)</w:t>
            </w:r>
          </w:p>
        </w:tc>
        <w:tc>
          <w:tcPr>
            <w:tcW w:w="5003" w:type="dxa"/>
          </w:tcPr>
          <w:p>
            <w:pPr>
              <w:rPr>
                <w:b/>
                <w:i/>
                <w:sz w:val="20"/>
                <w:szCs w:val="20"/>
              </w:rPr>
            </w:pPr>
            <w:bookmarkStart w:id="2198" w:name="_Toc295913884"/>
            <w:r>
              <w:rPr>
                <w:b/>
                <w:i/>
                <w:sz w:val="20"/>
                <w:szCs w:val="20"/>
              </w:rPr>
              <w:t>Le chef d’établissement:</w:t>
            </w:r>
            <w:bookmarkEnd w:id="2198"/>
          </w:p>
          <w:p>
            <w:r>
              <w:t>Date:</w:t>
            </w:r>
          </w:p>
          <w:p>
            <w:r>
              <w:t>Signature:</w:t>
            </w:r>
          </w:p>
          <w:p/>
          <w:p/>
          <w:p>
            <w:pPr>
              <w:rPr>
                <w:b/>
                <w:i/>
                <w:sz w:val="20"/>
                <w:szCs w:val="20"/>
              </w:rPr>
            </w:pPr>
            <w:bookmarkStart w:id="2199" w:name="_Toc295913885"/>
            <w:r>
              <w:rPr>
                <w:b/>
                <w:i/>
                <w:sz w:val="20"/>
                <w:szCs w:val="20"/>
              </w:rPr>
              <w:t>Nom (en majuscule)</w:t>
            </w:r>
            <w:bookmarkEnd w:id="2199"/>
          </w:p>
        </w:tc>
      </w:tr>
    </w:tbl>
    <w:p>
      <w:pPr>
        <w:pStyle w:val="annexe"/>
      </w:pPr>
    </w:p>
    <w:p>
      <w:pPr>
        <w:rPr>
          <w:b/>
          <w:i/>
          <w:sz w:val="20"/>
          <w:szCs w:val="20"/>
        </w:rPr>
      </w:pPr>
      <w:r>
        <w:br w:type="page"/>
      </w:r>
    </w:p>
    <w:p>
      <w:pPr>
        <w:pStyle w:val="annexe"/>
      </w:pPr>
      <w:bookmarkStart w:id="2200" w:name="Annexe_331"/>
      <w:bookmarkStart w:id="2201" w:name="_Toc423420202"/>
      <w:bookmarkStart w:id="2202" w:name="_Toc450645451"/>
      <w:bookmarkStart w:id="2203" w:name="_Toc453942690"/>
      <w:bookmarkStart w:id="2204" w:name="_Toc454888306"/>
      <w:bookmarkStart w:id="2205" w:name="_Toc486241924"/>
      <w:bookmarkEnd w:id="2196"/>
      <w:bookmarkEnd w:id="2200"/>
      <w:r>
        <w:t>Annexe 3.3.1. Récapitulatif annuel des dépassements – Taille des classes</w:t>
      </w:r>
      <w:bookmarkEnd w:id="2201"/>
      <w:bookmarkEnd w:id="2202"/>
      <w:bookmarkEnd w:id="2203"/>
      <w:bookmarkEnd w:id="2204"/>
      <w:bookmarkEnd w:id="2205"/>
    </w:p>
    <w:p>
      <w:pPr>
        <w:rPr>
          <w:sz w:val="16"/>
          <w:szCs w:val="16"/>
        </w:rPr>
      </w:pPr>
    </w:p>
    <w:tbl>
      <w:tblPr>
        <w:tblW w:w="0" w:type="auto"/>
        <w:tblLayout w:type="fixed"/>
        <w:tblLook w:val="01E0" w:firstRow="1" w:lastRow="1" w:firstColumn="1" w:lastColumn="1" w:noHBand="0" w:noVBand="0"/>
      </w:tblPr>
      <w:tblGrid>
        <w:gridCol w:w="1650"/>
        <w:gridCol w:w="3060"/>
        <w:gridCol w:w="5069"/>
      </w:tblGrid>
      <w:tr>
        <w:trPr>
          <w:trHeight w:hRule="exact" w:val="284"/>
        </w:trPr>
        <w:tc>
          <w:tcPr>
            <w:tcW w:w="1650" w:type="dxa"/>
            <w:tcBorders>
              <w:bottom w:val="single" w:sz="4" w:space="0" w:color="auto"/>
            </w:tcBorders>
            <w:vAlign w:val="center"/>
          </w:tcPr>
          <w:p>
            <w:pPr>
              <w:pStyle w:val="Sansinterligne11"/>
              <w:spacing w:after="120"/>
              <w:rPr>
                <w:rFonts w:ascii="Arial" w:hAnsi="Arial" w:cs="Arial"/>
                <w:b/>
                <w:sz w:val="21"/>
                <w:szCs w:val="21"/>
              </w:rPr>
            </w:pPr>
          </w:p>
        </w:tc>
        <w:tc>
          <w:tcPr>
            <w:tcW w:w="3060" w:type="dxa"/>
            <w:tcBorders>
              <w:bottom w:val="single" w:sz="4" w:space="0" w:color="auto"/>
            </w:tcBorders>
            <w:vAlign w:val="center"/>
          </w:tcPr>
          <w:p>
            <w:pPr>
              <w:pStyle w:val="Sansinterligne11"/>
              <w:spacing w:after="120"/>
              <w:jc w:val="center"/>
              <w:rPr>
                <w:rFonts w:ascii="Arial" w:hAnsi="Arial" w:cs="Arial"/>
                <w:b/>
                <w:sz w:val="21"/>
                <w:szCs w:val="21"/>
              </w:rPr>
            </w:pPr>
            <w:r>
              <w:rPr>
                <w:rFonts w:ascii="Arial" w:hAnsi="Arial" w:cs="Arial"/>
                <w:b/>
                <w:sz w:val="21"/>
                <w:szCs w:val="21"/>
              </w:rPr>
              <w:t>Année scolaire 2017-2018</w:t>
            </w:r>
          </w:p>
        </w:tc>
        <w:tc>
          <w:tcPr>
            <w:tcW w:w="5069" w:type="dxa"/>
            <w:tcBorders>
              <w:bottom w:val="single" w:sz="4" w:space="0" w:color="auto"/>
            </w:tcBorders>
            <w:vAlign w:val="center"/>
          </w:tcPr>
          <w:p>
            <w:pPr>
              <w:pStyle w:val="Sansinterligne11"/>
              <w:spacing w:after="120"/>
              <w:rPr>
                <w:rFonts w:ascii="Arial" w:hAnsi="Arial" w:cs="Arial"/>
                <w:b/>
                <w:sz w:val="21"/>
                <w:szCs w:val="21"/>
              </w:rPr>
            </w:pPr>
            <w:r>
              <w:rPr>
                <w:rFonts w:ascii="Arial" w:hAnsi="Arial" w:cs="Arial"/>
                <w:b/>
                <w:sz w:val="21"/>
                <w:szCs w:val="21"/>
              </w:rPr>
              <w:t>Date limite de renvoi: 30/11/2017</w:t>
            </w:r>
          </w:p>
        </w:tc>
      </w:tr>
      <w:tr>
        <w:tc>
          <w:tcPr>
            <w:tcW w:w="9778" w:type="dxa"/>
            <w:gridSpan w:val="3"/>
            <w:tcBorders>
              <w:top w:val="single" w:sz="4" w:space="0" w:color="auto"/>
              <w:left w:val="single" w:sz="4" w:space="0" w:color="auto"/>
              <w:bottom w:val="single" w:sz="4" w:space="0" w:color="auto"/>
              <w:right w:val="single" w:sz="4" w:space="0" w:color="auto"/>
            </w:tcBorders>
            <w:vAlign w:val="center"/>
          </w:tcPr>
          <w:p>
            <w:pPr>
              <w:pStyle w:val="Sansinterligne11"/>
              <w:spacing w:before="120" w:after="120"/>
              <w:jc w:val="center"/>
              <w:rPr>
                <w:rFonts w:ascii="Arial" w:hAnsi="Arial" w:cs="Arial"/>
                <w:b/>
                <w:sz w:val="24"/>
                <w:szCs w:val="24"/>
              </w:rPr>
            </w:pPr>
            <w:r>
              <w:rPr>
                <w:rFonts w:ascii="Arial" w:hAnsi="Arial" w:cs="Arial"/>
                <w:b/>
                <w:i/>
              </w:rPr>
              <w:t xml:space="preserve">Enseignement </w:t>
            </w:r>
            <w:r>
              <w:rPr>
                <w:rFonts w:ascii="Arial" w:hAnsi="Arial" w:cs="Arial"/>
                <w:b/>
                <w:i/>
                <w:sz w:val="24"/>
                <w:szCs w:val="24"/>
              </w:rPr>
              <w:t>primaire</w:t>
            </w:r>
          </w:p>
          <w:p>
            <w:pPr>
              <w:pStyle w:val="Sansinterligne11"/>
              <w:spacing w:before="120" w:after="120"/>
              <w:jc w:val="center"/>
              <w:rPr>
                <w:rFonts w:ascii="Arial" w:hAnsi="Arial" w:cs="Arial"/>
                <w:b/>
                <w:sz w:val="24"/>
                <w:szCs w:val="24"/>
              </w:rPr>
            </w:pPr>
            <w:r>
              <w:rPr>
                <w:rFonts w:ascii="Arial" w:hAnsi="Arial" w:cs="Arial"/>
                <w:b/>
                <w:sz w:val="24"/>
                <w:szCs w:val="24"/>
              </w:rPr>
              <w:t>Récapitulatif annuel des dépassements – Taille des classes</w:t>
            </w:r>
          </w:p>
        </w:tc>
      </w:tr>
    </w:tbl>
    <w:p>
      <w:pPr>
        <w:pStyle w:val="Sansinterligne11"/>
        <w:spacing w:before="120" w:after="120"/>
        <w:jc w:val="both"/>
        <w:rPr>
          <w:rFonts w:ascii="Arial" w:hAnsi="Arial" w:cs="Arial"/>
        </w:rPr>
      </w:pPr>
      <w:r>
        <w:rPr>
          <w:rFonts w:ascii="Arial" w:hAnsi="Arial" w:cs="Arial"/>
        </w:rPr>
        <w:t xml:space="preserve">Récapitulatif envoyé chaque année pour les implantations dont la taille d’au moins une classe dépasse le maximum (plus de 24 élèves en P1et P2 et / ou 28 élèves de </w:t>
      </w:r>
      <w:smartTag w:uri="urn:schemas-microsoft-com:office:smarttags" w:element="PersonName">
        <w:smartTagPr>
          <w:attr w:name="ProductID" w:val="la P"/>
        </w:smartTagPr>
        <w:r>
          <w:rPr>
            <w:rFonts w:ascii="Arial" w:hAnsi="Arial" w:cs="Arial"/>
          </w:rPr>
          <w:t>la P</w:t>
        </w:r>
      </w:smartTag>
      <w:r>
        <w:rPr>
          <w:rFonts w:ascii="Arial" w:hAnsi="Arial" w:cs="Arial"/>
        </w:rPr>
        <w:t xml:space="preserve">3 à </w:t>
      </w:r>
      <w:smartTag w:uri="urn:schemas-microsoft-com:office:smarttags" w:element="PersonName">
        <w:smartTagPr>
          <w:attr w:name="ProductID" w:val="la P"/>
        </w:smartTagPr>
        <w:r>
          <w:rPr>
            <w:rFonts w:ascii="Arial" w:hAnsi="Arial" w:cs="Arial"/>
          </w:rPr>
          <w:t>la P</w:t>
        </w:r>
      </w:smartTag>
      <w:r>
        <w:rPr>
          <w:rFonts w:ascii="Arial" w:hAnsi="Arial" w:cs="Arial"/>
        </w:rPr>
        <w:t>6).</w:t>
      </w:r>
    </w:p>
    <w:tbl>
      <w:tblPr>
        <w:tblW w:w="9781" w:type="dxa"/>
        <w:tblLook w:val="01E0" w:firstRow="1" w:lastRow="1" w:firstColumn="1" w:lastColumn="1" w:noHBand="0" w:noVBand="0"/>
      </w:tblPr>
      <w:tblGrid>
        <w:gridCol w:w="4227"/>
        <w:gridCol w:w="5554"/>
      </w:tblGrid>
      <w:tr>
        <w:tc>
          <w:tcPr>
            <w:tcW w:w="4248" w:type="dxa"/>
            <w:tcBorders>
              <w:bottom w:val="single" w:sz="4" w:space="0" w:color="auto"/>
            </w:tcBorders>
          </w:tcPr>
          <w:p>
            <w:pPr>
              <w:pStyle w:val="Sansinterligne11"/>
              <w:spacing w:before="120" w:after="200" w:line="276" w:lineRule="auto"/>
              <w:rPr>
                <w:rFonts w:ascii="Arial" w:hAnsi="Arial" w:cs="Arial"/>
              </w:rPr>
            </w:pPr>
            <w:r>
              <w:rPr>
                <w:rFonts w:ascii="Arial" w:hAnsi="Arial" w:cs="Arial"/>
              </w:rPr>
              <w:t>Elle est  envoyée  à l’adresse suivante:</w:t>
            </w:r>
          </w:p>
        </w:tc>
        <w:tc>
          <w:tcPr>
            <w:tcW w:w="5580" w:type="dxa"/>
            <w:tcBorders>
              <w:bottom w:val="single" w:sz="4" w:space="0" w:color="auto"/>
            </w:tcBorders>
          </w:tcPr>
          <w:p>
            <w:pPr>
              <w:pStyle w:val="Sansinterligne11"/>
              <w:spacing w:before="120"/>
              <w:jc w:val="center"/>
              <w:rPr>
                <w:rFonts w:ascii="Arial" w:hAnsi="Arial" w:cs="Arial"/>
                <w:i/>
              </w:rPr>
            </w:pPr>
            <w:r>
              <w:rPr>
                <w:rFonts w:ascii="Arial" w:hAnsi="Arial" w:cs="Arial"/>
                <w:i/>
              </w:rPr>
              <w:t>Direction générale de l’Enseignement obligatoire</w:t>
            </w:r>
          </w:p>
          <w:p>
            <w:pPr>
              <w:pStyle w:val="Sansinterligne11"/>
              <w:jc w:val="center"/>
              <w:rPr>
                <w:rFonts w:ascii="Arial" w:hAnsi="Arial" w:cs="Arial"/>
                <w:i/>
              </w:rPr>
            </w:pPr>
            <w:r>
              <w:rPr>
                <w:rFonts w:ascii="Arial" w:hAnsi="Arial" w:cs="Arial"/>
                <w:i/>
              </w:rPr>
              <w:t>Bureau 2F211</w:t>
            </w:r>
          </w:p>
          <w:p>
            <w:pPr>
              <w:pStyle w:val="Sansinterligne11"/>
              <w:jc w:val="center"/>
              <w:rPr>
                <w:rFonts w:ascii="Arial" w:hAnsi="Arial" w:cs="Arial"/>
                <w:i/>
              </w:rPr>
            </w:pPr>
            <w:r>
              <w:rPr>
                <w:rFonts w:ascii="Arial" w:hAnsi="Arial" w:cs="Arial"/>
                <w:i/>
              </w:rPr>
              <w:t>Rue Adolphe Lavallée, 1</w:t>
            </w:r>
          </w:p>
          <w:p>
            <w:pPr>
              <w:pStyle w:val="Sansinterligne11"/>
              <w:spacing w:after="120"/>
              <w:jc w:val="center"/>
              <w:rPr>
                <w:rFonts w:ascii="Arial" w:hAnsi="Arial" w:cs="Arial"/>
                <w:i/>
              </w:rPr>
            </w:pPr>
            <w:r>
              <w:rPr>
                <w:rFonts w:ascii="Arial" w:hAnsi="Arial" w:cs="Arial"/>
                <w:i/>
              </w:rPr>
              <w:t>1080 Bruxelles</w:t>
            </w:r>
          </w:p>
        </w:tc>
      </w:tr>
      <w:tr>
        <w:tc>
          <w:tcPr>
            <w:tcW w:w="9828" w:type="dxa"/>
            <w:gridSpan w:val="2"/>
            <w:tcBorders>
              <w:top w:val="single" w:sz="4" w:space="0" w:color="auto"/>
              <w:left w:val="single" w:sz="4" w:space="0" w:color="auto"/>
              <w:bottom w:val="single" w:sz="4" w:space="0" w:color="auto"/>
              <w:right w:val="single" w:sz="4" w:space="0" w:color="auto"/>
            </w:tcBorders>
          </w:tcPr>
          <w:p>
            <w:pPr>
              <w:pStyle w:val="Sansinterligne11"/>
              <w:spacing w:before="120" w:after="120"/>
              <w:jc w:val="center"/>
              <w:rPr>
                <w:rFonts w:ascii="Arial" w:hAnsi="Arial" w:cs="Arial"/>
              </w:rPr>
            </w:pPr>
            <w:r>
              <w:rPr>
                <w:rFonts w:ascii="Arial" w:hAnsi="Arial" w:cs="Arial"/>
                <w:b/>
                <w:sz w:val="24"/>
                <w:szCs w:val="24"/>
              </w:rPr>
              <w:t>Attention: un formulaire par implantation</w:t>
            </w:r>
          </w:p>
        </w:tc>
      </w:tr>
    </w:tbl>
    <w:p>
      <w:pPr>
        <w:pStyle w:val="Sansinterligne11"/>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470"/>
      </w:tblGrid>
      <w:tr>
        <w:tc>
          <w:tcPr>
            <w:tcW w:w="7308" w:type="dxa"/>
            <w:vAlign w:val="center"/>
          </w:tcPr>
          <w:p>
            <w:pPr>
              <w:pStyle w:val="Sansinterligne11"/>
              <w:spacing w:before="120" w:after="120"/>
              <w:rPr>
                <w:rFonts w:ascii="Arial" w:hAnsi="Arial" w:cs="Arial"/>
                <w:b/>
              </w:rPr>
            </w:pPr>
            <w:r>
              <w:rPr>
                <w:rFonts w:ascii="Arial" w:hAnsi="Arial" w:cs="Arial"/>
                <w:b/>
              </w:rPr>
              <w:t>Ecole:</w:t>
            </w:r>
          </w:p>
        </w:tc>
        <w:tc>
          <w:tcPr>
            <w:tcW w:w="2470" w:type="dxa"/>
            <w:vAlign w:val="center"/>
          </w:tcPr>
          <w:p>
            <w:pPr>
              <w:pStyle w:val="Sansinterligne11"/>
              <w:spacing w:before="120" w:after="120"/>
              <w:rPr>
                <w:rFonts w:ascii="Arial" w:hAnsi="Arial" w:cs="Arial"/>
                <w:b/>
              </w:rPr>
            </w:pPr>
            <w:r>
              <w:rPr>
                <w:rFonts w:ascii="Arial" w:hAnsi="Arial" w:cs="Arial"/>
                <w:b/>
              </w:rPr>
              <w:t>N° FASE:</w:t>
            </w:r>
          </w:p>
        </w:tc>
      </w:tr>
      <w:tr>
        <w:tc>
          <w:tcPr>
            <w:tcW w:w="9778" w:type="dxa"/>
            <w:gridSpan w:val="2"/>
          </w:tcPr>
          <w:p>
            <w:pPr>
              <w:pStyle w:val="Sansinterligne11"/>
              <w:spacing w:after="720"/>
              <w:rPr>
                <w:rFonts w:ascii="Arial" w:hAnsi="Arial" w:cs="Arial"/>
                <w:b/>
              </w:rPr>
            </w:pPr>
            <w:r>
              <w:rPr>
                <w:rFonts w:ascii="Arial" w:hAnsi="Arial" w:cs="Arial"/>
              </w:rPr>
              <w:t>Siège administratif (rue, n°, code postal et localité):</w:t>
            </w:r>
          </w:p>
        </w:tc>
      </w:tr>
    </w:tbl>
    <w:p>
      <w:pPr>
        <w:pStyle w:val="Sansinterligne11"/>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470"/>
      </w:tblGrid>
      <w:tr>
        <w:tc>
          <w:tcPr>
            <w:tcW w:w="7308" w:type="dxa"/>
            <w:vAlign w:val="center"/>
          </w:tcPr>
          <w:p>
            <w:pPr>
              <w:pStyle w:val="Sansinterligne11"/>
              <w:spacing w:before="120" w:after="120"/>
              <w:rPr>
                <w:rFonts w:ascii="Arial" w:hAnsi="Arial" w:cs="Arial"/>
                <w:b/>
              </w:rPr>
            </w:pPr>
            <w:r>
              <w:rPr>
                <w:rFonts w:ascii="Arial" w:hAnsi="Arial" w:cs="Arial"/>
                <w:b/>
              </w:rPr>
              <w:t>Implantation:</w:t>
            </w:r>
          </w:p>
        </w:tc>
        <w:tc>
          <w:tcPr>
            <w:tcW w:w="2470" w:type="dxa"/>
            <w:vAlign w:val="center"/>
          </w:tcPr>
          <w:p>
            <w:pPr>
              <w:pStyle w:val="Sansinterligne11"/>
              <w:spacing w:before="120" w:after="120"/>
              <w:rPr>
                <w:rFonts w:ascii="Arial" w:hAnsi="Arial" w:cs="Arial"/>
                <w:b/>
              </w:rPr>
            </w:pPr>
            <w:r>
              <w:rPr>
                <w:rFonts w:ascii="Arial" w:hAnsi="Arial" w:cs="Arial"/>
                <w:b/>
              </w:rPr>
              <w:t>N° FASE:</w:t>
            </w:r>
          </w:p>
        </w:tc>
      </w:tr>
      <w:tr>
        <w:tc>
          <w:tcPr>
            <w:tcW w:w="9778" w:type="dxa"/>
            <w:gridSpan w:val="2"/>
          </w:tcPr>
          <w:p>
            <w:pPr>
              <w:pStyle w:val="Sansinterligne11"/>
              <w:spacing w:after="720"/>
              <w:rPr>
                <w:rFonts w:ascii="Arial" w:hAnsi="Arial" w:cs="Arial"/>
                <w:b/>
              </w:rPr>
            </w:pPr>
            <w:r>
              <w:rPr>
                <w:rFonts w:ascii="Arial" w:hAnsi="Arial" w:cs="Arial"/>
              </w:rPr>
              <w:t>Adresse complète de l’implantation (rue, n°, code postal et localité):</w:t>
            </w:r>
          </w:p>
        </w:tc>
      </w:tr>
    </w:tbl>
    <w:p>
      <w:pPr>
        <w:pStyle w:val="Sansinterligne11"/>
        <w:jc w:val="both"/>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3"/>
        <w:gridCol w:w="861"/>
        <w:gridCol w:w="873"/>
        <w:gridCol w:w="1117"/>
      </w:tblGrid>
      <w:tr>
        <w:tc>
          <w:tcPr>
            <w:tcW w:w="7003" w:type="dxa"/>
          </w:tcPr>
          <w:p>
            <w:pPr>
              <w:pStyle w:val="Sansinterligne11"/>
              <w:spacing w:before="120" w:after="120"/>
              <w:jc w:val="center"/>
              <w:rPr>
                <w:rFonts w:ascii="Arial" w:hAnsi="Arial" w:cs="Arial"/>
                <w:b/>
                <w:u w:val="single"/>
              </w:rPr>
            </w:pPr>
            <w:r>
              <w:rPr>
                <w:rFonts w:ascii="Arial" w:hAnsi="Arial" w:cs="Arial"/>
                <w:b/>
                <w:u w:val="single"/>
              </w:rPr>
              <w:t>Dépassements aux maximas</w:t>
            </w:r>
          </w:p>
        </w:tc>
        <w:tc>
          <w:tcPr>
            <w:tcW w:w="861"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Cocher</w:t>
            </w:r>
          </w:p>
        </w:tc>
        <w:tc>
          <w:tcPr>
            <w:tcW w:w="873"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Année d’étude</w:t>
            </w:r>
          </w:p>
        </w:tc>
        <w:tc>
          <w:tcPr>
            <w:tcW w:w="1117"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Nbre Es/Classe</w:t>
            </w:r>
          </w:p>
        </w:tc>
      </w:tr>
      <w:tr>
        <w:tc>
          <w:tcPr>
            <w:tcW w:w="7003" w:type="dxa"/>
          </w:tcPr>
          <w:p>
            <w:pPr>
              <w:pStyle w:val="Sansinterligne11"/>
              <w:spacing w:before="120" w:after="120" w:line="276" w:lineRule="auto"/>
              <w:jc w:val="center"/>
              <w:rPr>
                <w:rFonts w:ascii="Arial" w:hAnsi="Arial" w:cs="Arial"/>
              </w:rPr>
            </w:pPr>
            <w:r>
              <w:rPr>
                <w:rFonts w:ascii="Arial" w:hAnsi="Arial" w:cs="Arial"/>
                <w:b/>
                <w:i/>
                <w:sz w:val="20"/>
                <w:szCs w:val="20"/>
              </w:rPr>
              <w:t>Dépassements prévus pour prendre en compte la problématique particulière de l’organisation des cours de langue moderne</w:t>
            </w:r>
            <w:r>
              <w:rPr>
                <w:rFonts w:ascii="Arial" w:hAnsi="Arial" w:cs="Arial"/>
                <w:i/>
              </w:rPr>
              <w:t> </w:t>
            </w:r>
            <w:r>
              <w:rPr>
                <w:rFonts w:ascii="Arial" w:hAnsi="Arial" w:cs="Arial"/>
                <w:i/>
              </w:rPr>
              <w:br/>
            </w:r>
            <w:r>
              <w:rPr>
                <w:rFonts w:ascii="Arial" w:hAnsi="Arial" w:cs="Arial"/>
                <w:i/>
                <w:sz w:val="20"/>
                <w:szCs w:val="20"/>
              </w:rPr>
              <w:t>(</w:t>
            </w:r>
            <w:r>
              <w:rPr>
                <w:rFonts w:ascii="Arial" w:hAnsi="Arial" w:cs="Arial"/>
                <w:sz w:val="20"/>
                <w:szCs w:val="20"/>
              </w:rPr>
              <w:t>Région de Bruxelles-Capitale, Communes de Comines-Warneton, Mouscron, Flobecq, Enghien, Malmédy, Waismes, Baelen, Plombières et Welkenraedt): max 29 élèves/classe aux 2</w:t>
            </w:r>
            <w:r>
              <w:rPr>
                <w:rFonts w:ascii="Arial" w:hAnsi="Arial" w:cs="Arial"/>
                <w:sz w:val="20"/>
                <w:szCs w:val="20"/>
                <w:vertAlign w:val="superscript"/>
              </w:rPr>
              <w:t>ème</w:t>
            </w:r>
            <w:r>
              <w:rPr>
                <w:rFonts w:ascii="Arial" w:hAnsi="Arial" w:cs="Arial"/>
                <w:sz w:val="20"/>
                <w:szCs w:val="20"/>
              </w:rPr>
              <w:t xml:space="preserve"> et 3</w:t>
            </w:r>
            <w:r>
              <w:rPr>
                <w:rFonts w:ascii="Arial" w:hAnsi="Arial" w:cs="Arial"/>
                <w:sz w:val="20"/>
                <w:szCs w:val="20"/>
                <w:vertAlign w:val="superscript"/>
              </w:rPr>
              <w:t>ème</w:t>
            </w:r>
            <w:r>
              <w:rPr>
                <w:rFonts w:ascii="Arial" w:hAnsi="Arial" w:cs="Arial"/>
                <w:sz w:val="20"/>
                <w:szCs w:val="20"/>
              </w:rPr>
              <w:t xml:space="preserve"> degrés (P3 à P6)</w:t>
            </w:r>
            <w:r>
              <w:rPr>
                <w:rFonts w:ascii="Arial" w:hAnsi="Arial" w:cs="Arial"/>
              </w:rPr>
              <w:t xml:space="preserve"> </w:t>
            </w:r>
          </w:p>
        </w:tc>
        <w:tc>
          <w:tcPr>
            <w:tcW w:w="861" w:type="dxa"/>
          </w:tcPr>
          <w:p>
            <w:pPr>
              <w:pStyle w:val="Sansinterligne11"/>
              <w:spacing w:before="120" w:after="120" w:line="276" w:lineRule="auto"/>
              <w:jc w:val="center"/>
              <w:rPr>
                <w:rFonts w:ascii="Arial" w:hAnsi="Arial" w:cs="Arial"/>
                <w:sz w:val="20"/>
                <w:szCs w:val="20"/>
                <w:u w:val="single"/>
              </w:rPr>
            </w:pPr>
          </w:p>
        </w:tc>
        <w:tc>
          <w:tcPr>
            <w:tcW w:w="873" w:type="dxa"/>
          </w:tcPr>
          <w:p>
            <w:pPr>
              <w:pStyle w:val="Sansinterligne11"/>
              <w:spacing w:before="120" w:after="120" w:line="276" w:lineRule="auto"/>
              <w:jc w:val="center"/>
              <w:rPr>
                <w:rFonts w:ascii="Arial" w:hAnsi="Arial" w:cs="Arial"/>
                <w:sz w:val="20"/>
                <w:szCs w:val="20"/>
                <w:u w:val="single"/>
              </w:rPr>
            </w:pPr>
          </w:p>
        </w:tc>
        <w:tc>
          <w:tcPr>
            <w:tcW w:w="1117" w:type="dxa"/>
          </w:tcPr>
          <w:p>
            <w:pPr>
              <w:pStyle w:val="Sansinterligne11"/>
              <w:spacing w:before="120" w:after="120" w:line="276" w:lineRule="auto"/>
              <w:jc w:val="center"/>
              <w:rPr>
                <w:rFonts w:ascii="Arial" w:hAnsi="Arial" w:cs="Arial"/>
                <w:sz w:val="20"/>
                <w:szCs w:val="20"/>
                <w:u w:val="single"/>
              </w:rPr>
            </w:pPr>
          </w:p>
        </w:tc>
      </w:tr>
      <w:tr>
        <w:tc>
          <w:tcPr>
            <w:tcW w:w="7003" w:type="dxa"/>
            <w:tcBorders>
              <w:bottom w:val="dashed" w:sz="4" w:space="0" w:color="auto"/>
            </w:tcBorders>
          </w:tcPr>
          <w:p>
            <w:pPr>
              <w:pStyle w:val="Sansinterligne11"/>
              <w:spacing w:line="276" w:lineRule="auto"/>
              <w:jc w:val="center"/>
              <w:rPr>
                <w:rFonts w:ascii="Arial" w:hAnsi="Arial" w:cs="Arial"/>
                <w:b/>
                <w:i/>
                <w:sz w:val="20"/>
                <w:szCs w:val="20"/>
              </w:rPr>
            </w:pPr>
          </w:p>
          <w:p>
            <w:pPr>
              <w:pStyle w:val="Sansinterligne11"/>
              <w:spacing w:line="276" w:lineRule="auto"/>
              <w:jc w:val="center"/>
              <w:rPr>
                <w:rFonts w:ascii="Arial" w:hAnsi="Arial" w:cs="Arial"/>
                <w:b/>
                <w:i/>
                <w:sz w:val="20"/>
                <w:szCs w:val="20"/>
              </w:rPr>
            </w:pPr>
            <w:r>
              <w:rPr>
                <w:rFonts w:ascii="Arial" w:hAnsi="Arial" w:cs="Arial"/>
                <w:b/>
                <w:i/>
                <w:sz w:val="20"/>
                <w:szCs w:val="20"/>
              </w:rPr>
              <w:t xml:space="preserve">Dépassements automatiques autorisés </w:t>
            </w:r>
            <w:r>
              <w:rPr>
                <w:rFonts w:ascii="Arial" w:hAnsi="Arial" w:cs="Arial"/>
                <w:b/>
                <w:i/>
                <w:sz w:val="20"/>
                <w:szCs w:val="20"/>
              </w:rPr>
              <w:br/>
              <w:t>(information aux organes de concertation)</w:t>
            </w:r>
          </w:p>
          <w:p>
            <w:pPr>
              <w:pStyle w:val="Sansinterligne11"/>
              <w:spacing w:line="276" w:lineRule="auto"/>
              <w:jc w:val="center"/>
              <w:rPr>
                <w:rFonts w:ascii="Arial" w:hAnsi="Arial" w:cs="Arial"/>
                <w:b/>
                <w:i/>
                <w:sz w:val="20"/>
                <w:szCs w:val="20"/>
              </w:rPr>
            </w:pPr>
          </w:p>
        </w:tc>
        <w:tc>
          <w:tcPr>
            <w:tcW w:w="861"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Cocher</w:t>
            </w:r>
          </w:p>
        </w:tc>
        <w:tc>
          <w:tcPr>
            <w:tcW w:w="873"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Année d’étude</w:t>
            </w:r>
          </w:p>
        </w:tc>
        <w:tc>
          <w:tcPr>
            <w:tcW w:w="1117"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Nbre Es/Classe</w:t>
            </w:r>
          </w:p>
        </w:tc>
      </w:tr>
      <w:tr>
        <w:tc>
          <w:tcPr>
            <w:tcW w:w="7003" w:type="dxa"/>
            <w:tcBorders>
              <w:top w:val="dashed" w:sz="4" w:space="0" w:color="auto"/>
              <w:bottom w:val="dashed" w:sz="4" w:space="0" w:color="auto"/>
            </w:tcBorders>
          </w:tcPr>
          <w:p>
            <w:pPr>
              <w:pStyle w:val="Sansinterligne11"/>
              <w:spacing w:after="200" w:line="276" w:lineRule="auto"/>
              <w:jc w:val="both"/>
              <w:rPr>
                <w:rFonts w:ascii="Arial" w:hAnsi="Arial" w:cs="Arial"/>
                <w:sz w:val="20"/>
                <w:szCs w:val="20"/>
              </w:rPr>
            </w:pPr>
            <w:r>
              <w:rPr>
                <w:rFonts w:ascii="Arial" w:hAnsi="Arial" w:cs="Arial"/>
                <w:sz w:val="20"/>
                <w:szCs w:val="20"/>
              </w:rPr>
              <w:t xml:space="preserve">En </w:t>
            </w:r>
            <w:r>
              <w:rPr>
                <w:rFonts w:ascii="Arial" w:hAnsi="Arial" w:cs="Arial"/>
                <w:sz w:val="20"/>
                <w:szCs w:val="20"/>
                <w:u w:val="single"/>
              </w:rPr>
              <w:t>Région de Bruxelles-Capitale</w:t>
            </w:r>
            <w:r>
              <w:rPr>
                <w:rFonts w:ascii="Arial" w:hAnsi="Arial" w:cs="Arial"/>
                <w:sz w:val="20"/>
                <w:szCs w:val="20"/>
              </w:rPr>
              <w:t xml:space="preserve"> s’il s’avère </w:t>
            </w:r>
            <w:r>
              <w:rPr>
                <w:rFonts w:ascii="Arial" w:hAnsi="Arial" w:cs="Arial"/>
                <w:i/>
                <w:sz w:val="20"/>
                <w:szCs w:val="20"/>
                <w:u w:val="single"/>
              </w:rPr>
              <w:t>impossible</w:t>
            </w:r>
            <w:r>
              <w:rPr>
                <w:rFonts w:ascii="Arial" w:hAnsi="Arial" w:cs="Arial"/>
                <w:sz w:val="20"/>
                <w:szCs w:val="20"/>
              </w:rPr>
              <w:t xml:space="preserve"> d’augmenter le nombre de classes </w:t>
            </w:r>
            <w:r>
              <w:rPr>
                <w:rFonts w:ascii="Arial" w:hAnsi="Arial" w:cs="Arial"/>
                <w:i/>
                <w:sz w:val="20"/>
                <w:szCs w:val="20"/>
                <w:u w:val="single"/>
              </w:rPr>
              <w:t>sans créer</w:t>
            </w:r>
            <w:r>
              <w:rPr>
                <w:rFonts w:ascii="Arial" w:hAnsi="Arial" w:cs="Arial"/>
                <w:sz w:val="20"/>
                <w:szCs w:val="20"/>
              </w:rPr>
              <w:t xml:space="preserve"> de nouvelles implantations ou d’établissements scolaire</w:t>
            </w:r>
          </w:p>
        </w:tc>
        <w:tc>
          <w:tcPr>
            <w:tcW w:w="861" w:type="dxa"/>
          </w:tcPr>
          <w:p>
            <w:pPr>
              <w:pStyle w:val="Sansinterligne11"/>
              <w:spacing w:before="120" w:after="120" w:line="276" w:lineRule="auto"/>
              <w:jc w:val="center"/>
              <w:rPr>
                <w:rFonts w:ascii="Arial" w:hAnsi="Arial" w:cs="Arial"/>
                <w:sz w:val="20"/>
                <w:szCs w:val="20"/>
                <w:u w:val="single"/>
              </w:rPr>
            </w:pPr>
          </w:p>
        </w:tc>
        <w:tc>
          <w:tcPr>
            <w:tcW w:w="873" w:type="dxa"/>
          </w:tcPr>
          <w:p>
            <w:pPr>
              <w:pStyle w:val="Sansinterligne11"/>
              <w:spacing w:before="120" w:after="120" w:line="276" w:lineRule="auto"/>
              <w:jc w:val="center"/>
              <w:rPr>
                <w:rFonts w:ascii="Arial" w:hAnsi="Arial" w:cs="Arial"/>
                <w:sz w:val="20"/>
                <w:szCs w:val="20"/>
                <w:u w:val="single"/>
              </w:rPr>
            </w:pPr>
          </w:p>
        </w:tc>
        <w:tc>
          <w:tcPr>
            <w:tcW w:w="1117" w:type="dxa"/>
          </w:tcPr>
          <w:p>
            <w:pPr>
              <w:pStyle w:val="Sansinterligne11"/>
              <w:spacing w:before="120" w:after="120" w:line="276" w:lineRule="auto"/>
              <w:jc w:val="center"/>
              <w:rPr>
                <w:rFonts w:ascii="Arial" w:hAnsi="Arial" w:cs="Arial"/>
                <w:sz w:val="20"/>
                <w:szCs w:val="20"/>
                <w:u w:val="single"/>
              </w:rPr>
            </w:pPr>
          </w:p>
        </w:tc>
      </w:tr>
      <w:tr>
        <w:tc>
          <w:tcPr>
            <w:tcW w:w="7003" w:type="dxa"/>
            <w:tcBorders>
              <w:top w:val="dashed" w:sz="4" w:space="0" w:color="auto"/>
              <w:bottom w:val="dashed" w:sz="4" w:space="0" w:color="auto"/>
            </w:tcBorders>
          </w:tcPr>
          <w:p>
            <w:pPr>
              <w:pStyle w:val="Sansinterligne11"/>
              <w:spacing w:after="200" w:line="276" w:lineRule="auto"/>
              <w:jc w:val="both"/>
              <w:rPr>
                <w:rFonts w:ascii="Arial" w:hAnsi="Arial" w:cs="Arial"/>
                <w:sz w:val="20"/>
                <w:szCs w:val="20"/>
              </w:rPr>
            </w:pPr>
            <w:r>
              <w:rPr>
                <w:rFonts w:ascii="Arial" w:hAnsi="Arial" w:cs="Arial"/>
                <w:sz w:val="20"/>
                <w:szCs w:val="20"/>
              </w:rPr>
              <w:t xml:space="preserve">Dans le cas où la taille et/ou </w:t>
            </w:r>
            <w:r>
              <w:rPr>
                <w:rFonts w:ascii="Arial" w:hAnsi="Arial" w:cs="Arial"/>
                <w:i/>
                <w:sz w:val="20"/>
                <w:szCs w:val="20"/>
                <w:u w:val="single"/>
              </w:rPr>
              <w:t>le nombre de locaux</w:t>
            </w:r>
            <w:r>
              <w:rPr>
                <w:rFonts w:ascii="Arial" w:hAnsi="Arial" w:cs="Arial"/>
                <w:sz w:val="20"/>
                <w:szCs w:val="20"/>
              </w:rPr>
              <w:t xml:space="preserve"> ne permet pas d’organiser l’école autrement </w:t>
            </w:r>
          </w:p>
        </w:tc>
        <w:tc>
          <w:tcPr>
            <w:tcW w:w="861" w:type="dxa"/>
          </w:tcPr>
          <w:p>
            <w:pPr>
              <w:pStyle w:val="Sansinterligne11"/>
              <w:spacing w:before="120" w:after="120" w:line="276" w:lineRule="auto"/>
              <w:jc w:val="center"/>
              <w:rPr>
                <w:rFonts w:ascii="Arial" w:hAnsi="Arial" w:cs="Arial"/>
                <w:sz w:val="20"/>
                <w:szCs w:val="20"/>
                <w:u w:val="single"/>
              </w:rPr>
            </w:pPr>
          </w:p>
        </w:tc>
        <w:tc>
          <w:tcPr>
            <w:tcW w:w="873" w:type="dxa"/>
          </w:tcPr>
          <w:p>
            <w:pPr>
              <w:pStyle w:val="Sansinterligne11"/>
              <w:spacing w:before="120" w:after="120" w:line="276" w:lineRule="auto"/>
              <w:jc w:val="center"/>
              <w:rPr>
                <w:rFonts w:ascii="Arial" w:hAnsi="Arial" w:cs="Arial"/>
                <w:sz w:val="20"/>
                <w:szCs w:val="20"/>
                <w:u w:val="single"/>
              </w:rPr>
            </w:pPr>
          </w:p>
        </w:tc>
        <w:tc>
          <w:tcPr>
            <w:tcW w:w="1117" w:type="dxa"/>
          </w:tcPr>
          <w:p>
            <w:pPr>
              <w:pStyle w:val="Sansinterligne11"/>
              <w:spacing w:before="120" w:after="120" w:line="276" w:lineRule="auto"/>
              <w:jc w:val="center"/>
              <w:rPr>
                <w:rFonts w:ascii="Arial" w:hAnsi="Arial" w:cs="Arial"/>
                <w:sz w:val="20"/>
                <w:szCs w:val="20"/>
                <w:u w:val="single"/>
              </w:rPr>
            </w:pPr>
          </w:p>
        </w:tc>
      </w:tr>
      <w:tr>
        <w:tc>
          <w:tcPr>
            <w:tcW w:w="7003" w:type="dxa"/>
            <w:tcBorders>
              <w:top w:val="dashed" w:sz="4" w:space="0" w:color="auto"/>
            </w:tcBorders>
          </w:tcPr>
          <w:p>
            <w:pPr>
              <w:ind w:left="720" w:hanging="720"/>
              <w:jc w:val="both"/>
              <w:rPr>
                <w:rFonts w:cs="Arial"/>
                <w:sz w:val="20"/>
                <w:szCs w:val="20"/>
              </w:rPr>
            </w:pPr>
            <w:r>
              <w:rPr>
                <w:rFonts w:cs="Arial"/>
                <w:sz w:val="20"/>
                <w:szCs w:val="20"/>
              </w:rPr>
              <w:t xml:space="preserve">Dans le cas d’une </w:t>
            </w:r>
            <w:r>
              <w:rPr>
                <w:rFonts w:cs="Arial"/>
                <w:i/>
                <w:sz w:val="20"/>
                <w:szCs w:val="20"/>
                <w:u w:val="single"/>
              </w:rPr>
              <w:t>augmentation de la population de l’implantation de plus de 10%</w:t>
            </w:r>
            <w:r>
              <w:rPr>
                <w:rFonts w:cs="Arial"/>
                <w:sz w:val="20"/>
                <w:szCs w:val="20"/>
              </w:rPr>
              <w:t xml:space="preserve"> </w:t>
            </w:r>
            <w:r>
              <w:rPr>
                <w:rFonts w:cs="Arial"/>
                <w:sz w:val="20"/>
              </w:rPr>
              <w:t xml:space="preserve">entre le 15 janvier et le 30 septembre  </w:t>
            </w:r>
            <w:r>
              <w:rPr>
                <w:rFonts w:cs="Arial"/>
                <w:sz w:val="20"/>
                <w:szCs w:val="20"/>
              </w:rPr>
              <w:t>à condition que:</w:t>
            </w:r>
          </w:p>
          <w:p>
            <w:pPr>
              <w:numPr>
                <w:ilvl w:val="5"/>
                <w:numId w:val="140"/>
              </w:numPr>
              <w:tabs>
                <w:tab w:val="clear" w:pos="2160"/>
              </w:tabs>
              <w:ind w:left="1440" w:hanging="540"/>
              <w:jc w:val="both"/>
              <w:rPr>
                <w:rFonts w:cs="Arial"/>
                <w:sz w:val="20"/>
                <w:szCs w:val="20"/>
              </w:rPr>
            </w:pPr>
            <w:r>
              <w:rPr>
                <w:rFonts w:cs="Arial"/>
                <w:sz w:val="20"/>
                <w:szCs w:val="20"/>
              </w:rPr>
              <w:t>l’école dont dépend l’implantation concernée ne soit pas en situation de recomptage primaire au 30 septembre</w:t>
            </w:r>
          </w:p>
          <w:p>
            <w:pPr>
              <w:numPr>
                <w:ilvl w:val="5"/>
                <w:numId w:val="140"/>
              </w:numPr>
              <w:tabs>
                <w:tab w:val="clear" w:pos="2160"/>
              </w:tabs>
              <w:ind w:left="1440" w:hanging="540"/>
              <w:jc w:val="both"/>
              <w:rPr>
                <w:rFonts w:cs="Arial"/>
                <w:sz w:val="20"/>
                <w:szCs w:val="20"/>
              </w:rPr>
            </w:pPr>
            <w:r>
              <w:rPr>
                <w:rFonts w:cs="Arial"/>
                <w:sz w:val="20"/>
                <w:szCs w:val="20"/>
              </w:rPr>
              <w:t>cette augmentation ne résulte pas d’une restructuration</w:t>
            </w:r>
          </w:p>
          <w:p>
            <w:pPr>
              <w:numPr>
                <w:ilvl w:val="5"/>
                <w:numId w:val="140"/>
              </w:numPr>
              <w:tabs>
                <w:tab w:val="clear" w:pos="2160"/>
              </w:tabs>
              <w:ind w:left="1440" w:hanging="540"/>
              <w:jc w:val="both"/>
              <w:rPr>
                <w:rFonts w:cs="Arial"/>
                <w:sz w:val="20"/>
                <w:szCs w:val="20"/>
              </w:rPr>
            </w:pPr>
            <w:r>
              <w:rPr>
                <w:rFonts w:cs="Arial"/>
                <w:sz w:val="20"/>
              </w:rPr>
              <w:t>l’implantation concernée n’a pas la possibilité d’un transfert de périodes tel que prévu à l’art 37 du Décret du 13/7/1998</w:t>
            </w:r>
          </w:p>
        </w:tc>
        <w:tc>
          <w:tcPr>
            <w:tcW w:w="861" w:type="dxa"/>
          </w:tcPr>
          <w:p>
            <w:pPr>
              <w:pStyle w:val="Sansinterligne11"/>
              <w:spacing w:before="120" w:after="120" w:line="276" w:lineRule="auto"/>
              <w:jc w:val="center"/>
              <w:rPr>
                <w:rFonts w:ascii="Arial" w:hAnsi="Arial" w:cs="Arial"/>
                <w:sz w:val="20"/>
                <w:szCs w:val="20"/>
                <w:u w:val="single"/>
              </w:rPr>
            </w:pPr>
          </w:p>
        </w:tc>
        <w:tc>
          <w:tcPr>
            <w:tcW w:w="873" w:type="dxa"/>
          </w:tcPr>
          <w:p>
            <w:pPr>
              <w:pStyle w:val="Sansinterligne11"/>
              <w:spacing w:before="120" w:after="120" w:line="276" w:lineRule="auto"/>
              <w:jc w:val="center"/>
              <w:rPr>
                <w:rFonts w:ascii="Arial" w:hAnsi="Arial" w:cs="Arial"/>
                <w:sz w:val="20"/>
                <w:szCs w:val="20"/>
                <w:u w:val="single"/>
              </w:rPr>
            </w:pPr>
          </w:p>
        </w:tc>
        <w:tc>
          <w:tcPr>
            <w:tcW w:w="1117" w:type="dxa"/>
          </w:tcPr>
          <w:p>
            <w:pPr>
              <w:pStyle w:val="Sansinterligne11"/>
              <w:spacing w:before="120" w:after="120" w:line="276" w:lineRule="auto"/>
              <w:jc w:val="center"/>
              <w:rPr>
                <w:rFonts w:ascii="Arial" w:hAnsi="Arial" w:cs="Arial"/>
                <w:sz w:val="20"/>
                <w:szCs w:val="20"/>
                <w:u w:val="single"/>
              </w:rPr>
            </w:pPr>
          </w:p>
        </w:tc>
      </w:tr>
      <w:tr>
        <w:tc>
          <w:tcPr>
            <w:tcW w:w="7003" w:type="dxa"/>
          </w:tcPr>
          <w:p>
            <w:pPr>
              <w:ind w:left="720" w:hanging="720"/>
              <w:jc w:val="center"/>
              <w:rPr>
                <w:rFonts w:cs="Arial"/>
                <w:b/>
                <w:szCs w:val="22"/>
                <w:u w:val="single"/>
              </w:rPr>
            </w:pPr>
            <w:r>
              <w:rPr>
                <w:rFonts w:cs="Arial"/>
                <w:b/>
                <w:szCs w:val="22"/>
                <w:u w:val="single"/>
              </w:rPr>
              <w:t>Dépassements aux maximas</w:t>
            </w:r>
          </w:p>
          <w:p>
            <w:pPr>
              <w:rPr>
                <w:rFonts w:cs="Arial"/>
                <w:sz w:val="20"/>
                <w:szCs w:val="20"/>
              </w:rPr>
            </w:pPr>
          </w:p>
        </w:tc>
        <w:tc>
          <w:tcPr>
            <w:tcW w:w="861"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Cocher</w:t>
            </w:r>
          </w:p>
        </w:tc>
        <w:tc>
          <w:tcPr>
            <w:tcW w:w="873"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Année d’étude</w:t>
            </w:r>
          </w:p>
        </w:tc>
        <w:tc>
          <w:tcPr>
            <w:tcW w:w="1117"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Nbre Es/Classe</w:t>
            </w:r>
          </w:p>
        </w:tc>
      </w:tr>
      <w:tr>
        <w:tc>
          <w:tcPr>
            <w:tcW w:w="7003" w:type="dxa"/>
          </w:tcPr>
          <w:p>
            <w:pPr>
              <w:ind w:left="720" w:hanging="720"/>
              <w:jc w:val="center"/>
              <w:rPr>
                <w:rFonts w:cs="Arial"/>
                <w:b/>
                <w:i/>
                <w:sz w:val="20"/>
                <w:szCs w:val="20"/>
              </w:rPr>
            </w:pPr>
            <w:r>
              <w:rPr>
                <w:rFonts w:cs="Arial"/>
                <w:b/>
                <w:i/>
                <w:sz w:val="20"/>
                <w:szCs w:val="20"/>
              </w:rPr>
              <w:t xml:space="preserve">Dépassements automatiques accordés </w:t>
            </w:r>
            <w:r>
              <w:rPr>
                <w:rFonts w:cs="Arial"/>
                <w:b/>
                <w:i/>
                <w:sz w:val="20"/>
                <w:szCs w:val="20"/>
              </w:rPr>
              <w:br/>
              <w:t>(avis préalable des organes de concertation)</w:t>
            </w:r>
          </w:p>
          <w:p>
            <w:pPr>
              <w:rPr>
                <w:rFonts w:cs="Arial"/>
                <w:sz w:val="20"/>
                <w:szCs w:val="20"/>
              </w:rPr>
            </w:pPr>
            <w:r>
              <w:rPr>
                <w:rFonts w:cs="Arial"/>
                <w:sz w:val="20"/>
                <w:szCs w:val="20"/>
              </w:rPr>
              <w:t>Si le nombre de classes organisables sur la base du capital-périodes déterminé au 15 janvier ne permet pas de dédoubler un groupe dont la taille est fonction de l’hétérogénéité du nombre d’élèves par classe d’âge</w:t>
            </w:r>
          </w:p>
          <w:p>
            <w:pPr>
              <w:rPr>
                <w:rFonts w:cs="Arial"/>
                <w:b/>
                <w:i/>
                <w:sz w:val="20"/>
                <w:szCs w:val="20"/>
                <w:u w:val="single"/>
              </w:rPr>
            </w:pPr>
          </w:p>
        </w:tc>
        <w:tc>
          <w:tcPr>
            <w:tcW w:w="861" w:type="dxa"/>
          </w:tcPr>
          <w:p>
            <w:pPr>
              <w:pStyle w:val="Sansinterligne11"/>
              <w:spacing w:before="120" w:after="120" w:line="276" w:lineRule="auto"/>
              <w:jc w:val="center"/>
              <w:rPr>
                <w:rFonts w:ascii="Arial" w:hAnsi="Arial" w:cs="Arial"/>
                <w:sz w:val="20"/>
                <w:szCs w:val="20"/>
                <w:u w:val="single"/>
              </w:rPr>
            </w:pPr>
          </w:p>
        </w:tc>
        <w:tc>
          <w:tcPr>
            <w:tcW w:w="873" w:type="dxa"/>
          </w:tcPr>
          <w:p>
            <w:pPr>
              <w:pStyle w:val="Sansinterligne11"/>
              <w:spacing w:before="120" w:after="120" w:line="276" w:lineRule="auto"/>
              <w:jc w:val="center"/>
              <w:rPr>
                <w:rFonts w:ascii="Arial" w:hAnsi="Arial" w:cs="Arial"/>
                <w:sz w:val="20"/>
                <w:szCs w:val="20"/>
                <w:u w:val="single"/>
              </w:rPr>
            </w:pPr>
          </w:p>
        </w:tc>
        <w:tc>
          <w:tcPr>
            <w:tcW w:w="1117" w:type="dxa"/>
          </w:tcPr>
          <w:p>
            <w:pPr>
              <w:pStyle w:val="Sansinterligne11"/>
              <w:spacing w:before="120" w:after="120" w:line="276" w:lineRule="auto"/>
              <w:jc w:val="center"/>
              <w:rPr>
                <w:rFonts w:ascii="Arial" w:hAnsi="Arial" w:cs="Arial"/>
                <w:sz w:val="20"/>
                <w:szCs w:val="20"/>
                <w:u w:val="single"/>
              </w:rPr>
            </w:pPr>
          </w:p>
        </w:tc>
      </w:tr>
      <w:tr>
        <w:tc>
          <w:tcPr>
            <w:tcW w:w="7003" w:type="dxa"/>
            <w:tcBorders>
              <w:bottom w:val="dashed" w:sz="4" w:space="0" w:color="auto"/>
            </w:tcBorders>
          </w:tcPr>
          <w:p>
            <w:pPr>
              <w:ind w:left="720" w:hanging="720"/>
              <w:jc w:val="center"/>
              <w:rPr>
                <w:rFonts w:cs="Arial"/>
                <w:b/>
                <w:i/>
                <w:sz w:val="20"/>
                <w:szCs w:val="20"/>
              </w:rPr>
            </w:pPr>
          </w:p>
          <w:p>
            <w:pPr>
              <w:ind w:left="720" w:hanging="720"/>
              <w:jc w:val="center"/>
              <w:rPr>
                <w:rFonts w:cs="Arial"/>
                <w:b/>
                <w:i/>
                <w:sz w:val="20"/>
                <w:szCs w:val="20"/>
              </w:rPr>
            </w:pPr>
            <w:r>
              <w:rPr>
                <w:rFonts w:cs="Arial"/>
                <w:b/>
                <w:i/>
                <w:sz w:val="20"/>
                <w:szCs w:val="20"/>
              </w:rPr>
              <w:t xml:space="preserve">Des dépassements accordés par dérogation du Gouvernement </w:t>
            </w:r>
            <w:r>
              <w:rPr>
                <w:rFonts w:cs="Arial"/>
                <w:b/>
                <w:i/>
                <w:sz w:val="20"/>
                <w:szCs w:val="20"/>
              </w:rPr>
              <w:br/>
              <w:t xml:space="preserve">(avis préalable </w:t>
            </w:r>
            <w:r>
              <w:rPr>
                <w:rFonts w:cs="Arial"/>
                <w:b/>
                <w:i/>
                <w:sz w:val="20"/>
                <w:szCs w:val="20"/>
                <w:u w:val="single"/>
              </w:rPr>
              <w:t>favorable</w:t>
            </w:r>
            <w:r>
              <w:rPr>
                <w:rFonts w:cs="Arial"/>
                <w:b/>
                <w:i/>
                <w:sz w:val="20"/>
                <w:szCs w:val="20"/>
              </w:rPr>
              <w:t xml:space="preserve"> des organes de concertation)</w:t>
            </w:r>
          </w:p>
          <w:p>
            <w:pPr>
              <w:ind w:left="720" w:hanging="720"/>
              <w:jc w:val="center"/>
              <w:rPr>
                <w:rFonts w:cs="Arial"/>
                <w:sz w:val="24"/>
              </w:rPr>
            </w:pPr>
          </w:p>
        </w:tc>
        <w:tc>
          <w:tcPr>
            <w:tcW w:w="861"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Cocher</w:t>
            </w:r>
          </w:p>
        </w:tc>
        <w:tc>
          <w:tcPr>
            <w:tcW w:w="873"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Année d’étude</w:t>
            </w:r>
          </w:p>
        </w:tc>
        <w:tc>
          <w:tcPr>
            <w:tcW w:w="1117" w:type="dxa"/>
          </w:tcPr>
          <w:p>
            <w:pPr>
              <w:pStyle w:val="Sansinterligne11"/>
              <w:spacing w:before="120" w:after="120"/>
              <w:jc w:val="center"/>
              <w:rPr>
                <w:rFonts w:ascii="Arial" w:hAnsi="Arial" w:cs="Arial"/>
                <w:sz w:val="20"/>
                <w:szCs w:val="20"/>
                <w:u w:val="single"/>
              </w:rPr>
            </w:pPr>
            <w:r>
              <w:rPr>
                <w:rFonts w:ascii="Arial" w:hAnsi="Arial" w:cs="Arial"/>
                <w:sz w:val="20"/>
                <w:szCs w:val="20"/>
                <w:u w:val="single"/>
              </w:rPr>
              <w:t>Nbre Es/Classe</w:t>
            </w:r>
          </w:p>
        </w:tc>
      </w:tr>
      <w:tr>
        <w:tc>
          <w:tcPr>
            <w:tcW w:w="7003" w:type="dxa"/>
            <w:tcBorders>
              <w:top w:val="dashed" w:sz="4" w:space="0" w:color="auto"/>
              <w:bottom w:val="dashed" w:sz="4" w:space="0" w:color="auto"/>
            </w:tcBorders>
          </w:tcPr>
          <w:p>
            <w:pPr>
              <w:pStyle w:val="Sansinterligne11"/>
              <w:spacing w:line="276" w:lineRule="auto"/>
              <w:jc w:val="both"/>
              <w:rPr>
                <w:rFonts w:ascii="Arial" w:hAnsi="Arial" w:cs="Arial"/>
                <w:sz w:val="20"/>
                <w:szCs w:val="20"/>
              </w:rPr>
            </w:pPr>
            <w:r>
              <w:rPr>
                <w:rFonts w:ascii="Arial" w:hAnsi="Arial" w:cs="Arial"/>
                <w:i/>
                <w:sz w:val="20"/>
                <w:szCs w:val="20"/>
                <w:u w:val="single"/>
              </w:rPr>
              <w:t>Toutes les conditions ci-dessous sont remplies</w:t>
            </w:r>
            <w:r>
              <w:rPr>
                <w:rFonts w:ascii="Arial" w:hAnsi="Arial" w:cs="Arial"/>
                <w:sz w:val="20"/>
                <w:szCs w:val="20"/>
              </w:rPr>
              <w:t>:</w:t>
            </w:r>
          </w:p>
          <w:p>
            <w:pPr>
              <w:pStyle w:val="Sansinterligne11"/>
              <w:spacing w:line="276" w:lineRule="auto"/>
              <w:jc w:val="both"/>
              <w:rPr>
                <w:rFonts w:ascii="Arial" w:hAnsi="Arial" w:cs="Arial"/>
                <w:sz w:val="20"/>
                <w:szCs w:val="20"/>
              </w:rPr>
            </w:pPr>
            <w:r>
              <w:rPr>
                <w:rFonts w:ascii="Arial" w:hAnsi="Arial" w:cs="Arial"/>
                <w:sz w:val="20"/>
                <w:szCs w:val="20"/>
              </w:rPr>
              <w:t xml:space="preserve">1) une organisation pédagogique particulière a été adoptée; </w:t>
            </w:r>
          </w:p>
          <w:p>
            <w:pPr>
              <w:pStyle w:val="Sansinterligne11"/>
              <w:spacing w:line="276" w:lineRule="auto"/>
              <w:jc w:val="both"/>
              <w:rPr>
                <w:rFonts w:ascii="Arial" w:hAnsi="Arial" w:cs="Arial"/>
                <w:sz w:val="20"/>
                <w:szCs w:val="20"/>
              </w:rPr>
            </w:pPr>
            <w:r>
              <w:rPr>
                <w:rFonts w:ascii="Arial" w:hAnsi="Arial" w:cs="Arial"/>
                <w:sz w:val="20"/>
                <w:szCs w:val="20"/>
              </w:rPr>
              <w:t>2) Un minimum de 12 périodes permet de dédoubler tout ou partie du groupe- classe dont le nombre d’élèves dépasserait le maximum prévu de 2 élèves au plus;</w:t>
            </w:r>
          </w:p>
          <w:p>
            <w:pPr>
              <w:pStyle w:val="Sansinterligne11"/>
              <w:spacing w:line="276" w:lineRule="auto"/>
              <w:jc w:val="both"/>
              <w:rPr>
                <w:rFonts w:ascii="Arial" w:hAnsi="Arial" w:cs="Arial"/>
                <w:sz w:val="20"/>
                <w:szCs w:val="20"/>
              </w:rPr>
            </w:pPr>
            <w:r>
              <w:t xml:space="preserve">3) Compte tenu du minimum de 12 périodes susvisées, le ratio est bien respecté. </w:t>
            </w:r>
          </w:p>
        </w:tc>
        <w:tc>
          <w:tcPr>
            <w:tcW w:w="861" w:type="dxa"/>
          </w:tcPr>
          <w:p>
            <w:pPr>
              <w:pStyle w:val="Sansinterligne11"/>
              <w:spacing w:before="120" w:after="120" w:line="276" w:lineRule="auto"/>
              <w:jc w:val="center"/>
              <w:rPr>
                <w:rFonts w:ascii="Arial" w:hAnsi="Arial" w:cs="Arial"/>
                <w:sz w:val="20"/>
                <w:szCs w:val="20"/>
                <w:u w:val="single"/>
              </w:rPr>
            </w:pPr>
          </w:p>
        </w:tc>
        <w:tc>
          <w:tcPr>
            <w:tcW w:w="873" w:type="dxa"/>
          </w:tcPr>
          <w:p>
            <w:pPr>
              <w:pStyle w:val="Sansinterligne11"/>
              <w:spacing w:before="120" w:after="120" w:line="276" w:lineRule="auto"/>
              <w:jc w:val="center"/>
              <w:rPr>
                <w:rFonts w:ascii="Arial" w:hAnsi="Arial" w:cs="Arial"/>
                <w:sz w:val="20"/>
                <w:szCs w:val="20"/>
                <w:u w:val="single"/>
              </w:rPr>
            </w:pPr>
          </w:p>
        </w:tc>
        <w:tc>
          <w:tcPr>
            <w:tcW w:w="1117" w:type="dxa"/>
          </w:tcPr>
          <w:p>
            <w:pPr>
              <w:pStyle w:val="Sansinterligne11"/>
              <w:spacing w:before="120" w:after="120" w:line="276" w:lineRule="auto"/>
              <w:jc w:val="center"/>
              <w:rPr>
                <w:rFonts w:ascii="Arial" w:hAnsi="Arial" w:cs="Arial"/>
                <w:sz w:val="20"/>
                <w:szCs w:val="20"/>
                <w:u w:val="single"/>
              </w:rPr>
            </w:pPr>
          </w:p>
        </w:tc>
      </w:tr>
      <w:tr>
        <w:tc>
          <w:tcPr>
            <w:tcW w:w="7003" w:type="dxa"/>
            <w:tcBorders>
              <w:top w:val="dashed" w:sz="4" w:space="0" w:color="auto"/>
              <w:bottom w:val="dashed" w:sz="4" w:space="0" w:color="auto"/>
            </w:tcBorders>
          </w:tcPr>
          <w:p>
            <w:pPr>
              <w:pStyle w:val="Sansinterligne11"/>
              <w:spacing w:line="276" w:lineRule="auto"/>
              <w:jc w:val="both"/>
              <w:rPr>
                <w:rFonts w:ascii="Arial" w:hAnsi="Arial" w:cs="Arial"/>
                <w:sz w:val="20"/>
                <w:szCs w:val="20"/>
              </w:rPr>
            </w:pPr>
            <w:r>
              <w:rPr>
                <w:rFonts w:ascii="Arial" w:hAnsi="Arial" w:cs="Arial"/>
                <w:i/>
                <w:sz w:val="20"/>
                <w:szCs w:val="20"/>
                <w:u w:val="single"/>
              </w:rPr>
              <w:t>Toutes les conditions ci-dessous sont remplies</w:t>
            </w:r>
            <w:r>
              <w:rPr>
                <w:rFonts w:ascii="Arial" w:hAnsi="Arial" w:cs="Arial"/>
                <w:sz w:val="20"/>
                <w:szCs w:val="20"/>
              </w:rPr>
              <w:t>:</w:t>
            </w:r>
          </w:p>
          <w:p>
            <w:pPr>
              <w:pStyle w:val="Sansinterligne11"/>
              <w:spacing w:line="276" w:lineRule="auto"/>
              <w:jc w:val="both"/>
              <w:rPr>
                <w:rFonts w:ascii="Arial" w:hAnsi="Arial" w:cs="Arial"/>
                <w:sz w:val="20"/>
                <w:szCs w:val="20"/>
              </w:rPr>
            </w:pPr>
            <w:r>
              <w:rPr>
                <w:rFonts w:ascii="Arial" w:hAnsi="Arial" w:cs="Arial"/>
                <w:sz w:val="20"/>
                <w:szCs w:val="20"/>
              </w:rPr>
              <w:t xml:space="preserve">1) une organisation pédagogique particulière a été adoptée; </w:t>
            </w:r>
          </w:p>
          <w:p>
            <w:pPr>
              <w:pStyle w:val="Sansinterligne11"/>
              <w:spacing w:line="276" w:lineRule="auto"/>
              <w:jc w:val="both"/>
              <w:rPr>
                <w:rFonts w:ascii="Arial" w:hAnsi="Arial" w:cs="Arial"/>
                <w:sz w:val="20"/>
                <w:szCs w:val="20"/>
              </w:rPr>
            </w:pPr>
            <w:r>
              <w:rPr>
                <w:rFonts w:ascii="Arial" w:hAnsi="Arial" w:cs="Arial"/>
                <w:sz w:val="20"/>
                <w:szCs w:val="20"/>
              </w:rPr>
              <w:t>2) Un minimum de 18 périodes permet de dédoubler tout ou partie du groupe- classe dont le nombre d’élèves dépasserait le maximum prévu de 4 élèves au plus;</w:t>
            </w:r>
          </w:p>
          <w:p>
            <w:pPr>
              <w:pStyle w:val="Sansinterligne11"/>
              <w:spacing w:line="276" w:lineRule="auto"/>
              <w:jc w:val="both"/>
              <w:rPr>
                <w:rFonts w:ascii="Arial" w:hAnsi="Arial" w:cs="Arial"/>
                <w:sz w:val="20"/>
                <w:szCs w:val="20"/>
              </w:rPr>
            </w:pPr>
            <w:r>
              <w:rPr>
                <w:rFonts w:ascii="Arial" w:hAnsi="Arial" w:cs="Arial"/>
                <w:sz w:val="20"/>
                <w:szCs w:val="20"/>
              </w:rPr>
              <w:t xml:space="preserve">3) Compte tenu du minimum de 18 périodes susvisées, le ratio est bien respecté </w:t>
            </w:r>
          </w:p>
        </w:tc>
        <w:tc>
          <w:tcPr>
            <w:tcW w:w="861" w:type="dxa"/>
          </w:tcPr>
          <w:p>
            <w:pPr>
              <w:pStyle w:val="Sansinterligne11"/>
              <w:spacing w:before="120" w:after="120" w:line="276" w:lineRule="auto"/>
              <w:jc w:val="center"/>
              <w:rPr>
                <w:rFonts w:ascii="Arial" w:hAnsi="Arial" w:cs="Arial"/>
                <w:sz w:val="20"/>
                <w:szCs w:val="20"/>
                <w:u w:val="single"/>
              </w:rPr>
            </w:pPr>
          </w:p>
        </w:tc>
        <w:tc>
          <w:tcPr>
            <w:tcW w:w="873" w:type="dxa"/>
          </w:tcPr>
          <w:p>
            <w:pPr>
              <w:pStyle w:val="Sansinterligne11"/>
              <w:spacing w:before="120" w:after="120" w:line="276" w:lineRule="auto"/>
              <w:jc w:val="center"/>
              <w:rPr>
                <w:rFonts w:ascii="Arial" w:hAnsi="Arial" w:cs="Arial"/>
                <w:sz w:val="20"/>
                <w:szCs w:val="20"/>
                <w:u w:val="single"/>
              </w:rPr>
            </w:pPr>
          </w:p>
        </w:tc>
        <w:tc>
          <w:tcPr>
            <w:tcW w:w="1117" w:type="dxa"/>
          </w:tcPr>
          <w:p>
            <w:pPr>
              <w:pStyle w:val="Sansinterligne11"/>
              <w:spacing w:before="120" w:after="120" w:line="276" w:lineRule="auto"/>
              <w:jc w:val="center"/>
              <w:rPr>
                <w:rFonts w:ascii="Arial" w:hAnsi="Arial" w:cs="Arial"/>
                <w:sz w:val="20"/>
                <w:szCs w:val="20"/>
                <w:u w:val="single"/>
              </w:rPr>
            </w:pPr>
          </w:p>
        </w:tc>
      </w:tr>
      <w:tr>
        <w:tc>
          <w:tcPr>
            <w:tcW w:w="7003" w:type="dxa"/>
            <w:tcBorders>
              <w:top w:val="dashed" w:sz="4" w:space="0" w:color="auto"/>
            </w:tcBorders>
          </w:tcPr>
          <w:p>
            <w:pPr>
              <w:pStyle w:val="Sansinterligne11"/>
              <w:spacing w:line="276" w:lineRule="auto"/>
              <w:jc w:val="both"/>
              <w:rPr>
                <w:rFonts w:ascii="Arial" w:hAnsi="Arial" w:cs="Arial"/>
                <w:sz w:val="20"/>
                <w:szCs w:val="20"/>
              </w:rPr>
            </w:pPr>
            <w:r>
              <w:rPr>
                <w:rFonts w:ascii="Arial" w:hAnsi="Arial" w:cs="Arial"/>
                <w:sz w:val="20"/>
                <w:szCs w:val="20"/>
              </w:rPr>
              <w:t>Dans le cas d’une situation locale non répertoriée par le rapport demandé à l’Administration résultant notamment:</w:t>
            </w:r>
          </w:p>
          <w:p>
            <w:pPr>
              <w:numPr>
                <w:ilvl w:val="0"/>
                <w:numId w:val="147"/>
              </w:numPr>
              <w:tabs>
                <w:tab w:val="clear" w:pos="1068"/>
                <w:tab w:val="left" w:pos="150"/>
              </w:tabs>
              <w:spacing w:line="276" w:lineRule="auto"/>
              <w:ind w:left="360" w:hanging="540"/>
              <w:rPr>
                <w:rFonts w:cs="Arial"/>
                <w:sz w:val="20"/>
                <w:szCs w:val="20"/>
              </w:rPr>
            </w:pPr>
            <w:r>
              <w:rPr>
                <w:rFonts w:cs="Arial"/>
                <w:sz w:val="20"/>
                <w:szCs w:val="20"/>
              </w:rPr>
              <w:t xml:space="preserve">- </w:t>
            </w:r>
            <w:r>
              <w:rPr>
                <w:rFonts w:cs="Arial"/>
                <w:sz w:val="20"/>
                <w:szCs w:val="20"/>
              </w:rPr>
              <w:tab/>
              <w:t xml:space="preserve">soit d’une évolution démographique touchant l’ensemble des implantations d’une commune ou de communes limitrophes, </w:t>
            </w:r>
          </w:p>
          <w:p>
            <w:pPr>
              <w:numPr>
                <w:ilvl w:val="0"/>
                <w:numId w:val="147"/>
              </w:numPr>
              <w:tabs>
                <w:tab w:val="clear" w:pos="1068"/>
                <w:tab w:val="left" w:pos="150"/>
              </w:tabs>
              <w:spacing w:line="276" w:lineRule="auto"/>
              <w:ind w:left="358" w:hanging="539"/>
              <w:rPr>
                <w:rFonts w:cs="Arial"/>
                <w:sz w:val="20"/>
                <w:szCs w:val="20"/>
              </w:rPr>
            </w:pPr>
            <w:r>
              <w:rPr>
                <w:rFonts w:cs="Arial"/>
                <w:sz w:val="20"/>
                <w:szCs w:val="20"/>
              </w:rPr>
              <w:t xml:space="preserve">- </w:t>
            </w:r>
            <w:r>
              <w:rPr>
                <w:rFonts w:cs="Arial"/>
                <w:sz w:val="20"/>
                <w:szCs w:val="20"/>
              </w:rPr>
              <w:tab/>
              <w:t xml:space="preserve">soit d’une fermeture d’implantation au 1er septembre ou au 1er octobre de l’année scolaire en cours. </w:t>
            </w:r>
          </w:p>
          <w:p>
            <w:pPr>
              <w:jc w:val="both"/>
              <w:rPr>
                <w:rFonts w:cs="Arial"/>
                <w:b/>
                <w:i/>
                <w:sz w:val="20"/>
                <w:szCs w:val="20"/>
                <w:u w:val="single"/>
              </w:rPr>
            </w:pPr>
          </w:p>
        </w:tc>
        <w:tc>
          <w:tcPr>
            <w:tcW w:w="861" w:type="dxa"/>
          </w:tcPr>
          <w:p>
            <w:pPr>
              <w:pStyle w:val="Sansinterligne11"/>
              <w:spacing w:before="120" w:after="120" w:line="276" w:lineRule="auto"/>
              <w:jc w:val="center"/>
              <w:rPr>
                <w:rFonts w:ascii="Arial" w:hAnsi="Arial" w:cs="Arial"/>
                <w:sz w:val="20"/>
                <w:szCs w:val="20"/>
                <w:u w:val="single"/>
              </w:rPr>
            </w:pPr>
          </w:p>
        </w:tc>
        <w:tc>
          <w:tcPr>
            <w:tcW w:w="873" w:type="dxa"/>
          </w:tcPr>
          <w:p>
            <w:pPr>
              <w:pStyle w:val="Sansinterligne11"/>
              <w:spacing w:before="120" w:after="120" w:line="276" w:lineRule="auto"/>
              <w:jc w:val="center"/>
              <w:rPr>
                <w:rFonts w:ascii="Arial" w:hAnsi="Arial" w:cs="Arial"/>
                <w:sz w:val="20"/>
                <w:szCs w:val="20"/>
                <w:u w:val="single"/>
              </w:rPr>
            </w:pPr>
          </w:p>
        </w:tc>
        <w:tc>
          <w:tcPr>
            <w:tcW w:w="1117" w:type="dxa"/>
          </w:tcPr>
          <w:p>
            <w:pPr>
              <w:pStyle w:val="Sansinterligne11"/>
              <w:spacing w:before="120" w:after="120" w:line="276" w:lineRule="auto"/>
              <w:jc w:val="center"/>
              <w:rPr>
                <w:rFonts w:ascii="Arial" w:hAnsi="Arial" w:cs="Arial"/>
                <w:sz w:val="20"/>
                <w:szCs w:val="20"/>
                <w:u w:val="single"/>
              </w:rPr>
            </w:pPr>
          </w:p>
        </w:tc>
      </w:tr>
    </w:tbl>
    <w:p>
      <w:pPr>
        <w:pStyle w:val="Sansinterligne11"/>
        <w:jc w:val="both"/>
        <w:rPr>
          <w:rFonts w:ascii="Arial" w:hAnsi="Arial" w:cs="Arial"/>
          <w:b/>
        </w:rPr>
      </w:pPr>
    </w:p>
    <w:p>
      <w:pPr>
        <w:pStyle w:val="Sansinterligne11"/>
        <w:jc w:val="both"/>
        <w:rPr>
          <w:rFonts w:ascii="Arial" w:hAnsi="Arial" w:cs="Arial"/>
          <w:b/>
          <w:u w:val="single"/>
        </w:rPr>
      </w:pPr>
    </w:p>
    <w:p>
      <w:pPr>
        <w:pStyle w:val="Sansinterligne11"/>
        <w:jc w:val="both"/>
        <w:rPr>
          <w:rFonts w:ascii="Arial" w:hAnsi="Arial" w:cs="Arial"/>
          <w:b/>
          <w:u w:val="single"/>
        </w:rPr>
      </w:pPr>
    </w:p>
    <w:p>
      <w:pPr>
        <w:pStyle w:val="Sansinterligne11"/>
        <w:jc w:val="both"/>
        <w:rPr>
          <w:rFonts w:ascii="Arial" w:hAnsi="Arial" w:cs="Arial"/>
          <w:b/>
        </w:rPr>
      </w:pPr>
      <w:r>
        <w:rPr>
          <w:rFonts w:ascii="Arial" w:hAnsi="Arial" w:cs="Arial"/>
          <w:b/>
        </w:rPr>
        <w:t>Signature du Pouvoir organisateur (OS – LS) ou du Chef d’Etablissement (FWB)</w:t>
      </w:r>
      <w:r>
        <w:rPr>
          <w:rStyle w:val="Appelnotedebasdep"/>
          <w:b/>
        </w:rPr>
        <w:footnoteReference w:id="95"/>
      </w:r>
      <w:r>
        <w:rPr>
          <w:rFonts w:ascii="Arial" w:hAnsi="Arial" w:cs="Arial"/>
          <w:b/>
        </w:rPr>
        <w:t>:</w:t>
      </w:r>
    </w:p>
    <w:p>
      <w:pPr>
        <w:pStyle w:val="Sansinterligne11"/>
        <w:jc w:val="both"/>
        <w:rPr>
          <w:rFonts w:ascii="Arial" w:hAnsi="Arial" w:cs="Arial"/>
          <w:b/>
        </w:rPr>
      </w:pPr>
    </w:p>
    <w:tbl>
      <w:tblPr>
        <w:tblW w:w="0" w:type="auto"/>
        <w:tblBorders>
          <w:top w:val="single" w:sz="4" w:space="0" w:color="auto"/>
        </w:tblBorders>
        <w:tblLook w:val="01E0" w:firstRow="1" w:lastRow="1" w:firstColumn="1" w:lastColumn="1" w:noHBand="0" w:noVBand="0"/>
      </w:tblPr>
      <w:tblGrid>
        <w:gridCol w:w="4889"/>
        <w:gridCol w:w="4889"/>
      </w:tblGrid>
      <w:tr>
        <w:tc>
          <w:tcPr>
            <w:tcW w:w="4889" w:type="dxa"/>
            <w:tcBorders>
              <w:top w:val="single" w:sz="4" w:space="0" w:color="auto"/>
            </w:tcBorders>
          </w:tcPr>
          <w:p>
            <w:pPr>
              <w:pStyle w:val="Sansinterligne11"/>
              <w:spacing w:before="120"/>
              <w:jc w:val="both"/>
              <w:rPr>
                <w:rFonts w:ascii="Arial" w:hAnsi="Arial" w:cs="Arial"/>
                <w:b/>
              </w:rPr>
            </w:pPr>
            <w:r>
              <w:rPr>
                <w:rFonts w:ascii="Arial" w:hAnsi="Arial" w:cs="Arial"/>
                <w:b/>
              </w:rPr>
              <w:t>Date:</w:t>
            </w:r>
          </w:p>
        </w:tc>
        <w:tc>
          <w:tcPr>
            <w:tcW w:w="4889" w:type="dxa"/>
            <w:tcBorders>
              <w:top w:val="single" w:sz="4" w:space="0" w:color="auto"/>
            </w:tcBorders>
          </w:tcPr>
          <w:p>
            <w:pPr>
              <w:pStyle w:val="Sansinterligne11"/>
              <w:spacing w:before="120"/>
              <w:jc w:val="both"/>
              <w:rPr>
                <w:rFonts w:ascii="Arial" w:hAnsi="Arial" w:cs="Arial"/>
                <w:b/>
              </w:rPr>
            </w:pPr>
            <w:r>
              <w:rPr>
                <w:rFonts w:ascii="Arial" w:hAnsi="Arial" w:cs="Arial"/>
                <w:b/>
              </w:rPr>
              <w:t>Nom (en majuscule) et signature:</w:t>
            </w:r>
          </w:p>
        </w:tc>
      </w:tr>
    </w:tbl>
    <w:p>
      <w:pPr>
        <w:pStyle w:val="Sansinterligne11"/>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p>
      <w:pPr>
        <w:pStyle w:val="annexe"/>
      </w:pPr>
      <w:r>
        <w:br w:type="page"/>
      </w:r>
      <w:bookmarkStart w:id="2206" w:name="Annexe_332"/>
      <w:bookmarkStart w:id="2207" w:name="_Toc423420203"/>
      <w:bookmarkStart w:id="2208" w:name="_Toc450645452"/>
      <w:bookmarkStart w:id="2209" w:name="_Toc453942691"/>
      <w:bookmarkStart w:id="2210" w:name="_Toc454888307"/>
      <w:bookmarkStart w:id="2211" w:name="_Toc486241925"/>
      <w:r>
        <w:t>Annexe 3.3.2</w:t>
      </w:r>
      <w:bookmarkEnd w:id="2206"/>
      <w:r>
        <w:t>. Demande de dérogation relative à la taille des classes en raison d’une organisation pédagogique particulière</w:t>
      </w:r>
      <w:bookmarkEnd w:id="2207"/>
      <w:bookmarkEnd w:id="2208"/>
      <w:bookmarkEnd w:id="2209"/>
      <w:bookmarkEnd w:id="2210"/>
      <w:bookmarkEnd w:id="2211"/>
    </w:p>
    <w:p/>
    <w:tbl>
      <w:tblPr>
        <w:tblW w:w="9961" w:type="dxa"/>
        <w:tblLook w:val="01E0" w:firstRow="1" w:lastRow="1" w:firstColumn="1" w:lastColumn="1" w:noHBand="0" w:noVBand="0"/>
      </w:tblPr>
      <w:tblGrid>
        <w:gridCol w:w="1806"/>
        <w:gridCol w:w="2550"/>
        <w:gridCol w:w="834"/>
        <w:gridCol w:w="4771"/>
      </w:tblGrid>
      <w:tr>
        <w:trPr>
          <w:trHeight w:hRule="exact" w:val="284"/>
        </w:trPr>
        <w:tc>
          <w:tcPr>
            <w:tcW w:w="1831" w:type="dxa"/>
            <w:tcBorders>
              <w:bottom w:val="single" w:sz="4" w:space="0" w:color="auto"/>
            </w:tcBorders>
            <w:vAlign w:val="center"/>
          </w:tcPr>
          <w:p>
            <w:pPr>
              <w:pStyle w:val="Sansinterligne1"/>
              <w:spacing w:after="120"/>
              <w:rPr>
                <w:rFonts w:ascii="Arial" w:hAnsi="Arial" w:cs="Arial"/>
                <w:b/>
              </w:rPr>
            </w:pPr>
          </w:p>
        </w:tc>
        <w:tc>
          <w:tcPr>
            <w:tcW w:w="3420" w:type="dxa"/>
            <w:gridSpan w:val="2"/>
            <w:tcBorders>
              <w:bottom w:val="single" w:sz="4" w:space="0" w:color="auto"/>
            </w:tcBorders>
            <w:vAlign w:val="center"/>
          </w:tcPr>
          <w:p>
            <w:pPr>
              <w:pStyle w:val="Sansinterligne1"/>
              <w:spacing w:after="120"/>
              <w:jc w:val="center"/>
              <w:rPr>
                <w:rFonts w:ascii="Arial" w:hAnsi="Arial" w:cs="Arial"/>
                <w:b/>
              </w:rPr>
            </w:pPr>
            <w:r>
              <w:rPr>
                <w:rFonts w:ascii="Arial" w:hAnsi="Arial" w:cs="Arial"/>
                <w:b/>
              </w:rPr>
              <w:t>Année scolaire 2017-2018</w:t>
            </w:r>
          </w:p>
        </w:tc>
        <w:tc>
          <w:tcPr>
            <w:tcW w:w="4825" w:type="dxa"/>
            <w:tcBorders>
              <w:bottom w:val="single" w:sz="4" w:space="0" w:color="auto"/>
            </w:tcBorders>
            <w:vAlign w:val="center"/>
          </w:tcPr>
          <w:p>
            <w:pPr>
              <w:pStyle w:val="Sansinterligne1"/>
              <w:spacing w:after="120"/>
              <w:ind w:left="-87"/>
              <w:jc w:val="center"/>
              <w:rPr>
                <w:rFonts w:ascii="Arial" w:hAnsi="Arial" w:cs="Arial"/>
                <w:b/>
              </w:rPr>
            </w:pPr>
            <w:r>
              <w:rPr>
                <w:rFonts w:ascii="Arial" w:hAnsi="Arial" w:cs="Arial"/>
                <w:b/>
              </w:rPr>
              <w:t>Date limite de renvoi: 04/10/2017</w:t>
            </w:r>
          </w:p>
        </w:tc>
      </w:tr>
      <w:tr>
        <w:tc>
          <w:tcPr>
            <w:tcW w:w="9961" w:type="dxa"/>
            <w:gridSpan w:val="4"/>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ascii="Arial" w:hAnsi="Arial" w:cs="Arial"/>
                <w:b/>
              </w:rPr>
            </w:pPr>
            <w:r>
              <w:rPr>
                <w:rFonts w:ascii="Arial" w:hAnsi="Arial" w:cs="Arial"/>
                <w:b/>
                <w:i/>
              </w:rPr>
              <w:t>Enseignement primaire</w:t>
            </w:r>
          </w:p>
          <w:p>
            <w:pPr>
              <w:pStyle w:val="Sansinterligne1"/>
              <w:spacing w:after="120"/>
              <w:jc w:val="center"/>
              <w:rPr>
                <w:rFonts w:ascii="Arial" w:hAnsi="Arial" w:cs="Arial"/>
                <w:b/>
              </w:rPr>
            </w:pPr>
            <w:r>
              <w:rPr>
                <w:rFonts w:ascii="Arial" w:hAnsi="Arial" w:cs="Arial"/>
                <w:b/>
              </w:rPr>
              <w:t>Demande de dérogation relative à la taille des classes en raison d’une organisation pédagogique particulière</w:t>
            </w:r>
          </w:p>
          <w:p>
            <w:pPr>
              <w:pStyle w:val="Sansinterligne1"/>
              <w:jc w:val="center"/>
              <w:rPr>
                <w:rFonts w:ascii="Arial" w:hAnsi="Arial" w:cs="Arial"/>
                <w:b/>
              </w:rPr>
            </w:pPr>
            <w:r>
              <w:rPr>
                <w:rFonts w:ascii="Arial" w:hAnsi="Arial" w:cs="Arial"/>
                <w:b/>
              </w:rPr>
              <w:t>Un formulaire de demande par implantation</w:t>
            </w:r>
          </w:p>
        </w:tc>
      </w:tr>
      <w:tr>
        <w:tc>
          <w:tcPr>
            <w:tcW w:w="4407" w:type="dxa"/>
            <w:gridSpan w:val="2"/>
            <w:tcBorders>
              <w:bottom w:val="single" w:sz="4" w:space="0" w:color="auto"/>
            </w:tcBorders>
          </w:tcPr>
          <w:p>
            <w:pPr>
              <w:pStyle w:val="Sansinterligne1"/>
              <w:spacing w:before="120"/>
              <w:rPr>
                <w:rFonts w:ascii="Arial" w:hAnsi="Arial" w:cs="Arial"/>
                <w:sz w:val="18"/>
                <w:szCs w:val="18"/>
              </w:rPr>
            </w:pPr>
            <w:r>
              <w:rPr>
                <w:rFonts w:ascii="Arial" w:hAnsi="Arial" w:cs="Arial"/>
                <w:sz w:val="18"/>
                <w:szCs w:val="18"/>
              </w:rPr>
              <w:t>Elle est  envoyée  à l’adresse suivante:</w:t>
            </w:r>
          </w:p>
        </w:tc>
        <w:tc>
          <w:tcPr>
            <w:tcW w:w="5554" w:type="dxa"/>
            <w:gridSpan w:val="2"/>
            <w:tcBorders>
              <w:bottom w:val="single" w:sz="4" w:space="0" w:color="auto"/>
            </w:tcBorders>
          </w:tcPr>
          <w:p>
            <w:pPr>
              <w:pStyle w:val="Sansinterligne1"/>
              <w:spacing w:before="120"/>
              <w:jc w:val="center"/>
              <w:rPr>
                <w:rFonts w:ascii="Arial" w:hAnsi="Arial" w:cs="Arial"/>
                <w:i/>
                <w:sz w:val="18"/>
                <w:szCs w:val="18"/>
              </w:rPr>
            </w:pPr>
            <w:r>
              <w:rPr>
                <w:rFonts w:ascii="Arial" w:hAnsi="Arial" w:cs="Arial"/>
                <w:i/>
                <w:sz w:val="18"/>
                <w:szCs w:val="18"/>
              </w:rPr>
              <w:t>Direction générale de l’Enseignement obligatoire</w:t>
            </w:r>
          </w:p>
          <w:p>
            <w:pPr>
              <w:pStyle w:val="Sansinterligne1"/>
              <w:jc w:val="center"/>
              <w:rPr>
                <w:rFonts w:ascii="Arial" w:hAnsi="Arial" w:cs="Arial"/>
                <w:i/>
                <w:sz w:val="18"/>
                <w:szCs w:val="18"/>
              </w:rPr>
            </w:pPr>
            <w:r>
              <w:rPr>
                <w:rFonts w:ascii="Arial" w:hAnsi="Arial" w:cs="Arial"/>
                <w:i/>
                <w:sz w:val="18"/>
                <w:szCs w:val="18"/>
              </w:rPr>
              <w:t>Rue Adolphe Lavallée, 1- bureau 2F211</w:t>
            </w:r>
          </w:p>
          <w:p>
            <w:pPr>
              <w:pStyle w:val="Sansinterligne1"/>
              <w:spacing w:after="120"/>
              <w:jc w:val="center"/>
              <w:rPr>
                <w:rFonts w:ascii="Arial" w:hAnsi="Arial" w:cs="Arial"/>
                <w:i/>
                <w:sz w:val="18"/>
                <w:szCs w:val="18"/>
              </w:rPr>
            </w:pPr>
            <w:r>
              <w:rPr>
                <w:rFonts w:ascii="Arial" w:hAnsi="Arial" w:cs="Arial"/>
                <w:i/>
                <w:sz w:val="18"/>
                <w:szCs w:val="18"/>
              </w:rPr>
              <w:t>1080 Bruxelles</w:t>
            </w:r>
          </w:p>
        </w:tc>
      </w:tr>
    </w:tbl>
    <w:p>
      <w:pPr>
        <w:pStyle w:val="Sansinterligne1"/>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8"/>
        <w:gridCol w:w="2484"/>
      </w:tblGrid>
      <w:tr>
        <w:trPr>
          <w:trHeight w:val="252"/>
        </w:trPr>
        <w:tc>
          <w:tcPr>
            <w:tcW w:w="7348" w:type="dxa"/>
            <w:vAlign w:val="center"/>
          </w:tcPr>
          <w:p>
            <w:pPr>
              <w:pStyle w:val="Sansinterligne1"/>
              <w:spacing w:before="120" w:after="120"/>
              <w:rPr>
                <w:rFonts w:ascii="Arial" w:hAnsi="Arial" w:cs="Arial"/>
                <w:b/>
                <w:sz w:val="18"/>
                <w:szCs w:val="18"/>
              </w:rPr>
            </w:pPr>
            <w:r>
              <w:rPr>
                <w:rFonts w:ascii="Arial" w:hAnsi="Arial" w:cs="Arial"/>
                <w:b/>
                <w:sz w:val="18"/>
                <w:szCs w:val="18"/>
              </w:rPr>
              <w:t>Ecole:</w:t>
            </w:r>
          </w:p>
        </w:tc>
        <w:tc>
          <w:tcPr>
            <w:tcW w:w="2484" w:type="dxa"/>
            <w:vAlign w:val="center"/>
          </w:tcPr>
          <w:p>
            <w:pPr>
              <w:pStyle w:val="Sansinterligne1"/>
              <w:spacing w:before="120" w:after="120"/>
              <w:rPr>
                <w:rFonts w:ascii="Arial" w:hAnsi="Arial" w:cs="Arial"/>
                <w:b/>
                <w:sz w:val="18"/>
                <w:szCs w:val="18"/>
              </w:rPr>
            </w:pPr>
            <w:r>
              <w:rPr>
                <w:rFonts w:ascii="Arial" w:hAnsi="Arial" w:cs="Arial"/>
                <w:b/>
                <w:sz w:val="18"/>
                <w:szCs w:val="18"/>
              </w:rPr>
              <w:t>N° FASE:</w:t>
            </w:r>
          </w:p>
        </w:tc>
      </w:tr>
      <w:tr>
        <w:trPr>
          <w:trHeight w:val="330"/>
        </w:trPr>
        <w:tc>
          <w:tcPr>
            <w:tcW w:w="9832" w:type="dxa"/>
            <w:gridSpan w:val="2"/>
          </w:tcPr>
          <w:p>
            <w:pPr>
              <w:pStyle w:val="Sansinterligne1"/>
              <w:spacing w:after="720"/>
              <w:rPr>
                <w:rFonts w:ascii="Arial" w:hAnsi="Arial" w:cs="Arial"/>
                <w:b/>
                <w:sz w:val="18"/>
                <w:szCs w:val="18"/>
              </w:rPr>
            </w:pPr>
            <w:r>
              <w:rPr>
                <w:rFonts w:ascii="Arial" w:hAnsi="Arial" w:cs="Arial"/>
                <w:sz w:val="18"/>
                <w:szCs w:val="18"/>
              </w:rPr>
              <w:t>Siège administratif (rue, n°, code postal et localité):</w:t>
            </w:r>
          </w:p>
        </w:tc>
      </w:tr>
    </w:tbl>
    <w:p>
      <w:pPr>
        <w:pStyle w:val="Sansinterligne1"/>
        <w:rPr>
          <w:rFonts w:ascii="Arial" w:hAnsi="Arial" w:cs="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8"/>
        <w:gridCol w:w="2470"/>
      </w:tblGrid>
      <w:tr>
        <w:tc>
          <w:tcPr>
            <w:tcW w:w="7308" w:type="dxa"/>
            <w:vAlign w:val="center"/>
          </w:tcPr>
          <w:p>
            <w:pPr>
              <w:pStyle w:val="Sansinterligne1"/>
              <w:spacing w:before="120" w:after="120"/>
              <w:rPr>
                <w:rFonts w:ascii="Arial" w:hAnsi="Arial" w:cs="Arial"/>
                <w:b/>
                <w:sz w:val="18"/>
                <w:szCs w:val="18"/>
              </w:rPr>
            </w:pPr>
            <w:r>
              <w:rPr>
                <w:rFonts w:ascii="Arial" w:hAnsi="Arial" w:cs="Arial"/>
                <w:b/>
                <w:sz w:val="18"/>
                <w:szCs w:val="18"/>
              </w:rPr>
              <w:t>Implantation:</w:t>
            </w:r>
          </w:p>
        </w:tc>
        <w:tc>
          <w:tcPr>
            <w:tcW w:w="2470" w:type="dxa"/>
            <w:vAlign w:val="center"/>
          </w:tcPr>
          <w:p>
            <w:pPr>
              <w:pStyle w:val="Sansinterligne1"/>
              <w:spacing w:before="120" w:after="120"/>
              <w:rPr>
                <w:rFonts w:ascii="Arial" w:hAnsi="Arial" w:cs="Arial"/>
                <w:b/>
                <w:sz w:val="18"/>
                <w:szCs w:val="18"/>
              </w:rPr>
            </w:pPr>
            <w:r>
              <w:rPr>
                <w:rFonts w:ascii="Arial" w:hAnsi="Arial" w:cs="Arial"/>
                <w:b/>
                <w:sz w:val="18"/>
                <w:szCs w:val="18"/>
              </w:rPr>
              <w:t>N° FASE:</w:t>
            </w:r>
          </w:p>
        </w:tc>
      </w:tr>
      <w:tr>
        <w:trPr>
          <w:trHeight w:val="810"/>
        </w:trPr>
        <w:tc>
          <w:tcPr>
            <w:tcW w:w="9778" w:type="dxa"/>
            <w:gridSpan w:val="2"/>
          </w:tcPr>
          <w:p>
            <w:pPr>
              <w:pStyle w:val="Sansinterligne1"/>
              <w:spacing w:after="720"/>
              <w:rPr>
                <w:rFonts w:ascii="Arial" w:hAnsi="Arial" w:cs="Arial"/>
                <w:b/>
                <w:sz w:val="18"/>
                <w:szCs w:val="18"/>
              </w:rPr>
            </w:pPr>
            <w:r>
              <w:rPr>
                <w:rFonts w:ascii="Arial" w:hAnsi="Arial" w:cs="Arial"/>
                <w:sz w:val="18"/>
                <w:szCs w:val="18"/>
              </w:rPr>
              <w:t>Adresse complète de l’implantation (rue, n°, code postal et localité):</w:t>
            </w:r>
          </w:p>
        </w:tc>
      </w:tr>
    </w:tbl>
    <w:p>
      <w:pPr>
        <w:spacing w:before="120"/>
        <w:jc w:val="both"/>
        <w:rPr>
          <w:rFonts w:cs="Arial"/>
          <w:b/>
          <w:i/>
          <w:sz w:val="18"/>
          <w:szCs w:val="18"/>
        </w:rPr>
      </w:pPr>
      <w:r>
        <w:rPr>
          <w:rFonts w:cs="Arial"/>
          <w:b/>
          <w:i/>
          <w:sz w:val="18"/>
          <w:szCs w:val="18"/>
        </w:rPr>
        <w:t>Cocher et compléter la ou les dérogations demandées:</w:t>
      </w:r>
    </w:p>
    <w:p>
      <w:pPr>
        <w:pStyle w:val="Sansinterligne1"/>
        <w:numPr>
          <w:ilvl w:val="0"/>
          <w:numId w:val="148"/>
        </w:numPr>
        <w:tabs>
          <w:tab w:val="clear" w:pos="1440"/>
          <w:tab w:val="left" w:pos="720"/>
        </w:tabs>
        <w:ind w:left="720" w:hanging="540"/>
        <w:jc w:val="both"/>
        <w:rPr>
          <w:rFonts w:ascii="Arial" w:hAnsi="Arial" w:cs="Arial"/>
          <w:sz w:val="20"/>
          <w:szCs w:val="20"/>
        </w:rPr>
      </w:pPr>
      <w:r>
        <w:rPr>
          <w:rFonts w:ascii="Arial" w:hAnsi="Arial" w:cs="Arial"/>
          <w:sz w:val="20"/>
          <w:szCs w:val="20"/>
        </w:rPr>
        <w:t>En raison d’une organisation pédagogique particulière, pour autant que le ratio soit respecté et qu’un minimum de 12 périodes permette de dédoubler tout ou partie de la classe dont le nombre d’élèves dépasserait le maximum prévu de 2 élèves au plus</w:t>
      </w:r>
    </w:p>
    <w:p>
      <w:pPr>
        <w:pStyle w:val="Sansinterligne1"/>
        <w:spacing w:before="120" w:after="120"/>
        <w:ind w:left="720"/>
        <w:jc w:val="both"/>
        <w:rPr>
          <w:rFonts w:ascii="Arial" w:hAnsi="Arial" w:cs="Arial"/>
          <w:i/>
          <w:sz w:val="20"/>
          <w:szCs w:val="20"/>
          <w:u w:val="single"/>
        </w:rPr>
      </w:pPr>
      <w:r>
        <w:rPr>
          <w:rFonts w:ascii="Arial" w:hAnsi="Arial" w:cs="Arial"/>
          <w:i/>
          <w:sz w:val="20"/>
          <w:szCs w:val="20"/>
          <w:u w:val="single"/>
        </w:rPr>
        <w:t>Degré(s) d’étude concerné(s):</w:t>
      </w:r>
    </w:p>
    <w:p>
      <w:pPr>
        <w:pStyle w:val="Sansinterligne1"/>
        <w:numPr>
          <w:ilvl w:val="0"/>
          <w:numId w:val="149"/>
        </w:numPr>
        <w:ind w:left="1990" w:hanging="913"/>
        <w:jc w:val="both"/>
        <w:rPr>
          <w:rFonts w:ascii="Arial" w:hAnsi="Arial" w:cs="Arial"/>
          <w:sz w:val="20"/>
          <w:szCs w:val="20"/>
        </w:rPr>
      </w:pPr>
      <w:r>
        <w:rPr>
          <w:rFonts w:ascii="Arial" w:hAnsi="Arial" w:cs="Arial"/>
          <w:sz w:val="20"/>
          <w:szCs w:val="20"/>
        </w:rPr>
        <w:t>P1-P2</w:t>
      </w:r>
      <w:r>
        <w:rPr>
          <w:rFonts w:ascii="Arial" w:hAnsi="Arial" w:cs="Arial"/>
          <w:sz w:val="20"/>
          <w:szCs w:val="20"/>
        </w:rPr>
        <w:tab/>
      </w:r>
      <w:r>
        <w:rPr>
          <w:rFonts w:ascii="Arial" w:hAnsi="Arial" w:cs="Arial"/>
          <w:sz w:val="20"/>
          <w:szCs w:val="20"/>
        </w:rPr>
        <w:tab/>
        <w:t>Ratio P1-P2</w:t>
      </w:r>
      <w:r>
        <w:rPr>
          <w:rStyle w:val="Appelnotedebasdep"/>
          <w:sz w:val="20"/>
          <w:szCs w:val="20"/>
        </w:rPr>
        <w:footnoteReference w:id="96"/>
      </w:r>
      <w:r>
        <w:rPr>
          <w:rFonts w:ascii="Arial" w:hAnsi="Arial" w:cs="Arial"/>
          <w:sz w:val="20"/>
          <w:szCs w:val="20"/>
        </w:rPr>
        <w:t xml:space="preserve"> = nombre élèves P1-P2 (……) x 26/20 =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trPr>
          <w:trHeight w:val="284"/>
        </w:trPr>
        <w:tc>
          <w:tcPr>
            <w:tcW w:w="2340" w:type="dxa"/>
            <w:vAlign w:val="center"/>
          </w:tcPr>
          <w:p>
            <w:pPr>
              <w:pStyle w:val="Sansinterligne1"/>
              <w:ind w:right="-288"/>
              <w:rPr>
                <w:rFonts w:ascii="Arial" w:hAnsi="Arial" w:cs="Arial"/>
                <w:sz w:val="18"/>
                <w:szCs w:val="18"/>
              </w:rPr>
            </w:pPr>
            <w:r>
              <w:rPr>
                <w:rFonts w:ascii="Arial" w:hAnsi="Arial" w:cs="Arial"/>
                <w:sz w:val="18"/>
                <w:szCs w:val="18"/>
              </w:rPr>
              <w:t xml:space="preserve">Classes organisées </w:t>
            </w: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r>
      <w:tr>
        <w:trPr>
          <w:trHeight w:val="284"/>
        </w:trPr>
        <w:tc>
          <w:tcPr>
            <w:tcW w:w="2340" w:type="dxa"/>
            <w:vAlign w:val="center"/>
          </w:tcPr>
          <w:p>
            <w:pPr>
              <w:pStyle w:val="Sansinterligne1"/>
              <w:ind w:right="-288"/>
              <w:rPr>
                <w:rFonts w:ascii="Arial" w:hAnsi="Arial" w:cs="Arial"/>
                <w:sz w:val="18"/>
                <w:szCs w:val="18"/>
              </w:rPr>
            </w:pPr>
            <w:r>
              <w:rPr>
                <w:rFonts w:ascii="Arial" w:hAnsi="Arial" w:cs="Arial"/>
                <w:sz w:val="18"/>
                <w:szCs w:val="18"/>
              </w:rPr>
              <w:t>Nombre élèves/classe</w:t>
            </w: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r>
    </w:tbl>
    <w:p>
      <w:pPr>
        <w:pStyle w:val="Sansinterligne1"/>
        <w:ind w:left="1077"/>
        <w:jc w:val="both"/>
        <w:rPr>
          <w:rFonts w:ascii="Arial" w:hAnsi="Arial" w:cs="Arial"/>
          <w:sz w:val="8"/>
          <w:szCs w:val="8"/>
        </w:rPr>
      </w:pPr>
    </w:p>
    <w:p>
      <w:pPr>
        <w:pStyle w:val="Sansinterligne1"/>
        <w:numPr>
          <w:ilvl w:val="0"/>
          <w:numId w:val="149"/>
        </w:numPr>
        <w:ind w:left="1990" w:hanging="913"/>
        <w:jc w:val="both"/>
        <w:rPr>
          <w:rFonts w:ascii="Arial" w:hAnsi="Arial" w:cs="Arial"/>
          <w:sz w:val="20"/>
          <w:szCs w:val="20"/>
        </w:rPr>
      </w:pPr>
      <w:r>
        <w:rPr>
          <w:rFonts w:ascii="Arial" w:hAnsi="Arial" w:cs="Arial"/>
          <w:sz w:val="20"/>
          <w:szCs w:val="20"/>
        </w:rPr>
        <w:t>P3 à P6</w:t>
      </w:r>
      <w:r>
        <w:rPr>
          <w:rFonts w:ascii="Arial" w:hAnsi="Arial" w:cs="Arial"/>
          <w:sz w:val="20"/>
          <w:szCs w:val="20"/>
        </w:rPr>
        <w:tab/>
      </w:r>
      <w:r>
        <w:rPr>
          <w:rFonts w:ascii="Arial" w:hAnsi="Arial" w:cs="Arial"/>
          <w:sz w:val="20"/>
          <w:szCs w:val="20"/>
        </w:rPr>
        <w:tab/>
        <w:t>Ratio P3-P6</w:t>
      </w:r>
      <w:r>
        <w:rPr>
          <w:rStyle w:val="Appelnotedebasdep"/>
          <w:sz w:val="20"/>
          <w:szCs w:val="20"/>
        </w:rPr>
        <w:footnoteReference w:id="97"/>
      </w:r>
      <w:r>
        <w:rPr>
          <w:rFonts w:ascii="Arial" w:hAnsi="Arial" w:cs="Arial"/>
          <w:sz w:val="20"/>
          <w:szCs w:val="20"/>
        </w:rPr>
        <w:t xml:space="preserve"> = nombre élèves P3 à P6 (……) x 26/24 =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trPr>
          <w:trHeight w:val="284"/>
        </w:trPr>
        <w:tc>
          <w:tcPr>
            <w:tcW w:w="2340" w:type="dxa"/>
            <w:vAlign w:val="center"/>
          </w:tcPr>
          <w:p>
            <w:pPr>
              <w:pStyle w:val="Sansinterligne1"/>
              <w:ind w:right="-288"/>
              <w:rPr>
                <w:rFonts w:ascii="Arial" w:hAnsi="Arial" w:cs="Arial"/>
                <w:sz w:val="18"/>
                <w:szCs w:val="18"/>
              </w:rPr>
            </w:pPr>
            <w:r>
              <w:rPr>
                <w:rFonts w:ascii="Arial" w:hAnsi="Arial" w:cs="Arial"/>
                <w:sz w:val="18"/>
                <w:szCs w:val="18"/>
              </w:rPr>
              <w:t xml:space="preserve">Classes organisées </w:t>
            </w: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r>
      <w:tr>
        <w:trPr>
          <w:trHeight w:val="284"/>
        </w:trPr>
        <w:tc>
          <w:tcPr>
            <w:tcW w:w="2340" w:type="dxa"/>
            <w:vAlign w:val="center"/>
          </w:tcPr>
          <w:p>
            <w:pPr>
              <w:pStyle w:val="Sansinterligne1"/>
              <w:ind w:right="-288"/>
              <w:rPr>
                <w:rFonts w:ascii="Arial" w:hAnsi="Arial" w:cs="Arial"/>
                <w:sz w:val="18"/>
                <w:szCs w:val="18"/>
              </w:rPr>
            </w:pPr>
            <w:r>
              <w:rPr>
                <w:rFonts w:ascii="Arial" w:hAnsi="Arial" w:cs="Arial"/>
                <w:sz w:val="18"/>
                <w:szCs w:val="18"/>
              </w:rPr>
              <w:t>Nombre élèves/classe</w:t>
            </w: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r>
    </w:tbl>
    <w:p>
      <w:pPr>
        <w:pStyle w:val="Sansinterligne1"/>
        <w:jc w:val="both"/>
        <w:rPr>
          <w:rFonts w:ascii="Arial" w:hAnsi="Arial" w:cs="Arial"/>
          <w:sz w:val="12"/>
          <w:szCs w:val="12"/>
        </w:rPr>
      </w:pPr>
    </w:p>
    <w:p>
      <w:pPr>
        <w:pStyle w:val="Sansinterligne1"/>
        <w:numPr>
          <w:ilvl w:val="0"/>
          <w:numId w:val="148"/>
        </w:numPr>
        <w:tabs>
          <w:tab w:val="clear" w:pos="1440"/>
          <w:tab w:val="left" w:pos="720"/>
        </w:tabs>
        <w:ind w:left="720" w:hanging="540"/>
        <w:jc w:val="both"/>
        <w:rPr>
          <w:rFonts w:ascii="Arial" w:hAnsi="Arial" w:cs="Arial"/>
          <w:sz w:val="20"/>
          <w:szCs w:val="20"/>
        </w:rPr>
      </w:pPr>
      <w:r>
        <w:rPr>
          <w:rFonts w:ascii="Arial" w:hAnsi="Arial" w:cs="Arial"/>
          <w:sz w:val="20"/>
          <w:szCs w:val="20"/>
        </w:rPr>
        <w:t>En raison d’une organisation pédagogique particulière, pour autant que le ratio soit respecté et qu’un minimum de 18 périodes permette de dédoubler tout ou partie de la classe dont le nombre d’élèves dépasserait le maximum prévu de 4 élèves au plus.</w:t>
      </w:r>
    </w:p>
    <w:p>
      <w:pPr>
        <w:pStyle w:val="Sansinterligne1"/>
        <w:spacing w:before="120" w:after="120"/>
        <w:ind w:left="720"/>
        <w:jc w:val="both"/>
        <w:rPr>
          <w:rFonts w:ascii="Arial" w:hAnsi="Arial" w:cs="Arial"/>
          <w:i/>
          <w:sz w:val="20"/>
          <w:szCs w:val="20"/>
          <w:u w:val="single"/>
        </w:rPr>
      </w:pPr>
      <w:r>
        <w:rPr>
          <w:rFonts w:ascii="Arial" w:hAnsi="Arial" w:cs="Arial"/>
          <w:i/>
          <w:sz w:val="20"/>
          <w:szCs w:val="20"/>
          <w:u w:val="single"/>
        </w:rPr>
        <w:t>Degré(s) d’étude concerné(s):</w:t>
      </w:r>
    </w:p>
    <w:p>
      <w:pPr>
        <w:pStyle w:val="Sansinterligne1"/>
        <w:numPr>
          <w:ilvl w:val="0"/>
          <w:numId w:val="149"/>
        </w:numPr>
        <w:ind w:left="1990" w:hanging="913"/>
        <w:jc w:val="both"/>
        <w:rPr>
          <w:rFonts w:ascii="Arial" w:hAnsi="Arial" w:cs="Arial"/>
          <w:sz w:val="20"/>
          <w:szCs w:val="20"/>
        </w:rPr>
      </w:pPr>
      <w:r>
        <w:rPr>
          <w:rFonts w:ascii="Arial" w:hAnsi="Arial" w:cs="Arial"/>
          <w:sz w:val="20"/>
          <w:szCs w:val="20"/>
        </w:rPr>
        <w:t>P1-P2</w:t>
      </w:r>
      <w:r>
        <w:rPr>
          <w:rFonts w:ascii="Arial" w:hAnsi="Arial" w:cs="Arial"/>
          <w:sz w:val="20"/>
          <w:szCs w:val="20"/>
        </w:rPr>
        <w:tab/>
      </w:r>
      <w:r>
        <w:rPr>
          <w:rFonts w:ascii="Arial" w:hAnsi="Arial" w:cs="Arial"/>
          <w:sz w:val="20"/>
          <w:szCs w:val="20"/>
        </w:rPr>
        <w:tab/>
        <w:t>Ratio P1-P2 = nombre élèves P1-P2 (……) x 26/20 =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trPr>
          <w:trHeight w:val="454"/>
        </w:trPr>
        <w:tc>
          <w:tcPr>
            <w:tcW w:w="2340" w:type="dxa"/>
            <w:vAlign w:val="center"/>
          </w:tcPr>
          <w:p>
            <w:pPr>
              <w:pStyle w:val="Sansinterligne1"/>
              <w:ind w:right="-288"/>
              <w:rPr>
                <w:rFonts w:ascii="Arial" w:hAnsi="Arial" w:cs="Arial"/>
                <w:sz w:val="18"/>
                <w:szCs w:val="18"/>
              </w:rPr>
            </w:pPr>
            <w:r>
              <w:rPr>
                <w:rFonts w:ascii="Arial" w:hAnsi="Arial" w:cs="Arial"/>
                <w:sz w:val="18"/>
                <w:szCs w:val="18"/>
              </w:rPr>
              <w:t>Classes organisées</w:t>
            </w: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r>
      <w:tr>
        <w:trPr>
          <w:trHeight w:val="454"/>
        </w:trPr>
        <w:tc>
          <w:tcPr>
            <w:tcW w:w="2340" w:type="dxa"/>
            <w:vAlign w:val="center"/>
          </w:tcPr>
          <w:p>
            <w:pPr>
              <w:pStyle w:val="Sansinterligne1"/>
              <w:ind w:right="-288"/>
              <w:rPr>
                <w:rFonts w:ascii="Arial" w:hAnsi="Arial" w:cs="Arial"/>
                <w:sz w:val="18"/>
                <w:szCs w:val="18"/>
              </w:rPr>
            </w:pPr>
            <w:r>
              <w:rPr>
                <w:rFonts w:ascii="Arial" w:hAnsi="Arial" w:cs="Arial"/>
                <w:sz w:val="18"/>
                <w:szCs w:val="18"/>
              </w:rPr>
              <w:t>Nombre élèves/classe</w:t>
            </w: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r>
    </w:tbl>
    <w:p>
      <w:pPr>
        <w:pStyle w:val="Sansinterligne1"/>
        <w:ind w:left="1077"/>
        <w:jc w:val="both"/>
        <w:rPr>
          <w:rFonts w:ascii="Arial" w:hAnsi="Arial" w:cs="Arial"/>
          <w:sz w:val="8"/>
          <w:szCs w:val="8"/>
        </w:rPr>
      </w:pPr>
    </w:p>
    <w:p>
      <w:pPr>
        <w:pStyle w:val="Sansinterligne1"/>
        <w:numPr>
          <w:ilvl w:val="0"/>
          <w:numId w:val="149"/>
        </w:numPr>
        <w:ind w:left="1990" w:hanging="913"/>
        <w:jc w:val="both"/>
        <w:rPr>
          <w:rFonts w:ascii="Arial" w:hAnsi="Arial" w:cs="Arial"/>
          <w:sz w:val="20"/>
          <w:szCs w:val="20"/>
        </w:rPr>
      </w:pPr>
      <w:r>
        <w:rPr>
          <w:rFonts w:ascii="Arial" w:hAnsi="Arial" w:cs="Arial"/>
          <w:sz w:val="20"/>
          <w:szCs w:val="20"/>
        </w:rPr>
        <w:t>P3 à P6</w:t>
      </w:r>
      <w:r>
        <w:rPr>
          <w:rFonts w:ascii="Arial" w:hAnsi="Arial" w:cs="Arial"/>
          <w:sz w:val="20"/>
          <w:szCs w:val="20"/>
        </w:rPr>
        <w:tab/>
      </w:r>
      <w:r>
        <w:rPr>
          <w:rFonts w:ascii="Arial" w:hAnsi="Arial" w:cs="Arial"/>
          <w:sz w:val="20"/>
          <w:szCs w:val="20"/>
        </w:rPr>
        <w:tab/>
        <w:t>Ratio P3-P6 = nombre élèves P3 à P6 (…….) x 26/24 =…….pér.</w:t>
      </w:r>
    </w:p>
    <w:tbl>
      <w:tblPr>
        <w:tblW w:w="8676"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528"/>
        <w:gridCol w:w="528"/>
        <w:gridCol w:w="528"/>
        <w:gridCol w:w="528"/>
        <w:gridCol w:w="528"/>
        <w:gridCol w:w="528"/>
        <w:gridCol w:w="528"/>
        <w:gridCol w:w="528"/>
        <w:gridCol w:w="528"/>
        <w:gridCol w:w="528"/>
        <w:gridCol w:w="528"/>
        <w:gridCol w:w="528"/>
      </w:tblGrid>
      <w:tr>
        <w:trPr>
          <w:trHeight w:val="454"/>
        </w:trPr>
        <w:tc>
          <w:tcPr>
            <w:tcW w:w="2340" w:type="dxa"/>
            <w:vAlign w:val="center"/>
          </w:tcPr>
          <w:p>
            <w:pPr>
              <w:pStyle w:val="Sansinterligne1"/>
              <w:ind w:right="-288"/>
              <w:rPr>
                <w:rFonts w:ascii="Arial" w:hAnsi="Arial" w:cs="Arial"/>
                <w:sz w:val="18"/>
                <w:szCs w:val="18"/>
              </w:rPr>
            </w:pPr>
            <w:r>
              <w:rPr>
                <w:rFonts w:ascii="Arial" w:hAnsi="Arial" w:cs="Arial"/>
                <w:sz w:val="18"/>
                <w:szCs w:val="18"/>
              </w:rPr>
              <w:t xml:space="preserve">Classes organisées </w:t>
            </w: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r>
      <w:tr>
        <w:trPr>
          <w:trHeight w:val="454"/>
        </w:trPr>
        <w:tc>
          <w:tcPr>
            <w:tcW w:w="2340" w:type="dxa"/>
            <w:vAlign w:val="center"/>
          </w:tcPr>
          <w:p>
            <w:pPr>
              <w:pStyle w:val="Sansinterligne1"/>
              <w:ind w:right="-288"/>
              <w:rPr>
                <w:rFonts w:ascii="Arial" w:hAnsi="Arial" w:cs="Arial"/>
                <w:sz w:val="18"/>
                <w:szCs w:val="18"/>
              </w:rPr>
            </w:pPr>
            <w:r>
              <w:rPr>
                <w:rFonts w:ascii="Arial" w:hAnsi="Arial" w:cs="Arial"/>
                <w:sz w:val="18"/>
                <w:szCs w:val="18"/>
              </w:rPr>
              <w:t>Nombre élèves/classe</w:t>
            </w: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tcPr>
          <w:p>
            <w:pPr>
              <w:pStyle w:val="Sansinterligne1"/>
              <w:rPr>
                <w:rFonts w:ascii="Arial" w:hAnsi="Arial" w:cs="Arial"/>
                <w:sz w:val="18"/>
                <w:szCs w:val="18"/>
              </w:rPr>
            </w:pPr>
          </w:p>
        </w:tc>
        <w:tc>
          <w:tcPr>
            <w:tcW w:w="528" w:type="dxa"/>
            <w:vAlign w:val="center"/>
          </w:tcPr>
          <w:p>
            <w:pPr>
              <w:pStyle w:val="Sansinterligne1"/>
              <w:rPr>
                <w:rFonts w:ascii="Arial" w:hAnsi="Arial" w:cs="Arial"/>
                <w:sz w:val="18"/>
                <w:szCs w:val="18"/>
              </w:rPr>
            </w:pPr>
          </w:p>
        </w:tc>
      </w:tr>
    </w:tbl>
    <w:p>
      <w:pPr>
        <w:pStyle w:val="Sansinterligne1"/>
        <w:spacing w:before="120" w:after="120"/>
        <w:jc w:val="both"/>
        <w:sectPr>
          <w:headerReference w:type="even" r:id="rId189"/>
          <w:footerReference w:type="even" r:id="rId190"/>
          <w:pgSz w:w="11906" w:h="16838"/>
          <w:pgMar w:top="1021" w:right="1134" w:bottom="1021" w:left="1134" w:header="709" w:footer="709" w:gutter="0"/>
          <w:cols w:space="708"/>
          <w:docGrid w:linePitch="360"/>
        </w:sectPr>
      </w:pPr>
    </w:p>
    <w:tbl>
      <w:tblPr>
        <w:tblW w:w="9961" w:type="dxa"/>
        <w:tblLook w:val="01E0" w:firstRow="1" w:lastRow="1" w:firstColumn="1" w:lastColumn="1" w:noHBand="0" w:noVBand="0"/>
      </w:tblPr>
      <w:tblGrid>
        <w:gridCol w:w="9961"/>
      </w:tblGrid>
      <w:tr>
        <w:tc>
          <w:tcPr>
            <w:tcW w:w="9961" w:type="dxa"/>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ascii="Arial" w:hAnsi="Arial" w:cs="Arial"/>
                <w:b/>
                <w:sz w:val="24"/>
                <w:szCs w:val="24"/>
              </w:rPr>
            </w:pPr>
            <w:r>
              <w:rPr>
                <w:rFonts w:ascii="Arial" w:hAnsi="Arial" w:cs="Arial"/>
                <w:b/>
                <w:i/>
              </w:rPr>
              <w:t>Enseignement primaire</w:t>
            </w:r>
          </w:p>
          <w:p>
            <w:pPr>
              <w:pStyle w:val="Sansinterligne1"/>
              <w:spacing w:before="120" w:after="120"/>
              <w:jc w:val="center"/>
              <w:rPr>
                <w:rFonts w:ascii="Arial" w:hAnsi="Arial" w:cs="Arial"/>
                <w:b/>
                <w:sz w:val="24"/>
                <w:szCs w:val="24"/>
              </w:rPr>
            </w:pPr>
            <w:r>
              <w:rPr>
                <w:rFonts w:ascii="Arial" w:hAnsi="Arial" w:cs="Arial"/>
                <w:b/>
                <w:sz w:val="24"/>
                <w:szCs w:val="24"/>
              </w:rPr>
              <w:t>Demande de dérogation relative à la taille des classes en raison d’une situation locale résultant d’une évolution démographique</w:t>
            </w:r>
          </w:p>
        </w:tc>
      </w:tr>
    </w:tbl>
    <w:p>
      <w:pPr>
        <w:pStyle w:val="Sansinterligne1"/>
        <w:numPr>
          <w:ilvl w:val="0"/>
          <w:numId w:val="148"/>
        </w:numPr>
        <w:tabs>
          <w:tab w:val="clear" w:pos="1440"/>
          <w:tab w:val="left" w:pos="720"/>
        </w:tabs>
        <w:ind w:left="720" w:hanging="540"/>
        <w:jc w:val="both"/>
        <w:rPr>
          <w:rFonts w:ascii="Arial" w:hAnsi="Arial" w:cs="Arial"/>
          <w:sz w:val="20"/>
          <w:szCs w:val="20"/>
        </w:rPr>
      </w:pPr>
      <w:r>
        <w:rPr>
          <w:rFonts w:ascii="Arial" w:hAnsi="Arial" w:cs="Arial"/>
          <w:sz w:val="20"/>
          <w:szCs w:val="20"/>
        </w:rPr>
        <w:t xml:space="preserve">Dans le cas d’une situation locale non répertoriée par le rapport demandé à l’Administration résultant notamment soit d’une évolution démographique touchant l’ensemble des implantations d’une commune ou de communes limitrophes, soit d’une fermeture d’implantation au 1er septembre ou au 1er octobre de l’année scolaire en cours. </w:t>
      </w:r>
    </w:p>
    <w:p>
      <w:pPr>
        <w:pStyle w:val="Sansinterligne1"/>
        <w:tabs>
          <w:tab w:val="left" w:pos="720"/>
        </w:tabs>
        <w:ind w:left="180"/>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tc>
          <w:tcPr>
            <w:tcW w:w="9778" w:type="dxa"/>
          </w:tcPr>
          <w:p>
            <w:pPr>
              <w:pStyle w:val="Sansinterligne1"/>
              <w:spacing w:before="120"/>
              <w:jc w:val="both"/>
              <w:rPr>
                <w:rFonts w:ascii="Arial" w:hAnsi="Arial" w:cs="Arial"/>
              </w:rPr>
            </w:pPr>
            <w:r>
              <w:rPr>
                <w:rFonts w:ascii="Arial" w:hAnsi="Arial" w:cs="Arial"/>
              </w:rPr>
              <w:t>Spécifier la situation locale:</w:t>
            </w:r>
          </w:p>
          <w:p>
            <w:pPr>
              <w:pStyle w:val="Sansinterligne1"/>
              <w:tabs>
                <w:tab w:val="left" w:pos="720"/>
              </w:tabs>
              <w:jc w:val="both"/>
              <w:rPr>
                <w:rFonts w:ascii="Arial" w:hAnsi="Arial" w:cs="Arial"/>
              </w:rPr>
            </w:pPr>
          </w:p>
          <w:p>
            <w:pPr>
              <w:pStyle w:val="Sansinterligne1"/>
              <w:tabs>
                <w:tab w:val="left" w:pos="720"/>
              </w:tabs>
              <w:jc w:val="both"/>
              <w:rPr>
                <w:rFonts w:ascii="Arial" w:hAnsi="Arial" w:cs="Arial"/>
              </w:rPr>
            </w:pPr>
          </w:p>
          <w:p>
            <w:pPr>
              <w:pStyle w:val="Sansinterligne1"/>
              <w:tabs>
                <w:tab w:val="left" w:pos="720"/>
              </w:tabs>
              <w:jc w:val="both"/>
              <w:rPr>
                <w:rFonts w:ascii="Arial" w:hAnsi="Arial" w:cs="Arial"/>
              </w:rPr>
            </w:pPr>
          </w:p>
          <w:p>
            <w:pPr>
              <w:pStyle w:val="Sansinterligne1"/>
              <w:tabs>
                <w:tab w:val="left" w:pos="720"/>
              </w:tabs>
              <w:jc w:val="both"/>
              <w:rPr>
                <w:rFonts w:ascii="Arial" w:hAnsi="Arial" w:cs="Arial"/>
              </w:rPr>
            </w:pPr>
          </w:p>
          <w:p>
            <w:pPr>
              <w:pStyle w:val="Sansinterligne1"/>
              <w:tabs>
                <w:tab w:val="left" w:pos="720"/>
              </w:tabs>
              <w:jc w:val="both"/>
              <w:rPr>
                <w:rFonts w:ascii="Arial" w:hAnsi="Arial" w:cs="Arial"/>
              </w:rPr>
            </w:pPr>
          </w:p>
          <w:p>
            <w:pPr>
              <w:pStyle w:val="Sansinterligne1"/>
              <w:tabs>
                <w:tab w:val="left" w:pos="720"/>
              </w:tabs>
              <w:jc w:val="both"/>
              <w:rPr>
                <w:rFonts w:ascii="Arial" w:hAnsi="Arial" w:cs="Arial"/>
              </w:rPr>
            </w:pPr>
          </w:p>
          <w:p>
            <w:pPr>
              <w:pStyle w:val="Sansinterligne1"/>
              <w:tabs>
                <w:tab w:val="left" w:pos="720"/>
              </w:tabs>
              <w:jc w:val="both"/>
              <w:rPr>
                <w:rFonts w:ascii="Arial" w:hAnsi="Arial" w:cs="Arial"/>
              </w:rPr>
            </w:pPr>
          </w:p>
        </w:tc>
      </w:tr>
    </w:tbl>
    <w:p>
      <w:pPr>
        <w:pStyle w:val="Sansinterligne1"/>
        <w:spacing w:before="240"/>
        <w:jc w:val="both"/>
        <w:rPr>
          <w:rFonts w:ascii="Arial" w:hAnsi="Arial" w:cs="Arial"/>
        </w:rPr>
      </w:pPr>
      <w:r>
        <w:rPr>
          <w:rFonts w:ascii="Arial" w:hAnsi="Arial" w:cs="Arial"/>
        </w:rPr>
        <w:t>Population scolaire validée de l’implantation au 15 janvier 2017:          ……………</w:t>
      </w:r>
    </w:p>
    <w:p>
      <w:pPr>
        <w:pStyle w:val="Sansinterligne1"/>
        <w:spacing w:before="120" w:after="240"/>
        <w:jc w:val="both"/>
        <w:rPr>
          <w:rFonts w:ascii="Arial" w:hAnsi="Arial" w:cs="Arial"/>
        </w:rPr>
      </w:pPr>
      <w:r>
        <w:rPr>
          <w:rFonts w:ascii="Arial" w:hAnsi="Arial" w:cs="Arial"/>
        </w:rPr>
        <w:t>Population scolaire de l’implantation au 30 septembre 2017:                ……………</w:t>
      </w:r>
    </w:p>
    <w:p>
      <w:pPr>
        <w:pStyle w:val="Sansinterligne1"/>
        <w:spacing w:before="120" w:after="120"/>
        <w:ind w:left="720"/>
        <w:jc w:val="both"/>
        <w:rPr>
          <w:rFonts w:ascii="Arial" w:hAnsi="Arial" w:cs="Arial"/>
          <w:b/>
          <w:i/>
        </w:rPr>
      </w:pPr>
      <w:r>
        <w:rPr>
          <w:rFonts w:ascii="Arial" w:hAnsi="Arial" w:cs="Arial"/>
          <w:b/>
          <w:i/>
        </w:rPr>
        <w:t>Classe(s) concernée(s)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0"/>
        <w:gridCol w:w="1395"/>
        <w:gridCol w:w="1395"/>
        <w:gridCol w:w="1395"/>
        <w:gridCol w:w="1395"/>
      </w:tblGrid>
      <w:tr>
        <w:trPr>
          <w:trHeight w:val="454"/>
          <w:jc w:val="center"/>
        </w:trPr>
        <w:tc>
          <w:tcPr>
            <w:tcW w:w="2880" w:type="dxa"/>
            <w:vAlign w:val="center"/>
          </w:tcPr>
          <w:p>
            <w:pPr>
              <w:pStyle w:val="Sansinterligne1"/>
              <w:rPr>
                <w:rFonts w:ascii="Arial" w:hAnsi="Arial" w:cs="Arial"/>
              </w:rPr>
            </w:pPr>
            <w:r>
              <w:rPr>
                <w:rFonts w:ascii="Arial" w:hAnsi="Arial" w:cs="Arial"/>
              </w:rPr>
              <w:t>Année d’étude</w:t>
            </w:r>
          </w:p>
        </w:tc>
        <w:tc>
          <w:tcPr>
            <w:tcW w:w="1395" w:type="dxa"/>
          </w:tcPr>
          <w:p>
            <w:pPr>
              <w:pStyle w:val="Sansinterligne1"/>
              <w:rPr>
                <w:rFonts w:ascii="Arial" w:hAnsi="Arial" w:cs="Arial"/>
              </w:rPr>
            </w:pPr>
          </w:p>
        </w:tc>
        <w:tc>
          <w:tcPr>
            <w:tcW w:w="1395" w:type="dxa"/>
          </w:tcPr>
          <w:p>
            <w:pPr>
              <w:pStyle w:val="Sansinterligne1"/>
              <w:rPr>
                <w:rFonts w:ascii="Arial" w:hAnsi="Arial" w:cs="Arial"/>
              </w:rPr>
            </w:pPr>
          </w:p>
        </w:tc>
        <w:tc>
          <w:tcPr>
            <w:tcW w:w="1395" w:type="dxa"/>
          </w:tcPr>
          <w:p>
            <w:pPr>
              <w:pStyle w:val="Sansinterligne1"/>
              <w:rPr>
                <w:rFonts w:ascii="Arial" w:hAnsi="Arial" w:cs="Arial"/>
              </w:rPr>
            </w:pPr>
          </w:p>
        </w:tc>
        <w:tc>
          <w:tcPr>
            <w:tcW w:w="1395" w:type="dxa"/>
          </w:tcPr>
          <w:p>
            <w:pPr>
              <w:pStyle w:val="Sansinterligne1"/>
              <w:rPr>
                <w:rFonts w:ascii="Arial" w:hAnsi="Arial" w:cs="Arial"/>
              </w:rPr>
            </w:pPr>
          </w:p>
        </w:tc>
      </w:tr>
      <w:tr>
        <w:trPr>
          <w:trHeight w:val="454"/>
          <w:jc w:val="center"/>
        </w:trPr>
        <w:tc>
          <w:tcPr>
            <w:tcW w:w="2880" w:type="dxa"/>
            <w:vAlign w:val="center"/>
          </w:tcPr>
          <w:p>
            <w:pPr>
              <w:pStyle w:val="Sansinterligne1"/>
              <w:rPr>
                <w:rFonts w:ascii="Arial" w:hAnsi="Arial" w:cs="Arial"/>
              </w:rPr>
            </w:pPr>
            <w:r>
              <w:rPr>
                <w:rFonts w:ascii="Arial" w:hAnsi="Arial" w:cs="Arial"/>
              </w:rPr>
              <w:t>Nombre élèves/classe</w:t>
            </w:r>
          </w:p>
        </w:tc>
        <w:tc>
          <w:tcPr>
            <w:tcW w:w="1395" w:type="dxa"/>
          </w:tcPr>
          <w:p>
            <w:pPr>
              <w:pStyle w:val="Sansinterligne1"/>
              <w:rPr>
                <w:rFonts w:ascii="Arial" w:hAnsi="Arial" w:cs="Arial"/>
              </w:rPr>
            </w:pPr>
          </w:p>
        </w:tc>
        <w:tc>
          <w:tcPr>
            <w:tcW w:w="1395" w:type="dxa"/>
          </w:tcPr>
          <w:p>
            <w:pPr>
              <w:pStyle w:val="Sansinterligne1"/>
              <w:rPr>
                <w:rFonts w:ascii="Arial" w:hAnsi="Arial" w:cs="Arial"/>
              </w:rPr>
            </w:pPr>
          </w:p>
        </w:tc>
        <w:tc>
          <w:tcPr>
            <w:tcW w:w="1395" w:type="dxa"/>
          </w:tcPr>
          <w:p>
            <w:pPr>
              <w:pStyle w:val="Sansinterligne1"/>
              <w:rPr>
                <w:rFonts w:ascii="Arial" w:hAnsi="Arial" w:cs="Arial"/>
              </w:rPr>
            </w:pPr>
          </w:p>
        </w:tc>
        <w:tc>
          <w:tcPr>
            <w:tcW w:w="1395" w:type="dxa"/>
          </w:tcPr>
          <w:p>
            <w:pPr>
              <w:pStyle w:val="Sansinterligne1"/>
              <w:rPr>
                <w:rFonts w:ascii="Arial" w:hAnsi="Arial" w:cs="Arial"/>
              </w:rPr>
            </w:pPr>
          </w:p>
        </w:tc>
      </w:tr>
    </w:tbl>
    <w:p>
      <w:pPr>
        <w:jc w:val="both"/>
        <w:rPr>
          <w:rFonts w:cs="Arial"/>
          <w:b/>
        </w:rPr>
      </w:pPr>
    </w:p>
    <w:p>
      <w:pPr>
        <w:jc w:val="both"/>
        <w:rPr>
          <w:rFonts w:cs="Arial"/>
          <w:b/>
        </w:rPr>
      </w:pPr>
      <w:r>
        <w:rPr>
          <w:rFonts w:cs="Arial"/>
          <w:b/>
        </w:rPr>
        <w:t xml:space="preserve">Document à joindre </w:t>
      </w:r>
      <w:r>
        <w:rPr>
          <w:rFonts w:cs="Arial"/>
          <w:b/>
          <w:u w:val="single"/>
        </w:rPr>
        <w:t>impérativement</w:t>
      </w:r>
      <w:r>
        <w:rPr>
          <w:rFonts w:cs="Arial"/>
          <w:b/>
        </w:rPr>
        <w:t xml:space="preserve"> à la présente:</w:t>
      </w:r>
    </w:p>
    <w:p>
      <w:pPr>
        <w:jc w:val="both"/>
        <w:rPr>
          <w:rFonts w:cs="Arial"/>
          <w:b/>
        </w:rPr>
      </w:pPr>
    </w:p>
    <w:p>
      <w:pPr>
        <w:jc w:val="both"/>
        <w:rPr>
          <w:rFonts w:cs="Arial"/>
        </w:rPr>
      </w:pPr>
      <w:r>
        <w:rPr>
          <w:rFonts w:cs="Arial"/>
          <w:b/>
          <w:u w:val="single"/>
        </w:rPr>
        <w:t>Avis favorable</w:t>
      </w:r>
      <w:r>
        <w:rPr>
          <w:rFonts w:cs="Arial"/>
        </w:rPr>
        <w:t xml:space="preserve"> préalable des organes de concertation (+ signatures des représentants des organisations syndicales concernées)</w:t>
      </w:r>
      <w:r>
        <w:rPr>
          <w:rStyle w:val="Appelnotedebasdep"/>
        </w:rPr>
        <w:footnoteReference w:id="98"/>
      </w:r>
      <w:r>
        <w:rPr>
          <w:rFonts w:cs="Arial"/>
        </w:rPr>
        <w:t>:</w:t>
      </w:r>
    </w:p>
    <w:p>
      <w:pPr>
        <w:numPr>
          <w:ilvl w:val="0"/>
          <w:numId w:val="149"/>
        </w:numPr>
        <w:tabs>
          <w:tab w:val="clear" w:pos="1995"/>
        </w:tabs>
        <w:ind w:left="720" w:hanging="735"/>
        <w:jc w:val="both"/>
        <w:rPr>
          <w:rFonts w:cs="Arial"/>
        </w:rPr>
      </w:pPr>
      <w:r>
        <w:rPr>
          <w:rFonts w:cs="Arial"/>
        </w:rPr>
        <w:t>du comité de concertation de base (enseignement organisé par la fédération Wallonie-Bruxelles);</w:t>
      </w:r>
    </w:p>
    <w:p>
      <w:pPr>
        <w:numPr>
          <w:ilvl w:val="0"/>
          <w:numId w:val="149"/>
        </w:numPr>
        <w:tabs>
          <w:tab w:val="clear" w:pos="1995"/>
        </w:tabs>
        <w:ind w:left="1440" w:hanging="1455"/>
        <w:jc w:val="both"/>
        <w:rPr>
          <w:rFonts w:cs="Arial"/>
        </w:rPr>
      </w:pPr>
      <w:r>
        <w:rPr>
          <w:rFonts w:cs="Arial"/>
        </w:rPr>
        <w:t>de la commission paritaire locale (enseignement officiel subventionné);</w:t>
      </w:r>
    </w:p>
    <w:p>
      <w:pPr>
        <w:numPr>
          <w:ilvl w:val="0"/>
          <w:numId w:val="149"/>
        </w:numPr>
        <w:tabs>
          <w:tab w:val="clear" w:pos="1995"/>
        </w:tabs>
        <w:ind w:left="1440" w:hanging="1455"/>
        <w:jc w:val="both"/>
        <w:rPr>
          <w:rFonts w:cs="Arial"/>
        </w:rPr>
      </w:pPr>
      <w:r>
        <w:rPr>
          <w:rFonts w:cs="Arial"/>
        </w:rPr>
        <w:t>de l’instance prévue à cet effet dans l’enseignement libre subventionné.</w:t>
      </w:r>
    </w:p>
    <w:p>
      <w:pPr>
        <w:ind w:left="-15"/>
        <w:jc w:val="both"/>
        <w:rPr>
          <w:rFonts w:cs="Arial"/>
        </w:rPr>
      </w:pPr>
    </w:p>
    <w:p>
      <w:pPr>
        <w:ind w:left="-15"/>
        <w:jc w:val="both"/>
        <w:rPr>
          <w:rFonts w:cs="Arial"/>
        </w:rPr>
      </w:pPr>
    </w:p>
    <w:p>
      <w:pPr>
        <w:pStyle w:val="Sansinterligne1"/>
        <w:jc w:val="both"/>
        <w:rPr>
          <w:rFonts w:ascii="Arial" w:hAnsi="Arial" w:cs="Arial"/>
          <w:b/>
        </w:rPr>
      </w:pPr>
      <w:r>
        <w:rPr>
          <w:rFonts w:ascii="Arial" w:hAnsi="Arial" w:cs="Arial"/>
          <w:b/>
        </w:rPr>
        <w:t>Signature du Pouvoir organisateur (OS – LS) ou du Chef d’Etablissement (FWB)</w:t>
      </w:r>
      <w:r>
        <w:rPr>
          <w:rStyle w:val="Appelnotedebasdep"/>
          <w:b/>
        </w:rPr>
        <w:footnoteReference w:id="99"/>
      </w:r>
      <w:r>
        <w:rPr>
          <w:rFonts w:ascii="Arial" w:hAnsi="Arial" w:cs="Arial"/>
          <w:b/>
        </w:rPr>
        <w:t>:</w:t>
      </w:r>
    </w:p>
    <w:tbl>
      <w:tblPr>
        <w:tblW w:w="0" w:type="auto"/>
        <w:tblBorders>
          <w:top w:val="single" w:sz="4" w:space="0" w:color="auto"/>
        </w:tblBorders>
        <w:tblLook w:val="01E0" w:firstRow="1" w:lastRow="1" w:firstColumn="1" w:lastColumn="1" w:noHBand="0" w:noVBand="0"/>
      </w:tblPr>
      <w:tblGrid>
        <w:gridCol w:w="4624"/>
        <w:gridCol w:w="4662"/>
      </w:tblGrid>
      <w:tr>
        <w:tc>
          <w:tcPr>
            <w:tcW w:w="4889" w:type="dxa"/>
          </w:tcPr>
          <w:p>
            <w:pPr>
              <w:pStyle w:val="Sansinterligne1"/>
              <w:spacing w:before="120"/>
              <w:jc w:val="both"/>
              <w:rPr>
                <w:rFonts w:ascii="Arial" w:hAnsi="Arial" w:cs="Arial"/>
                <w:b/>
              </w:rPr>
            </w:pPr>
            <w:r>
              <w:rPr>
                <w:rFonts w:ascii="Arial" w:hAnsi="Arial" w:cs="Arial"/>
                <w:b/>
              </w:rPr>
              <w:t>Date:</w:t>
            </w:r>
          </w:p>
        </w:tc>
        <w:tc>
          <w:tcPr>
            <w:tcW w:w="4889" w:type="dxa"/>
          </w:tcPr>
          <w:p>
            <w:pPr>
              <w:pStyle w:val="Sansinterligne1"/>
              <w:spacing w:before="120"/>
              <w:jc w:val="both"/>
              <w:rPr>
                <w:rFonts w:ascii="Arial" w:hAnsi="Arial" w:cs="Arial"/>
                <w:b/>
              </w:rPr>
            </w:pPr>
            <w:r>
              <w:rPr>
                <w:rFonts w:ascii="Arial" w:hAnsi="Arial" w:cs="Arial"/>
                <w:b/>
              </w:rPr>
              <w:t>Nom (en majuscule) et signature:</w:t>
            </w:r>
          </w:p>
        </w:tc>
      </w:tr>
    </w:tbl>
    <w:p>
      <w:pPr>
        <w:pStyle w:val="Sansinterligne1"/>
        <w:jc w:val="both"/>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p>
      <w:pPr>
        <w:pStyle w:val="Sansinterligne1"/>
        <w:spacing w:before="120" w:after="120"/>
        <w:jc w:val="both"/>
      </w:pPr>
    </w:p>
    <w:p>
      <w:pPr>
        <w:pStyle w:val="annexe"/>
      </w:pPr>
      <w:r>
        <w:br w:type="page"/>
      </w:r>
      <w:bookmarkStart w:id="2212" w:name="Annexe_333"/>
      <w:bookmarkStart w:id="2213" w:name="_Toc423420204"/>
      <w:bookmarkStart w:id="2214" w:name="_Toc450645453"/>
      <w:bookmarkStart w:id="2215" w:name="_Toc453942692"/>
      <w:bookmarkStart w:id="2216" w:name="_Toc454888308"/>
      <w:bookmarkStart w:id="2217" w:name="_Toc486241926"/>
      <w:bookmarkEnd w:id="2212"/>
      <w:r>
        <w:t>Annexe 3.3.3. Demande d’obtention de périodes complémentaires</w:t>
      </w:r>
      <w:bookmarkEnd w:id="2213"/>
      <w:bookmarkEnd w:id="2214"/>
      <w:bookmarkEnd w:id="2215"/>
      <w:bookmarkEnd w:id="2216"/>
      <w:bookmarkEnd w:id="2217"/>
    </w:p>
    <w:p>
      <w:pPr>
        <w:rPr>
          <w:sz w:val="18"/>
          <w:szCs w:val="18"/>
        </w:rPr>
      </w:pPr>
    </w:p>
    <w:tbl>
      <w:tblPr>
        <w:tblW w:w="0" w:type="auto"/>
        <w:tblLook w:val="01E0" w:firstRow="1" w:lastRow="1" w:firstColumn="1" w:lastColumn="1" w:noHBand="0" w:noVBand="0"/>
      </w:tblPr>
      <w:tblGrid>
        <w:gridCol w:w="1704"/>
        <w:gridCol w:w="3055"/>
        <w:gridCol w:w="4527"/>
      </w:tblGrid>
      <w:tr>
        <w:trPr>
          <w:trHeight w:hRule="exact" w:val="284"/>
        </w:trPr>
        <w:tc>
          <w:tcPr>
            <w:tcW w:w="1831" w:type="dxa"/>
            <w:tcBorders>
              <w:bottom w:val="single" w:sz="4" w:space="0" w:color="auto"/>
            </w:tcBorders>
            <w:vAlign w:val="center"/>
          </w:tcPr>
          <w:p>
            <w:pPr>
              <w:pStyle w:val="Sansinterligne1"/>
              <w:spacing w:after="120"/>
              <w:rPr>
                <w:rFonts w:ascii="Arial" w:hAnsi="Arial" w:cs="Arial"/>
                <w:b/>
                <w:sz w:val="18"/>
                <w:szCs w:val="18"/>
              </w:rPr>
            </w:pPr>
          </w:p>
        </w:tc>
        <w:tc>
          <w:tcPr>
            <w:tcW w:w="3240" w:type="dxa"/>
            <w:tcBorders>
              <w:bottom w:val="single" w:sz="4" w:space="0" w:color="auto"/>
            </w:tcBorders>
            <w:vAlign w:val="center"/>
          </w:tcPr>
          <w:p>
            <w:pPr>
              <w:pStyle w:val="Sansinterligne1"/>
              <w:spacing w:after="120"/>
              <w:jc w:val="center"/>
              <w:rPr>
                <w:rFonts w:ascii="Arial" w:hAnsi="Arial" w:cs="Arial"/>
                <w:b/>
                <w:sz w:val="18"/>
                <w:szCs w:val="18"/>
              </w:rPr>
            </w:pPr>
            <w:r>
              <w:rPr>
                <w:rFonts w:ascii="Arial" w:hAnsi="Arial" w:cs="Arial"/>
                <w:b/>
                <w:sz w:val="18"/>
                <w:szCs w:val="18"/>
              </w:rPr>
              <w:t>Année scolaire 2017-2018</w:t>
            </w:r>
          </w:p>
        </w:tc>
        <w:tc>
          <w:tcPr>
            <w:tcW w:w="4820" w:type="dxa"/>
            <w:tcBorders>
              <w:bottom w:val="single" w:sz="4" w:space="0" w:color="auto"/>
            </w:tcBorders>
            <w:vAlign w:val="center"/>
          </w:tcPr>
          <w:p>
            <w:pPr>
              <w:pStyle w:val="Sansinterligne1"/>
              <w:spacing w:after="120"/>
              <w:jc w:val="right"/>
              <w:rPr>
                <w:rFonts w:ascii="Arial" w:hAnsi="Arial" w:cs="Arial"/>
                <w:b/>
                <w:sz w:val="18"/>
                <w:szCs w:val="18"/>
              </w:rPr>
            </w:pPr>
            <w:r>
              <w:rPr>
                <w:rFonts w:ascii="Arial" w:hAnsi="Arial" w:cs="Arial"/>
                <w:b/>
                <w:sz w:val="18"/>
                <w:szCs w:val="18"/>
              </w:rPr>
              <w:t>Date limite de renvoi: 04/10/2017</w:t>
            </w:r>
          </w:p>
        </w:tc>
      </w:tr>
      <w:tr>
        <w:tc>
          <w:tcPr>
            <w:tcW w:w="977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ascii="Arial" w:hAnsi="Arial" w:cs="Arial"/>
                <w:b/>
                <w:sz w:val="18"/>
                <w:szCs w:val="18"/>
              </w:rPr>
            </w:pPr>
            <w:r>
              <w:rPr>
                <w:rFonts w:ascii="Arial" w:hAnsi="Arial" w:cs="Arial"/>
                <w:b/>
                <w:i/>
                <w:sz w:val="18"/>
                <w:szCs w:val="18"/>
              </w:rPr>
              <w:t xml:space="preserve">Enseignement primaire </w:t>
            </w:r>
          </w:p>
        </w:tc>
      </w:tr>
    </w:tbl>
    <w:p>
      <w:pPr>
        <w:pStyle w:val="Sansinterligne1"/>
        <w:spacing w:before="120"/>
        <w:jc w:val="both"/>
        <w:rPr>
          <w:rFonts w:ascii="Arial" w:hAnsi="Arial" w:cs="Arial"/>
          <w:sz w:val="18"/>
          <w:szCs w:val="18"/>
        </w:rPr>
      </w:pPr>
      <w:r>
        <w:rPr>
          <w:rFonts w:ascii="Arial" w:hAnsi="Arial" w:cs="Arial"/>
          <w:sz w:val="18"/>
          <w:szCs w:val="18"/>
        </w:rPr>
        <w:t xml:space="preserve">Demande introduite par implantation </w:t>
      </w:r>
      <w:r>
        <w:rPr>
          <w:rFonts w:ascii="Arial" w:hAnsi="Arial" w:cs="Arial"/>
          <w:i/>
          <w:sz w:val="18"/>
          <w:szCs w:val="18"/>
          <w:u w:val="single"/>
        </w:rPr>
        <w:t>si les 6 conditions ci-dessous sont remplies SIMULTANEMENT</w:t>
      </w:r>
      <w:r>
        <w:rPr>
          <w:rFonts w:ascii="Arial" w:hAnsi="Arial" w:cs="Arial"/>
          <w:sz w:val="18"/>
          <w:szCs w:val="18"/>
        </w:rPr>
        <w:t xml:space="preserve"> : </w:t>
      </w:r>
    </w:p>
    <w:p>
      <w:pPr>
        <w:pStyle w:val="Sansinterligne1"/>
        <w:tabs>
          <w:tab w:val="left" w:pos="708"/>
          <w:tab w:val="left" w:pos="1134"/>
          <w:tab w:val="left" w:pos="1416"/>
          <w:tab w:val="left" w:pos="2124"/>
          <w:tab w:val="left" w:pos="2832"/>
          <w:tab w:val="left" w:pos="3540"/>
          <w:tab w:val="left" w:pos="4248"/>
          <w:tab w:val="left" w:pos="4956"/>
          <w:tab w:val="left" w:pos="5873"/>
        </w:tabs>
        <w:spacing w:before="120"/>
        <w:ind w:left="1134" w:hanging="426"/>
        <w:jc w:val="both"/>
        <w:rPr>
          <w:rFonts w:ascii="Arial" w:hAnsi="Arial" w:cs="Arial"/>
          <w:sz w:val="18"/>
          <w:szCs w:val="18"/>
        </w:rPr>
      </w:pPr>
      <w:r>
        <w:rPr>
          <w:rFonts w:ascii="Arial" w:hAnsi="Arial" w:cs="Arial"/>
          <w:sz w:val="18"/>
          <w:szCs w:val="18"/>
        </w:rPr>
        <w:fldChar w:fldCharType="begin">
          <w:ffData>
            <w:name w:val="CaseACocher16"/>
            <w:enabled/>
            <w:calcOnExit w:val="0"/>
            <w:checkBox>
              <w:sizeAuto/>
              <w:default w:val="0"/>
            </w:checkBox>
          </w:ffData>
        </w:fldChar>
      </w:r>
      <w:bookmarkStart w:id="2218" w:name="CaseACocher16"/>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218"/>
      <w:r>
        <w:rPr>
          <w:rFonts w:ascii="Arial" w:hAnsi="Arial" w:cs="Arial"/>
          <w:sz w:val="18"/>
          <w:szCs w:val="18"/>
        </w:rPr>
        <w:tab/>
        <w:t>L’implantation concernée compte au moins une classe dépassant les maxima d’élèves autorisés en P1-P2 (24 élèves) et de P3 à P6 (28élèves ; 29 élèves en Région de Bruxelles-Capitale et dans les communes à statut linguistique spécial) ;</w:t>
      </w:r>
    </w:p>
    <w:p>
      <w:pPr>
        <w:pStyle w:val="Sansinterligne1"/>
        <w:tabs>
          <w:tab w:val="left" w:pos="708"/>
          <w:tab w:val="left" w:pos="1134"/>
          <w:tab w:val="left" w:pos="1416"/>
          <w:tab w:val="left" w:pos="2124"/>
          <w:tab w:val="left" w:pos="2832"/>
          <w:tab w:val="left" w:pos="3540"/>
          <w:tab w:val="left" w:pos="4248"/>
          <w:tab w:val="left" w:pos="4956"/>
          <w:tab w:val="left" w:pos="5873"/>
        </w:tabs>
        <w:ind w:left="1134" w:hanging="425"/>
        <w:jc w:val="both"/>
        <w:rPr>
          <w:rFonts w:ascii="Arial" w:hAnsi="Arial" w:cs="Arial"/>
          <w:sz w:val="18"/>
          <w:szCs w:val="18"/>
        </w:rPr>
      </w:pPr>
      <w:r>
        <w:rPr>
          <w:rFonts w:ascii="Arial" w:hAnsi="Arial" w:cs="Arial"/>
          <w:sz w:val="18"/>
          <w:szCs w:val="18"/>
        </w:rPr>
        <w:fldChar w:fldCharType="begin">
          <w:ffData>
            <w:name w:val="CaseACocher17"/>
            <w:enabled/>
            <w:calcOnExit w:val="0"/>
            <w:checkBox>
              <w:sizeAuto/>
              <w:default w:val="0"/>
            </w:checkBox>
          </w:ffData>
        </w:fldChar>
      </w:r>
      <w:bookmarkStart w:id="2219" w:name="CaseACocher17"/>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219"/>
      <w:r>
        <w:rPr>
          <w:rFonts w:ascii="Arial" w:hAnsi="Arial" w:cs="Arial"/>
          <w:sz w:val="18"/>
          <w:szCs w:val="18"/>
        </w:rPr>
        <w:tab/>
        <w:t>L’implantation concernée enregistre une augmentation d’au moins 10 % de sa population primaire entre le 15 janvier 2017 et le 30 septembre 2017 ;</w:t>
      </w:r>
    </w:p>
    <w:p>
      <w:pPr>
        <w:pStyle w:val="Sansinterligne1"/>
        <w:tabs>
          <w:tab w:val="left" w:pos="708"/>
          <w:tab w:val="left" w:pos="1134"/>
          <w:tab w:val="left" w:pos="1416"/>
          <w:tab w:val="left" w:pos="2124"/>
          <w:tab w:val="left" w:pos="2832"/>
          <w:tab w:val="left" w:pos="3540"/>
          <w:tab w:val="left" w:pos="4248"/>
          <w:tab w:val="left" w:pos="4956"/>
          <w:tab w:val="left" w:pos="5873"/>
        </w:tabs>
        <w:ind w:left="1134" w:hanging="425"/>
        <w:jc w:val="both"/>
        <w:rPr>
          <w:rFonts w:ascii="Arial" w:hAnsi="Arial" w:cs="Arial"/>
          <w:sz w:val="18"/>
          <w:szCs w:val="18"/>
        </w:rPr>
      </w:pPr>
      <w:r>
        <w:rPr>
          <w:rFonts w:ascii="Arial" w:hAnsi="Arial" w:cs="Arial"/>
          <w:sz w:val="18"/>
          <w:szCs w:val="18"/>
        </w:rPr>
        <w:fldChar w:fldCharType="begin">
          <w:ffData>
            <w:name w:val="CaseACocher18"/>
            <w:enabled/>
            <w:calcOnExit w:val="0"/>
            <w:checkBox>
              <w:sizeAuto/>
              <w:default w:val="0"/>
            </w:checkBox>
          </w:ffData>
        </w:fldChar>
      </w:r>
      <w:bookmarkStart w:id="2220" w:name="CaseACocher18"/>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220"/>
      <w:r>
        <w:rPr>
          <w:rFonts w:ascii="Arial" w:hAnsi="Arial" w:cs="Arial"/>
          <w:sz w:val="18"/>
          <w:szCs w:val="18"/>
        </w:rPr>
        <w:tab/>
        <w:t>L’école dont dépend l’implantation concernée n’est pas en situation de recomptage primaire au 30 septembre 2017 ;</w:t>
      </w:r>
    </w:p>
    <w:p>
      <w:pPr>
        <w:pStyle w:val="Sansinterligne1"/>
        <w:tabs>
          <w:tab w:val="left" w:pos="708"/>
          <w:tab w:val="left" w:pos="1134"/>
          <w:tab w:val="left" w:pos="1416"/>
          <w:tab w:val="left" w:pos="2124"/>
          <w:tab w:val="left" w:pos="2832"/>
          <w:tab w:val="left" w:pos="3540"/>
          <w:tab w:val="left" w:pos="4248"/>
          <w:tab w:val="left" w:pos="4956"/>
          <w:tab w:val="left" w:pos="5873"/>
        </w:tabs>
        <w:ind w:left="1134" w:hanging="425"/>
        <w:jc w:val="both"/>
        <w:rPr>
          <w:rFonts w:ascii="Arial" w:hAnsi="Arial" w:cs="Arial"/>
          <w:sz w:val="18"/>
          <w:szCs w:val="18"/>
        </w:rPr>
      </w:pPr>
      <w:r>
        <w:rPr>
          <w:rFonts w:ascii="Arial" w:hAnsi="Arial" w:cs="Arial"/>
          <w:sz w:val="18"/>
          <w:szCs w:val="18"/>
        </w:rPr>
        <w:fldChar w:fldCharType="begin">
          <w:ffData>
            <w:name w:val="CaseACocher19"/>
            <w:enabled/>
            <w:calcOnExit w:val="0"/>
            <w:checkBox>
              <w:sizeAuto/>
              <w:default w:val="0"/>
            </w:checkBox>
          </w:ffData>
        </w:fldChar>
      </w:r>
      <w:bookmarkStart w:id="2221" w:name="CaseACocher19"/>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221"/>
      <w:r>
        <w:rPr>
          <w:rFonts w:ascii="Arial" w:hAnsi="Arial" w:cs="Arial"/>
          <w:sz w:val="18"/>
          <w:szCs w:val="18"/>
        </w:rPr>
        <w:tab/>
        <w:t>L’implantation concernée n’a pas la possibilité de faire un transfert de périodes (article 37 du Décret du 13/07/1998) ;</w:t>
      </w:r>
    </w:p>
    <w:p>
      <w:pPr>
        <w:pStyle w:val="Sansinterligne1"/>
        <w:tabs>
          <w:tab w:val="left" w:pos="708"/>
          <w:tab w:val="left" w:pos="1134"/>
          <w:tab w:val="left" w:pos="1416"/>
          <w:tab w:val="left" w:pos="2124"/>
          <w:tab w:val="left" w:pos="2832"/>
          <w:tab w:val="left" w:pos="3540"/>
          <w:tab w:val="left" w:pos="4248"/>
          <w:tab w:val="left" w:pos="4956"/>
          <w:tab w:val="left" w:pos="5873"/>
        </w:tabs>
        <w:ind w:left="1134" w:hanging="425"/>
        <w:jc w:val="both"/>
        <w:rPr>
          <w:rFonts w:ascii="Arial" w:hAnsi="Arial" w:cs="Arial"/>
          <w:sz w:val="18"/>
          <w:szCs w:val="18"/>
        </w:rPr>
      </w:pPr>
      <w:r>
        <w:rPr>
          <w:rFonts w:ascii="Arial" w:hAnsi="Arial" w:cs="Arial"/>
          <w:sz w:val="18"/>
          <w:szCs w:val="18"/>
        </w:rPr>
        <w:fldChar w:fldCharType="begin">
          <w:ffData>
            <w:name w:val="CaseACocher20"/>
            <w:enabled/>
            <w:calcOnExit w:val="0"/>
            <w:checkBox>
              <w:sizeAuto/>
              <w:default w:val="0"/>
            </w:checkBox>
          </w:ffData>
        </w:fldChar>
      </w:r>
      <w:bookmarkStart w:id="2222" w:name="CaseACocher20"/>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222"/>
      <w:r>
        <w:rPr>
          <w:rFonts w:ascii="Arial" w:hAnsi="Arial" w:cs="Arial"/>
          <w:sz w:val="18"/>
          <w:szCs w:val="18"/>
        </w:rPr>
        <w:tab/>
        <w:t>L’augmentation de la population ne résulte pas d’une restructuration ;</w:t>
      </w:r>
    </w:p>
    <w:p>
      <w:pPr>
        <w:pStyle w:val="Sansinterligne1"/>
        <w:tabs>
          <w:tab w:val="left" w:pos="708"/>
          <w:tab w:val="left" w:pos="1134"/>
          <w:tab w:val="left" w:pos="1416"/>
          <w:tab w:val="left" w:pos="2124"/>
          <w:tab w:val="left" w:pos="2832"/>
          <w:tab w:val="left" w:pos="3540"/>
          <w:tab w:val="left" w:pos="4248"/>
          <w:tab w:val="left" w:pos="4956"/>
          <w:tab w:val="left" w:pos="5873"/>
        </w:tabs>
        <w:ind w:left="1134" w:hanging="425"/>
        <w:jc w:val="both"/>
        <w:rPr>
          <w:rFonts w:ascii="Arial" w:hAnsi="Arial" w:cs="Arial"/>
          <w:sz w:val="18"/>
          <w:szCs w:val="18"/>
        </w:rPr>
      </w:pPr>
      <w:r>
        <w:rPr>
          <w:rFonts w:ascii="Arial" w:hAnsi="Arial" w:cs="Arial"/>
          <w:sz w:val="18"/>
          <w:szCs w:val="18"/>
        </w:rPr>
        <w:fldChar w:fldCharType="begin">
          <w:ffData>
            <w:name w:val="CaseACocher20"/>
            <w:enabled/>
            <w:calcOnExit w:val="0"/>
            <w:checkBox>
              <w:sizeAuto/>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ab/>
        <w:t>L’implantation n’a pas obtenu 26 périodes complémentaires pour l’encadrement d’une classe nouvellement créée au 1</w:t>
      </w:r>
      <w:r>
        <w:rPr>
          <w:rFonts w:ascii="Arial" w:hAnsi="Arial" w:cs="Arial"/>
          <w:sz w:val="18"/>
          <w:szCs w:val="18"/>
          <w:vertAlign w:val="superscript"/>
        </w:rPr>
        <w:t>er</w:t>
      </w:r>
      <w:r>
        <w:rPr>
          <w:rFonts w:ascii="Arial" w:hAnsi="Arial" w:cs="Arial"/>
          <w:sz w:val="18"/>
          <w:szCs w:val="18"/>
        </w:rPr>
        <w:t xml:space="preserve"> septembre. </w:t>
      </w:r>
    </w:p>
    <w:p>
      <w:pPr>
        <w:pStyle w:val="Sansinterligne1"/>
        <w:shd w:val="clear" w:color="auto" w:fill="FFFFFF"/>
        <w:ind w:left="180"/>
        <w:jc w:val="both"/>
        <w:rPr>
          <w:rFonts w:ascii="Arial" w:hAnsi="Arial" w:cs="Arial"/>
          <w:sz w:val="8"/>
          <w:szCs w:val="8"/>
        </w:rPr>
      </w:pPr>
    </w:p>
    <w:tbl>
      <w:tblPr>
        <w:tblW w:w="9072" w:type="dxa"/>
        <w:tblLook w:val="01E0" w:firstRow="1" w:lastRow="1" w:firstColumn="1" w:lastColumn="1" w:noHBand="0" w:noVBand="0"/>
      </w:tblPr>
      <w:tblGrid>
        <w:gridCol w:w="4077"/>
        <w:gridCol w:w="4995"/>
      </w:tblGrid>
      <w:tr>
        <w:trPr>
          <w:trHeight w:val="756"/>
        </w:trPr>
        <w:tc>
          <w:tcPr>
            <w:tcW w:w="4077" w:type="dxa"/>
            <w:tcBorders>
              <w:bottom w:val="single" w:sz="4" w:space="0" w:color="auto"/>
            </w:tcBorders>
            <w:shd w:val="clear" w:color="auto" w:fill="FFFFFF"/>
          </w:tcPr>
          <w:p>
            <w:pPr>
              <w:pStyle w:val="Sansinterligne1"/>
              <w:shd w:val="clear" w:color="auto" w:fill="FFFFFF"/>
              <w:spacing w:before="120" w:after="200" w:line="276" w:lineRule="auto"/>
              <w:rPr>
                <w:rFonts w:ascii="Arial" w:hAnsi="Arial" w:cs="Arial"/>
                <w:sz w:val="18"/>
                <w:szCs w:val="18"/>
              </w:rPr>
            </w:pPr>
            <w:r>
              <w:rPr>
                <w:rFonts w:ascii="Arial" w:hAnsi="Arial" w:cs="Arial"/>
                <w:sz w:val="18"/>
                <w:szCs w:val="18"/>
              </w:rPr>
              <w:t>Elle est envoyée  à l’adresse suivante:</w:t>
            </w:r>
          </w:p>
        </w:tc>
        <w:tc>
          <w:tcPr>
            <w:tcW w:w="4995" w:type="dxa"/>
            <w:tcBorders>
              <w:bottom w:val="single" w:sz="4" w:space="0" w:color="auto"/>
            </w:tcBorders>
            <w:shd w:val="clear" w:color="auto" w:fill="FFFFFF"/>
          </w:tcPr>
          <w:p>
            <w:pPr>
              <w:pStyle w:val="Sansinterligne1"/>
              <w:shd w:val="clear" w:color="auto" w:fill="FFFFFF"/>
              <w:spacing w:before="120"/>
              <w:ind w:left="-116"/>
              <w:rPr>
                <w:rFonts w:ascii="Arial" w:hAnsi="Arial" w:cs="Arial"/>
                <w:i/>
                <w:sz w:val="18"/>
                <w:szCs w:val="18"/>
              </w:rPr>
            </w:pPr>
            <w:r>
              <w:rPr>
                <w:rFonts w:ascii="Arial" w:hAnsi="Arial" w:cs="Arial"/>
                <w:i/>
                <w:sz w:val="18"/>
                <w:szCs w:val="18"/>
              </w:rPr>
              <w:t>Direction générale de l’Enseignement obligatoire (2F211) - Rue Adolphe Lavallée, 1 1080 Bruxelles</w:t>
            </w:r>
          </w:p>
        </w:tc>
      </w:tr>
      <w:tr>
        <w:tc>
          <w:tcPr>
            <w:tcW w:w="9072" w:type="dxa"/>
            <w:gridSpan w:val="2"/>
            <w:tcBorders>
              <w:top w:val="single" w:sz="4" w:space="0" w:color="auto"/>
              <w:left w:val="single" w:sz="4" w:space="0" w:color="auto"/>
              <w:bottom w:val="single" w:sz="4" w:space="0" w:color="auto"/>
              <w:right w:val="single" w:sz="4" w:space="0" w:color="auto"/>
            </w:tcBorders>
          </w:tcPr>
          <w:p>
            <w:pPr>
              <w:pStyle w:val="Sansinterligne1"/>
              <w:shd w:val="clear" w:color="auto" w:fill="FFFFFF"/>
              <w:spacing w:before="120" w:after="120"/>
              <w:jc w:val="center"/>
              <w:rPr>
                <w:rFonts w:ascii="Arial" w:hAnsi="Arial" w:cs="Arial"/>
                <w:sz w:val="18"/>
                <w:szCs w:val="18"/>
              </w:rPr>
            </w:pPr>
            <w:r>
              <w:rPr>
                <w:rFonts w:ascii="Arial" w:hAnsi="Arial" w:cs="Arial"/>
                <w:b/>
                <w:sz w:val="18"/>
                <w:szCs w:val="18"/>
              </w:rPr>
              <w:t>Attention: un formulaire de demande par implantation</w:t>
            </w:r>
          </w:p>
        </w:tc>
      </w:tr>
    </w:tbl>
    <w:p>
      <w:pPr>
        <w:pStyle w:val="Sansinterligne1"/>
        <w:shd w:val="clear" w:color="auto" w:fill="FFFFFF"/>
        <w:rPr>
          <w:rFonts w:ascii="Arial" w:hAnsi="Arial"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8"/>
        <w:gridCol w:w="2368"/>
      </w:tblGrid>
      <w:tr>
        <w:tc>
          <w:tcPr>
            <w:tcW w:w="7308" w:type="dxa"/>
            <w:vAlign w:val="center"/>
          </w:tcPr>
          <w:p>
            <w:pPr>
              <w:pStyle w:val="Sansinterligne1"/>
              <w:shd w:val="clear" w:color="auto" w:fill="FFFFFF"/>
              <w:spacing w:before="120" w:after="120"/>
              <w:rPr>
                <w:rFonts w:ascii="Arial" w:hAnsi="Arial" w:cs="Arial"/>
                <w:b/>
                <w:sz w:val="18"/>
                <w:szCs w:val="18"/>
              </w:rPr>
            </w:pPr>
            <w:r>
              <w:rPr>
                <w:rFonts w:ascii="Arial" w:hAnsi="Arial" w:cs="Arial"/>
                <w:b/>
                <w:sz w:val="18"/>
                <w:szCs w:val="18"/>
              </w:rPr>
              <w:t>Ecole:</w:t>
            </w:r>
          </w:p>
        </w:tc>
        <w:tc>
          <w:tcPr>
            <w:tcW w:w="2470" w:type="dxa"/>
            <w:vAlign w:val="center"/>
          </w:tcPr>
          <w:p>
            <w:pPr>
              <w:pStyle w:val="Sansinterligne1"/>
              <w:shd w:val="clear" w:color="auto" w:fill="FFFFFF"/>
              <w:spacing w:before="120" w:after="120"/>
              <w:rPr>
                <w:rFonts w:ascii="Arial" w:hAnsi="Arial" w:cs="Arial"/>
                <w:b/>
                <w:sz w:val="18"/>
                <w:szCs w:val="18"/>
              </w:rPr>
            </w:pPr>
            <w:r>
              <w:rPr>
                <w:rFonts w:ascii="Arial" w:hAnsi="Arial" w:cs="Arial"/>
                <w:b/>
                <w:sz w:val="18"/>
                <w:szCs w:val="18"/>
              </w:rPr>
              <w:t>N° FASE:</w:t>
            </w:r>
          </w:p>
        </w:tc>
      </w:tr>
      <w:tr>
        <w:trPr>
          <w:trHeight w:val="801"/>
        </w:trPr>
        <w:tc>
          <w:tcPr>
            <w:tcW w:w="9778" w:type="dxa"/>
            <w:gridSpan w:val="2"/>
          </w:tcPr>
          <w:p>
            <w:pPr>
              <w:pStyle w:val="Sansinterligne1"/>
              <w:shd w:val="clear" w:color="auto" w:fill="FFFFFF"/>
              <w:spacing w:after="720"/>
              <w:rPr>
                <w:rFonts w:ascii="Arial" w:hAnsi="Arial" w:cs="Arial"/>
                <w:b/>
                <w:sz w:val="18"/>
                <w:szCs w:val="18"/>
              </w:rPr>
            </w:pPr>
            <w:r>
              <w:rPr>
                <w:rFonts w:ascii="Arial" w:hAnsi="Arial" w:cs="Arial"/>
                <w:sz w:val="18"/>
                <w:szCs w:val="18"/>
              </w:rPr>
              <w:t>Siège administratif (rue, n°, code postal et localité):</w:t>
            </w:r>
          </w:p>
        </w:tc>
      </w:tr>
    </w:tbl>
    <w:p>
      <w:pPr>
        <w:pStyle w:val="Sansinterligne1"/>
        <w:shd w:val="clear" w:color="auto" w:fill="FFFFFF"/>
        <w:rPr>
          <w:rFonts w:ascii="Arial" w:hAnsi="Arial" w:cs="Arial"/>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6"/>
        <w:gridCol w:w="2360"/>
      </w:tblGrid>
      <w:tr>
        <w:tc>
          <w:tcPr>
            <w:tcW w:w="7308" w:type="dxa"/>
            <w:vAlign w:val="center"/>
          </w:tcPr>
          <w:p>
            <w:pPr>
              <w:pStyle w:val="Sansinterligne1"/>
              <w:shd w:val="clear" w:color="auto" w:fill="FFFFFF"/>
              <w:spacing w:before="120" w:after="120"/>
              <w:rPr>
                <w:rFonts w:ascii="Arial" w:hAnsi="Arial" w:cs="Arial"/>
                <w:b/>
                <w:sz w:val="18"/>
                <w:szCs w:val="18"/>
              </w:rPr>
            </w:pPr>
            <w:r>
              <w:rPr>
                <w:rFonts w:ascii="Arial" w:hAnsi="Arial" w:cs="Arial"/>
                <w:b/>
                <w:sz w:val="18"/>
                <w:szCs w:val="18"/>
              </w:rPr>
              <w:t>Implantation:</w:t>
            </w:r>
          </w:p>
        </w:tc>
        <w:tc>
          <w:tcPr>
            <w:tcW w:w="2470" w:type="dxa"/>
            <w:vAlign w:val="center"/>
          </w:tcPr>
          <w:p>
            <w:pPr>
              <w:pStyle w:val="Sansinterligne1"/>
              <w:shd w:val="clear" w:color="auto" w:fill="FFFFFF"/>
              <w:spacing w:before="120" w:after="120"/>
              <w:rPr>
                <w:rFonts w:ascii="Arial" w:hAnsi="Arial" w:cs="Arial"/>
                <w:b/>
                <w:sz w:val="18"/>
                <w:szCs w:val="18"/>
              </w:rPr>
            </w:pPr>
            <w:r>
              <w:rPr>
                <w:rFonts w:ascii="Arial" w:hAnsi="Arial" w:cs="Arial"/>
                <w:b/>
                <w:sz w:val="18"/>
                <w:szCs w:val="18"/>
              </w:rPr>
              <w:t>N° FASE:</w:t>
            </w:r>
          </w:p>
        </w:tc>
      </w:tr>
      <w:tr>
        <w:trPr>
          <w:trHeight w:val="671"/>
        </w:trPr>
        <w:tc>
          <w:tcPr>
            <w:tcW w:w="9778" w:type="dxa"/>
            <w:gridSpan w:val="2"/>
          </w:tcPr>
          <w:p>
            <w:pPr>
              <w:pStyle w:val="Sansinterligne1"/>
              <w:shd w:val="clear" w:color="auto" w:fill="FFFFFF"/>
              <w:spacing w:after="720"/>
              <w:rPr>
                <w:rFonts w:ascii="Arial" w:hAnsi="Arial" w:cs="Arial"/>
                <w:b/>
                <w:sz w:val="18"/>
                <w:szCs w:val="18"/>
              </w:rPr>
            </w:pPr>
            <w:r>
              <w:rPr>
                <w:rFonts w:ascii="Arial" w:hAnsi="Arial" w:cs="Arial"/>
                <w:sz w:val="18"/>
                <w:szCs w:val="18"/>
              </w:rPr>
              <w:t>Adresse complète de l’implantation (rue, n°, code postal et localité):</w:t>
            </w:r>
          </w:p>
        </w:tc>
      </w:tr>
    </w:tbl>
    <w:p>
      <w:pPr>
        <w:pStyle w:val="Sansinterligne1"/>
        <w:shd w:val="clear" w:color="auto" w:fill="FFFFFF"/>
        <w:spacing w:before="120" w:after="120"/>
        <w:rPr>
          <w:rFonts w:ascii="Arial" w:hAnsi="Arial" w:cs="Arial"/>
          <w:i/>
          <w:sz w:val="18"/>
          <w:szCs w:val="18"/>
        </w:rPr>
      </w:pPr>
      <w:r>
        <w:rPr>
          <w:rFonts w:ascii="Arial" w:hAnsi="Arial" w:cs="Arial"/>
          <w:i/>
          <w:sz w:val="18"/>
          <w:szCs w:val="18"/>
        </w:rPr>
        <w:t>Calcul du nombre de périodes demandées: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7695"/>
        <w:gridCol w:w="1131"/>
      </w:tblGrid>
      <w:tr>
        <w:trPr>
          <w:trHeight w:val="510"/>
        </w:trPr>
        <w:tc>
          <w:tcPr>
            <w:tcW w:w="468" w:type="dxa"/>
            <w:vAlign w:val="center"/>
          </w:tcPr>
          <w:p>
            <w:pPr>
              <w:pStyle w:val="Sansinterligne1"/>
              <w:shd w:val="clear" w:color="auto" w:fill="FFFFFF"/>
              <w:jc w:val="center"/>
              <w:rPr>
                <w:rFonts w:ascii="Arial" w:hAnsi="Arial" w:cs="Arial"/>
                <w:sz w:val="18"/>
                <w:szCs w:val="18"/>
              </w:rPr>
            </w:pPr>
            <w:r>
              <w:rPr>
                <w:rFonts w:ascii="Arial" w:hAnsi="Arial" w:cs="Arial"/>
                <w:sz w:val="18"/>
                <w:szCs w:val="18"/>
              </w:rPr>
              <w:t>A</w:t>
            </w:r>
          </w:p>
        </w:tc>
        <w:tc>
          <w:tcPr>
            <w:tcW w:w="8108" w:type="dxa"/>
            <w:vAlign w:val="center"/>
          </w:tcPr>
          <w:p>
            <w:pPr>
              <w:pStyle w:val="Sansinterligne1"/>
              <w:shd w:val="clear" w:color="auto" w:fill="FFFFFF"/>
              <w:rPr>
                <w:rFonts w:ascii="Arial" w:hAnsi="Arial" w:cs="Arial"/>
                <w:sz w:val="18"/>
                <w:szCs w:val="18"/>
              </w:rPr>
            </w:pPr>
            <w:r>
              <w:rPr>
                <w:rFonts w:ascii="Arial" w:hAnsi="Arial" w:cs="Arial"/>
                <w:sz w:val="18"/>
                <w:szCs w:val="18"/>
              </w:rPr>
              <w:t xml:space="preserve">Population primaire </w:t>
            </w:r>
            <w:r>
              <w:rPr>
                <w:rFonts w:ascii="Arial" w:hAnsi="Arial" w:cs="Arial"/>
                <w:b/>
                <w:sz w:val="18"/>
                <w:szCs w:val="18"/>
              </w:rPr>
              <w:t>physique</w:t>
            </w:r>
            <w:r>
              <w:rPr>
                <w:rStyle w:val="Appelnotedebasdep"/>
                <w:b/>
                <w:sz w:val="18"/>
                <w:szCs w:val="18"/>
              </w:rPr>
              <w:footnoteReference w:id="100"/>
            </w:r>
            <w:r>
              <w:rPr>
                <w:rFonts w:ascii="Arial" w:hAnsi="Arial" w:cs="Arial"/>
                <w:sz w:val="18"/>
                <w:szCs w:val="18"/>
              </w:rPr>
              <w:t xml:space="preserve"> au 15/01/2017</w:t>
            </w:r>
          </w:p>
        </w:tc>
        <w:tc>
          <w:tcPr>
            <w:tcW w:w="1191" w:type="dxa"/>
            <w:vAlign w:val="center"/>
          </w:tcPr>
          <w:p>
            <w:pPr>
              <w:pStyle w:val="Sansinterligne1"/>
              <w:shd w:val="clear" w:color="auto" w:fill="FFFFFF"/>
              <w:jc w:val="center"/>
              <w:rPr>
                <w:rFonts w:ascii="Arial" w:hAnsi="Arial" w:cs="Arial"/>
                <w:sz w:val="18"/>
                <w:szCs w:val="18"/>
              </w:rPr>
            </w:pPr>
          </w:p>
        </w:tc>
      </w:tr>
      <w:tr>
        <w:trPr>
          <w:trHeight w:val="510"/>
        </w:trPr>
        <w:tc>
          <w:tcPr>
            <w:tcW w:w="468" w:type="dxa"/>
            <w:vAlign w:val="center"/>
          </w:tcPr>
          <w:p>
            <w:pPr>
              <w:pStyle w:val="Sansinterligne1"/>
              <w:shd w:val="clear" w:color="auto" w:fill="FFFFFF"/>
              <w:jc w:val="center"/>
              <w:rPr>
                <w:rFonts w:ascii="Arial" w:hAnsi="Arial" w:cs="Arial"/>
                <w:sz w:val="18"/>
                <w:szCs w:val="18"/>
              </w:rPr>
            </w:pPr>
            <w:r>
              <w:rPr>
                <w:rFonts w:ascii="Arial" w:hAnsi="Arial" w:cs="Arial"/>
                <w:sz w:val="18"/>
                <w:szCs w:val="18"/>
              </w:rPr>
              <w:t>B</w:t>
            </w:r>
          </w:p>
        </w:tc>
        <w:tc>
          <w:tcPr>
            <w:tcW w:w="8108" w:type="dxa"/>
            <w:vAlign w:val="center"/>
          </w:tcPr>
          <w:p>
            <w:pPr>
              <w:pStyle w:val="Sansinterligne1"/>
              <w:shd w:val="clear" w:color="auto" w:fill="FFFFFF"/>
              <w:rPr>
                <w:rFonts w:ascii="Arial" w:hAnsi="Arial" w:cs="Arial"/>
                <w:sz w:val="18"/>
                <w:szCs w:val="18"/>
              </w:rPr>
            </w:pPr>
            <w:r>
              <w:rPr>
                <w:rFonts w:ascii="Arial" w:hAnsi="Arial" w:cs="Arial"/>
                <w:sz w:val="18"/>
                <w:szCs w:val="18"/>
              </w:rPr>
              <w:t xml:space="preserve">Population primaire </w:t>
            </w:r>
            <w:r>
              <w:rPr>
                <w:rFonts w:ascii="Arial" w:hAnsi="Arial" w:cs="Arial"/>
                <w:b/>
                <w:sz w:val="18"/>
                <w:szCs w:val="18"/>
              </w:rPr>
              <w:t>physique</w:t>
            </w:r>
            <w:r>
              <w:rPr>
                <w:rStyle w:val="Appelnotedebasdep"/>
                <w:b/>
                <w:sz w:val="18"/>
                <w:szCs w:val="18"/>
              </w:rPr>
              <w:t xml:space="preserve"> </w:t>
            </w:r>
            <w:r>
              <w:rPr>
                <w:rFonts w:ascii="Arial" w:hAnsi="Arial" w:cs="Arial"/>
                <w:sz w:val="18"/>
                <w:szCs w:val="18"/>
              </w:rPr>
              <w:t>au 30/09/2017</w:t>
            </w:r>
          </w:p>
        </w:tc>
        <w:tc>
          <w:tcPr>
            <w:tcW w:w="1191" w:type="dxa"/>
            <w:vAlign w:val="center"/>
          </w:tcPr>
          <w:p>
            <w:pPr>
              <w:pStyle w:val="Sansinterligne1"/>
              <w:shd w:val="clear" w:color="auto" w:fill="FFFFFF"/>
              <w:jc w:val="center"/>
              <w:rPr>
                <w:rFonts w:ascii="Arial" w:hAnsi="Arial" w:cs="Arial"/>
                <w:sz w:val="18"/>
                <w:szCs w:val="18"/>
              </w:rPr>
            </w:pPr>
          </w:p>
        </w:tc>
      </w:tr>
      <w:tr>
        <w:trPr>
          <w:trHeight w:val="510"/>
        </w:trPr>
        <w:tc>
          <w:tcPr>
            <w:tcW w:w="468" w:type="dxa"/>
            <w:vAlign w:val="center"/>
          </w:tcPr>
          <w:p>
            <w:pPr>
              <w:pStyle w:val="Sansinterligne1"/>
              <w:shd w:val="clear" w:color="auto" w:fill="FFFFFF"/>
              <w:jc w:val="center"/>
              <w:rPr>
                <w:rFonts w:ascii="Arial" w:hAnsi="Arial" w:cs="Arial"/>
                <w:sz w:val="18"/>
                <w:szCs w:val="18"/>
              </w:rPr>
            </w:pPr>
            <w:r>
              <w:rPr>
                <w:rFonts w:ascii="Arial" w:hAnsi="Arial" w:cs="Arial"/>
                <w:sz w:val="18"/>
                <w:szCs w:val="18"/>
              </w:rPr>
              <w:t>C</w:t>
            </w:r>
          </w:p>
        </w:tc>
        <w:tc>
          <w:tcPr>
            <w:tcW w:w="8108" w:type="dxa"/>
            <w:vAlign w:val="center"/>
          </w:tcPr>
          <w:p>
            <w:pPr>
              <w:pStyle w:val="Sansinterligne1"/>
              <w:shd w:val="clear" w:color="auto" w:fill="FFFFFF"/>
              <w:rPr>
                <w:rFonts w:ascii="Arial" w:hAnsi="Arial" w:cs="Arial"/>
                <w:sz w:val="18"/>
                <w:szCs w:val="18"/>
              </w:rPr>
            </w:pPr>
            <w:r>
              <w:rPr>
                <w:rFonts w:ascii="Arial" w:hAnsi="Arial" w:cs="Arial"/>
                <w:sz w:val="18"/>
                <w:szCs w:val="18"/>
              </w:rPr>
              <w:t xml:space="preserve">Pourcentage d’augmentation (arrondi au centième supérieur) </w:t>
            </w:r>
            <w:r>
              <w:rPr>
                <w:rFonts w:ascii="Arial" w:hAnsi="Arial" w:cs="Arial"/>
                <w:sz w:val="18"/>
                <w:szCs w:val="18"/>
              </w:rPr>
              <w:sym w:font="Wingdings" w:char="F0E0"/>
            </w:r>
            <w:r>
              <w:rPr>
                <w:rFonts w:ascii="Arial" w:hAnsi="Arial" w:cs="Arial"/>
                <w:sz w:val="18"/>
                <w:szCs w:val="18"/>
              </w:rPr>
              <w:t xml:space="preserve"> ((B - A)*100)/A</w:t>
            </w:r>
          </w:p>
        </w:tc>
        <w:tc>
          <w:tcPr>
            <w:tcW w:w="1191" w:type="dxa"/>
            <w:vAlign w:val="center"/>
          </w:tcPr>
          <w:p>
            <w:pPr>
              <w:pStyle w:val="Sansinterligne1"/>
              <w:shd w:val="clear" w:color="auto" w:fill="FFFFFF"/>
              <w:jc w:val="center"/>
              <w:rPr>
                <w:rFonts w:ascii="Arial" w:hAnsi="Arial" w:cs="Arial"/>
                <w:sz w:val="18"/>
                <w:szCs w:val="18"/>
              </w:rPr>
            </w:pPr>
          </w:p>
        </w:tc>
      </w:tr>
      <w:tr>
        <w:trPr>
          <w:trHeight w:val="510"/>
        </w:trPr>
        <w:tc>
          <w:tcPr>
            <w:tcW w:w="468" w:type="dxa"/>
            <w:vAlign w:val="center"/>
          </w:tcPr>
          <w:p>
            <w:pPr>
              <w:pStyle w:val="Sansinterligne1"/>
              <w:shd w:val="clear" w:color="auto" w:fill="FFFFFF"/>
              <w:jc w:val="center"/>
              <w:rPr>
                <w:rFonts w:ascii="Arial" w:hAnsi="Arial" w:cs="Arial"/>
                <w:sz w:val="18"/>
                <w:szCs w:val="18"/>
              </w:rPr>
            </w:pPr>
            <w:r>
              <w:rPr>
                <w:rFonts w:ascii="Arial" w:hAnsi="Arial" w:cs="Arial"/>
                <w:sz w:val="18"/>
                <w:szCs w:val="18"/>
              </w:rPr>
              <w:t>D</w:t>
            </w:r>
          </w:p>
        </w:tc>
        <w:tc>
          <w:tcPr>
            <w:tcW w:w="8108" w:type="dxa"/>
            <w:vAlign w:val="center"/>
          </w:tcPr>
          <w:p>
            <w:pPr>
              <w:pStyle w:val="Sansinterligne1"/>
              <w:shd w:val="clear" w:color="auto" w:fill="FFFFFF"/>
              <w:rPr>
                <w:rFonts w:ascii="Arial" w:hAnsi="Arial" w:cs="Arial"/>
                <w:b/>
                <w:sz w:val="18"/>
                <w:szCs w:val="18"/>
              </w:rPr>
            </w:pPr>
            <w:r>
              <w:rPr>
                <w:rFonts w:ascii="Arial" w:hAnsi="Arial" w:cs="Arial"/>
                <w:b/>
                <w:sz w:val="18"/>
                <w:szCs w:val="18"/>
              </w:rPr>
              <w:t>Périodes sollicitées  = (B - A)*0,5 arrondi à l’unité supérieure</w:t>
            </w:r>
          </w:p>
        </w:tc>
        <w:tc>
          <w:tcPr>
            <w:tcW w:w="1191" w:type="dxa"/>
            <w:vAlign w:val="center"/>
          </w:tcPr>
          <w:p>
            <w:pPr>
              <w:pStyle w:val="Sansinterligne1"/>
              <w:shd w:val="clear" w:color="auto" w:fill="FFFFFF"/>
              <w:jc w:val="center"/>
              <w:rPr>
                <w:rFonts w:ascii="Arial" w:hAnsi="Arial" w:cs="Arial"/>
                <w:sz w:val="18"/>
                <w:szCs w:val="18"/>
              </w:rPr>
            </w:pPr>
          </w:p>
        </w:tc>
      </w:tr>
    </w:tbl>
    <w:p>
      <w:pPr>
        <w:pStyle w:val="Sansinterligne1"/>
        <w:shd w:val="clear" w:color="auto" w:fill="FFFFFF"/>
        <w:spacing w:before="120" w:after="120"/>
        <w:ind w:left="720"/>
        <w:jc w:val="both"/>
        <w:rPr>
          <w:rFonts w:ascii="Arial" w:hAnsi="Arial" w:cs="Arial"/>
          <w:b/>
          <w:i/>
          <w:sz w:val="18"/>
          <w:szCs w:val="18"/>
        </w:rPr>
      </w:pPr>
      <w:r>
        <w:rPr>
          <w:rFonts w:ascii="Arial" w:hAnsi="Arial" w:cs="Arial"/>
          <w:b/>
          <w:i/>
          <w:sz w:val="18"/>
          <w:szCs w:val="18"/>
        </w:rPr>
        <w:t>Classe(s) concernée(s)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8"/>
        <w:gridCol w:w="1395"/>
        <w:gridCol w:w="1395"/>
        <w:gridCol w:w="1395"/>
        <w:gridCol w:w="1395"/>
      </w:tblGrid>
      <w:tr>
        <w:trPr>
          <w:trHeight w:val="454"/>
        </w:trPr>
        <w:tc>
          <w:tcPr>
            <w:tcW w:w="2880" w:type="dxa"/>
            <w:vAlign w:val="center"/>
          </w:tcPr>
          <w:p>
            <w:pPr>
              <w:pStyle w:val="Sansinterligne1"/>
              <w:shd w:val="clear" w:color="auto" w:fill="FFFFFF"/>
              <w:rPr>
                <w:rFonts w:ascii="Arial" w:hAnsi="Arial" w:cs="Arial"/>
                <w:sz w:val="18"/>
                <w:szCs w:val="18"/>
              </w:rPr>
            </w:pPr>
            <w:r>
              <w:rPr>
                <w:rFonts w:ascii="Arial" w:hAnsi="Arial" w:cs="Arial"/>
                <w:sz w:val="18"/>
                <w:szCs w:val="18"/>
              </w:rPr>
              <w:t>Année d’étude</w:t>
            </w:r>
          </w:p>
        </w:tc>
        <w:tc>
          <w:tcPr>
            <w:tcW w:w="1395" w:type="dxa"/>
            <w:vAlign w:val="center"/>
          </w:tcPr>
          <w:p>
            <w:pPr>
              <w:pStyle w:val="Sansinterligne1"/>
              <w:shd w:val="clear" w:color="auto" w:fill="FFFFFF"/>
              <w:spacing w:after="200" w:line="276" w:lineRule="auto"/>
              <w:rPr>
                <w:rFonts w:ascii="Arial" w:hAnsi="Arial" w:cs="Arial"/>
                <w:sz w:val="18"/>
                <w:szCs w:val="18"/>
              </w:rPr>
            </w:pPr>
          </w:p>
        </w:tc>
        <w:tc>
          <w:tcPr>
            <w:tcW w:w="1395" w:type="dxa"/>
            <w:vAlign w:val="center"/>
          </w:tcPr>
          <w:p>
            <w:pPr>
              <w:pStyle w:val="Sansinterligne1"/>
              <w:shd w:val="clear" w:color="auto" w:fill="FFFFFF"/>
              <w:spacing w:after="200" w:line="276" w:lineRule="auto"/>
              <w:rPr>
                <w:rFonts w:ascii="Arial" w:hAnsi="Arial" w:cs="Arial"/>
                <w:sz w:val="18"/>
                <w:szCs w:val="18"/>
              </w:rPr>
            </w:pPr>
          </w:p>
        </w:tc>
        <w:tc>
          <w:tcPr>
            <w:tcW w:w="1395" w:type="dxa"/>
            <w:vAlign w:val="center"/>
          </w:tcPr>
          <w:p>
            <w:pPr>
              <w:pStyle w:val="Sansinterligne1"/>
              <w:shd w:val="clear" w:color="auto" w:fill="FFFFFF"/>
              <w:spacing w:after="200" w:line="276" w:lineRule="auto"/>
              <w:rPr>
                <w:rFonts w:ascii="Arial" w:hAnsi="Arial" w:cs="Arial"/>
                <w:sz w:val="18"/>
                <w:szCs w:val="18"/>
              </w:rPr>
            </w:pPr>
          </w:p>
        </w:tc>
        <w:tc>
          <w:tcPr>
            <w:tcW w:w="1395" w:type="dxa"/>
            <w:vAlign w:val="center"/>
          </w:tcPr>
          <w:p>
            <w:pPr>
              <w:pStyle w:val="Sansinterligne1"/>
              <w:shd w:val="clear" w:color="auto" w:fill="FFFFFF"/>
              <w:spacing w:after="200" w:line="276" w:lineRule="auto"/>
              <w:rPr>
                <w:rFonts w:ascii="Arial" w:hAnsi="Arial" w:cs="Arial"/>
                <w:sz w:val="18"/>
                <w:szCs w:val="18"/>
              </w:rPr>
            </w:pPr>
          </w:p>
        </w:tc>
      </w:tr>
      <w:tr>
        <w:trPr>
          <w:trHeight w:val="454"/>
        </w:trPr>
        <w:tc>
          <w:tcPr>
            <w:tcW w:w="2880" w:type="dxa"/>
            <w:vAlign w:val="center"/>
          </w:tcPr>
          <w:p>
            <w:pPr>
              <w:pStyle w:val="Sansinterligne1"/>
              <w:shd w:val="clear" w:color="auto" w:fill="FFFFFF"/>
              <w:rPr>
                <w:rFonts w:ascii="Arial" w:hAnsi="Arial" w:cs="Arial"/>
                <w:sz w:val="18"/>
                <w:szCs w:val="18"/>
              </w:rPr>
            </w:pPr>
            <w:r>
              <w:rPr>
                <w:rFonts w:ascii="Arial" w:hAnsi="Arial" w:cs="Arial"/>
                <w:sz w:val="18"/>
                <w:szCs w:val="18"/>
              </w:rPr>
              <w:t>Nombre élèves/classe</w:t>
            </w:r>
          </w:p>
        </w:tc>
        <w:tc>
          <w:tcPr>
            <w:tcW w:w="1395" w:type="dxa"/>
            <w:vAlign w:val="center"/>
          </w:tcPr>
          <w:p>
            <w:pPr>
              <w:pStyle w:val="Sansinterligne1"/>
              <w:shd w:val="clear" w:color="auto" w:fill="FFFFFF"/>
              <w:spacing w:after="200" w:line="276" w:lineRule="auto"/>
              <w:rPr>
                <w:rFonts w:ascii="Arial" w:hAnsi="Arial" w:cs="Arial"/>
                <w:sz w:val="18"/>
                <w:szCs w:val="18"/>
              </w:rPr>
            </w:pPr>
          </w:p>
        </w:tc>
        <w:tc>
          <w:tcPr>
            <w:tcW w:w="1395" w:type="dxa"/>
            <w:vAlign w:val="center"/>
          </w:tcPr>
          <w:p>
            <w:pPr>
              <w:pStyle w:val="Sansinterligne1"/>
              <w:shd w:val="clear" w:color="auto" w:fill="FFFFFF"/>
              <w:spacing w:after="200" w:line="276" w:lineRule="auto"/>
              <w:rPr>
                <w:rFonts w:ascii="Arial" w:hAnsi="Arial" w:cs="Arial"/>
                <w:sz w:val="18"/>
                <w:szCs w:val="18"/>
              </w:rPr>
            </w:pPr>
          </w:p>
        </w:tc>
        <w:tc>
          <w:tcPr>
            <w:tcW w:w="1395" w:type="dxa"/>
            <w:vAlign w:val="center"/>
          </w:tcPr>
          <w:p>
            <w:pPr>
              <w:pStyle w:val="Sansinterligne1"/>
              <w:shd w:val="clear" w:color="auto" w:fill="FFFFFF"/>
              <w:spacing w:after="200" w:line="276" w:lineRule="auto"/>
              <w:rPr>
                <w:rFonts w:ascii="Arial" w:hAnsi="Arial" w:cs="Arial"/>
                <w:sz w:val="18"/>
                <w:szCs w:val="18"/>
              </w:rPr>
            </w:pPr>
          </w:p>
        </w:tc>
        <w:tc>
          <w:tcPr>
            <w:tcW w:w="1395" w:type="dxa"/>
            <w:vAlign w:val="center"/>
          </w:tcPr>
          <w:p>
            <w:pPr>
              <w:pStyle w:val="Sansinterligne1"/>
              <w:shd w:val="clear" w:color="auto" w:fill="FFFFFF"/>
              <w:spacing w:after="200" w:line="276" w:lineRule="auto"/>
              <w:rPr>
                <w:rFonts w:ascii="Arial" w:hAnsi="Arial" w:cs="Arial"/>
                <w:sz w:val="18"/>
                <w:szCs w:val="18"/>
              </w:rPr>
            </w:pPr>
          </w:p>
        </w:tc>
      </w:tr>
    </w:tbl>
    <w:p>
      <w:pPr>
        <w:pStyle w:val="Sansinterligne1"/>
        <w:shd w:val="clear" w:color="auto" w:fill="FFFFFF"/>
        <w:spacing w:before="120"/>
        <w:jc w:val="both"/>
        <w:rPr>
          <w:rFonts w:ascii="Arial" w:hAnsi="Arial" w:cs="Arial"/>
          <w:b/>
          <w:sz w:val="18"/>
          <w:szCs w:val="18"/>
        </w:rPr>
      </w:pPr>
      <w:r>
        <w:rPr>
          <w:rFonts w:ascii="Arial" w:hAnsi="Arial" w:cs="Arial"/>
          <w:b/>
          <w:sz w:val="18"/>
          <w:szCs w:val="18"/>
        </w:rPr>
        <w:t>Signature du Pouvoir organisateur (OS – LS) ou du Chef d’Etablissement (FWB)</w:t>
      </w:r>
      <w:r>
        <w:rPr>
          <w:rStyle w:val="Appelnotedebasdep"/>
          <w:b/>
          <w:sz w:val="18"/>
          <w:szCs w:val="18"/>
        </w:rPr>
        <w:footnoteReference w:id="101"/>
      </w:r>
      <w:r>
        <w:rPr>
          <w:rFonts w:ascii="Arial" w:hAnsi="Arial" w:cs="Arial"/>
          <w:b/>
          <w:sz w:val="18"/>
          <w:szCs w:val="18"/>
        </w:rPr>
        <w:t>:</w:t>
      </w:r>
    </w:p>
    <w:p>
      <w:pPr>
        <w:pStyle w:val="Sansinterligne1"/>
        <w:shd w:val="clear" w:color="auto" w:fill="FFFFFF"/>
        <w:jc w:val="both"/>
        <w:rPr>
          <w:rFonts w:ascii="Arial" w:hAnsi="Arial" w:cs="Arial"/>
          <w:b/>
          <w:sz w:val="18"/>
          <w:szCs w:val="18"/>
        </w:rPr>
      </w:pPr>
    </w:p>
    <w:tbl>
      <w:tblPr>
        <w:tblW w:w="0" w:type="auto"/>
        <w:tblBorders>
          <w:top w:val="single" w:sz="4" w:space="0" w:color="auto"/>
        </w:tblBorders>
        <w:tblLook w:val="01E0" w:firstRow="1" w:lastRow="1" w:firstColumn="1" w:lastColumn="1" w:noHBand="0" w:noVBand="0"/>
      </w:tblPr>
      <w:tblGrid>
        <w:gridCol w:w="4628"/>
        <w:gridCol w:w="4658"/>
      </w:tblGrid>
      <w:tr>
        <w:tc>
          <w:tcPr>
            <w:tcW w:w="4889" w:type="dxa"/>
          </w:tcPr>
          <w:p>
            <w:pPr>
              <w:pStyle w:val="Sansinterligne1"/>
              <w:shd w:val="clear" w:color="auto" w:fill="FFFFFF"/>
              <w:spacing w:before="120"/>
              <w:jc w:val="both"/>
              <w:rPr>
                <w:rFonts w:ascii="Arial" w:hAnsi="Arial" w:cs="Arial"/>
                <w:b/>
                <w:sz w:val="18"/>
                <w:szCs w:val="18"/>
              </w:rPr>
            </w:pPr>
            <w:r>
              <w:rPr>
                <w:rFonts w:ascii="Arial" w:hAnsi="Arial" w:cs="Arial"/>
                <w:b/>
                <w:sz w:val="18"/>
                <w:szCs w:val="18"/>
              </w:rPr>
              <w:t>Date:</w:t>
            </w:r>
          </w:p>
        </w:tc>
        <w:tc>
          <w:tcPr>
            <w:tcW w:w="4889" w:type="dxa"/>
          </w:tcPr>
          <w:p>
            <w:pPr>
              <w:pStyle w:val="Sansinterligne1"/>
              <w:shd w:val="clear" w:color="auto" w:fill="FFFFFF"/>
              <w:spacing w:before="120"/>
              <w:jc w:val="both"/>
              <w:rPr>
                <w:rFonts w:ascii="Arial" w:hAnsi="Arial" w:cs="Arial"/>
                <w:b/>
                <w:sz w:val="18"/>
                <w:szCs w:val="18"/>
              </w:rPr>
            </w:pPr>
            <w:r>
              <w:rPr>
                <w:rFonts w:ascii="Arial" w:hAnsi="Arial" w:cs="Arial"/>
                <w:b/>
                <w:sz w:val="18"/>
                <w:szCs w:val="18"/>
              </w:rPr>
              <w:t>Nom (en majuscule) et signature:</w:t>
            </w:r>
          </w:p>
        </w:tc>
      </w:tr>
    </w:tbl>
    <w:p>
      <w:pPr>
        <w:pStyle w:val="annexe"/>
      </w:pPr>
      <w:bookmarkStart w:id="2223" w:name="_Annexe_3.3._"/>
      <w:bookmarkStart w:id="2224" w:name="_Toc265141680"/>
      <w:bookmarkStart w:id="2225" w:name="_Toc295913887"/>
      <w:bookmarkEnd w:id="2223"/>
      <w:r>
        <w:rPr>
          <w:sz w:val="18"/>
          <w:szCs w:val="18"/>
        </w:rPr>
        <w:br w:type="page"/>
      </w:r>
      <w:bookmarkStart w:id="2226" w:name="Annexe_341"/>
      <w:bookmarkStart w:id="2227" w:name="Annexe_341_2"/>
      <w:bookmarkStart w:id="2228" w:name="_Toc265141681"/>
      <w:bookmarkStart w:id="2229" w:name="Annexe_342"/>
      <w:bookmarkStart w:id="2230" w:name="_Toc295913888"/>
      <w:bookmarkStart w:id="2231" w:name="_Toc423420205"/>
      <w:bookmarkStart w:id="2232" w:name="_Toc450645454"/>
      <w:bookmarkStart w:id="2233" w:name="_Toc453942693"/>
      <w:bookmarkStart w:id="2234" w:name="_Toc454888309"/>
      <w:bookmarkStart w:id="2235" w:name="_Toc486241927"/>
      <w:bookmarkEnd w:id="2224"/>
      <w:bookmarkEnd w:id="2225"/>
      <w:bookmarkEnd w:id="2226"/>
      <w:bookmarkEnd w:id="2227"/>
      <w:r>
        <w:t>Annexe 3.4</w:t>
      </w:r>
      <w:bookmarkEnd w:id="2228"/>
      <w:r>
        <w:t>.2</w:t>
      </w:r>
      <w:bookmarkEnd w:id="2229"/>
      <w:r>
        <w:t xml:space="preserve"> Formule d’encadrement 2ter</w:t>
      </w:r>
      <w:bookmarkEnd w:id="2230"/>
      <w:bookmarkEnd w:id="2231"/>
      <w:bookmarkEnd w:id="2232"/>
      <w:bookmarkEnd w:id="2233"/>
      <w:bookmarkEnd w:id="2234"/>
      <w:bookmarkEnd w:id="2235"/>
    </w:p>
    <w:p>
      <w:pPr>
        <w:rPr>
          <w:sz w:val="16"/>
          <w:szCs w:val="16"/>
        </w:rPr>
      </w:pPr>
    </w:p>
    <w:tbl>
      <w:tblPr>
        <w:tblW w:w="9356" w:type="dxa"/>
        <w:tblLayout w:type="fixed"/>
        <w:tblCellMar>
          <w:left w:w="70" w:type="dxa"/>
          <w:right w:w="70" w:type="dxa"/>
        </w:tblCellMar>
        <w:tblLook w:val="0000" w:firstRow="0" w:lastRow="0" w:firstColumn="0" w:lastColumn="0" w:noHBand="0" w:noVBand="0"/>
      </w:tblPr>
      <w:tblGrid>
        <w:gridCol w:w="1950"/>
        <w:gridCol w:w="1340"/>
        <w:gridCol w:w="619"/>
        <w:gridCol w:w="2924"/>
        <w:gridCol w:w="2523"/>
      </w:tblGrid>
      <w:tr>
        <w:tc>
          <w:tcPr>
            <w:tcW w:w="3909" w:type="dxa"/>
            <w:gridSpan w:val="3"/>
          </w:tcPr>
          <w:p>
            <w:pPr>
              <w:rPr>
                <w:b/>
              </w:rPr>
            </w:pPr>
            <w:r>
              <w:rPr>
                <w:b/>
              </w:rPr>
              <w:t>ANNÉE SCOLAIRE 2017-2018</w:t>
            </w:r>
          </w:p>
        </w:tc>
        <w:tc>
          <w:tcPr>
            <w:tcW w:w="5447" w:type="dxa"/>
            <w:gridSpan w:val="2"/>
          </w:tcPr>
          <w:p>
            <w:pPr>
              <w:jc w:val="center"/>
              <w:rPr>
                <w:b/>
              </w:rPr>
            </w:pPr>
            <w:r>
              <w:rPr>
                <w:b/>
              </w:rPr>
              <w:t>Encadrement spécifique réservé aux classes bilingues français – langue des signes</w:t>
            </w:r>
          </w:p>
        </w:tc>
      </w:tr>
      <w:tr>
        <w:trPr>
          <w:trHeight w:hRule="exact" w:val="147"/>
        </w:trPr>
        <w:tc>
          <w:tcPr>
            <w:tcW w:w="9356" w:type="dxa"/>
            <w:gridSpan w:val="5"/>
          </w:tcPr>
          <w:p>
            <w:pPr>
              <w:jc w:val="center"/>
              <w:rPr>
                <w:b/>
              </w:rPr>
            </w:pPr>
          </w:p>
        </w:tc>
      </w:tr>
      <w:tr>
        <w:trPr>
          <w:trHeight w:hRule="exact" w:val="340"/>
        </w:trPr>
        <w:tc>
          <w:tcPr>
            <w:tcW w:w="9356" w:type="dxa"/>
            <w:gridSpan w:val="5"/>
            <w:vAlign w:val="bottom"/>
          </w:tcPr>
          <w:p>
            <w:pPr>
              <w:spacing w:before="20"/>
              <w:jc w:val="center"/>
            </w:pPr>
            <w:r>
              <w:rPr>
                <w:b/>
              </w:rPr>
              <w:t xml:space="preserve">FORMULE ENCADREMENT 2 ter  –  </w:t>
            </w:r>
          </w:p>
        </w:tc>
      </w:tr>
      <w:tr>
        <w:trPr>
          <w:trHeight w:hRule="exact" w:val="159"/>
        </w:trPr>
        <w:tc>
          <w:tcPr>
            <w:tcW w:w="9356" w:type="dxa"/>
            <w:gridSpan w:val="5"/>
          </w:tcPr>
          <w:p/>
        </w:tc>
      </w:tr>
      <w:tr>
        <w:trPr>
          <w:trHeight w:hRule="exact" w:val="907"/>
        </w:trPr>
        <w:tc>
          <w:tcPr>
            <w:tcW w:w="9356" w:type="dxa"/>
            <w:gridSpan w:val="5"/>
            <w:tcBorders>
              <w:bottom w:val="single" w:sz="6" w:space="0" w:color="auto"/>
            </w:tcBorders>
          </w:tcPr>
          <w:p>
            <w:pPr>
              <w:rPr>
                <w:i/>
                <w:sz w:val="20"/>
              </w:rPr>
            </w:pPr>
            <w:r>
              <w:rPr>
                <w:b/>
                <w:i/>
                <w:sz w:val="20"/>
              </w:rPr>
              <w:t>RENVOYER:</w:t>
            </w:r>
            <w:r>
              <w:rPr>
                <w:b/>
                <w:i/>
                <w:sz w:val="20"/>
              </w:rPr>
              <w:tab/>
              <w:t xml:space="preserve"> </w:t>
            </w:r>
            <w:r>
              <w:rPr>
                <w:i/>
                <w:sz w:val="20"/>
              </w:rPr>
              <w:t xml:space="preserve">1 EXEMPLAIRE A </w:t>
            </w:r>
            <w:smartTag w:uri="urn:schemas-microsoft-com:office:smarttags" w:element="PersonName">
              <w:smartTagPr>
                <w:attr w:name="ProductID" w:val="la Direction G￩n￩rale"/>
              </w:smartTagPr>
              <w:r>
                <w:rPr>
                  <w:i/>
                  <w:sz w:val="20"/>
                </w:rPr>
                <w:t>LA DIRECTION GÉNÉRALE</w:t>
              </w:r>
            </w:smartTag>
            <w:r>
              <w:rPr>
                <w:i/>
                <w:sz w:val="20"/>
              </w:rPr>
              <w:t xml:space="preserve"> DE L'ENSEIGNEMENT OBLIGATOIRE</w:t>
            </w:r>
          </w:p>
          <w:p>
            <w:pPr>
              <w:jc w:val="center"/>
              <w:rPr>
                <w:i/>
                <w:sz w:val="20"/>
              </w:rPr>
            </w:pPr>
            <w:r>
              <w:rPr>
                <w:i/>
                <w:sz w:val="20"/>
              </w:rPr>
              <w:t xml:space="preserve">Rue Adolphe Lavallée, 1 - Bureau </w:t>
            </w:r>
            <w:smartTag w:uri="urn:schemas-microsoft-com:office:smarttags" w:element="metricconverter">
              <w:smartTagPr>
                <w:attr w:name="ProductID" w:val="2.F"/>
              </w:smartTagPr>
              <w:r>
                <w:rPr>
                  <w:i/>
                  <w:sz w:val="20"/>
                </w:rPr>
                <w:t>2.F</w:t>
              </w:r>
            </w:smartTag>
            <w:r>
              <w:rPr>
                <w:i/>
                <w:sz w:val="20"/>
              </w:rPr>
              <w:t>.211.  1080 BRUXELLES</w:t>
            </w:r>
          </w:p>
          <w:p>
            <w:pPr>
              <w:rPr>
                <w:i/>
                <w:sz w:val="20"/>
              </w:rPr>
            </w:pPr>
            <w:r>
              <w:rPr>
                <w:i/>
                <w:sz w:val="20"/>
              </w:rPr>
              <w:tab/>
            </w:r>
            <w:r>
              <w:rPr>
                <w:i/>
                <w:sz w:val="20"/>
              </w:rPr>
              <w:tab/>
              <w:t xml:space="preserve">1 EXEMPLAIRE DIRECTEMENT AU VÉRIFICATEUR </w:t>
            </w:r>
          </w:p>
          <w:p>
            <w:pPr>
              <w:rPr>
                <w:i/>
                <w:sz w:val="20"/>
              </w:rPr>
            </w:pPr>
          </w:p>
          <w:p>
            <w:pPr>
              <w:rPr>
                <w:i/>
                <w:sz w:val="20"/>
              </w:rPr>
            </w:pPr>
          </w:p>
          <w:p>
            <w:pPr>
              <w:rPr>
                <w:i/>
                <w:sz w:val="20"/>
              </w:rPr>
            </w:pPr>
            <w:r>
              <w:rPr>
                <w:i/>
                <w:sz w:val="20"/>
              </w:rPr>
              <w:t xml:space="preserve">D.G.E.O, Rue Adolphe Lavallée, 1 - Bureau </w:t>
            </w:r>
            <w:smartTag w:uri="urn:schemas-microsoft-com:office:smarttags" w:element="metricconverter">
              <w:smartTagPr>
                <w:attr w:name="ProductID" w:val="2.F"/>
              </w:smartTagPr>
              <w:r>
                <w:rPr>
                  <w:i/>
                  <w:sz w:val="20"/>
                </w:rPr>
                <w:t>2.F</w:t>
              </w:r>
            </w:smartTag>
            <w:r>
              <w:rPr>
                <w:i/>
                <w:sz w:val="20"/>
              </w:rPr>
              <w:t>.211.  1080 Bruxelles</w:t>
            </w:r>
          </w:p>
          <w:p>
            <w:pPr>
              <w:rPr>
                <w:b/>
                <w:i/>
                <w:sz w:val="20"/>
              </w:rPr>
            </w:pPr>
            <w:r>
              <w:rPr>
                <w:i/>
                <w:sz w:val="20"/>
              </w:rPr>
              <w:tab/>
            </w:r>
            <w:r>
              <w:rPr>
                <w:i/>
                <w:sz w:val="20"/>
              </w:rPr>
              <w:tab/>
              <w:t>1 exemplaire directement au vérificateur</w:t>
            </w:r>
          </w:p>
        </w:tc>
      </w:tr>
      <w:tr>
        <w:trPr>
          <w:trHeight w:hRule="exact" w:val="454"/>
        </w:trPr>
        <w:tc>
          <w:tcPr>
            <w:tcW w:w="6833" w:type="dxa"/>
            <w:gridSpan w:val="4"/>
            <w:tcBorders>
              <w:top w:val="single" w:sz="6" w:space="0" w:color="auto"/>
              <w:left w:val="single" w:sz="6" w:space="0" w:color="auto"/>
              <w:right w:val="single" w:sz="6" w:space="0" w:color="auto"/>
            </w:tcBorders>
            <w:vAlign w:val="center"/>
          </w:tcPr>
          <w:p>
            <w:pPr>
              <w:rPr>
                <w:i/>
                <w:sz w:val="16"/>
                <w:lang w:val="nl-BE"/>
              </w:rPr>
            </w:pPr>
            <w:r>
              <w:rPr>
                <w:b/>
                <w:sz w:val="20"/>
                <w:u w:val="single"/>
                <w:lang w:val="nl-BE"/>
              </w:rPr>
              <w:t>Ecole:</w:t>
            </w:r>
            <w:r>
              <w:rPr>
                <w:sz w:val="20"/>
                <w:lang w:val="nl-BE"/>
              </w:rPr>
              <w:t xml:space="preserve">    </w:t>
            </w:r>
          </w:p>
        </w:tc>
        <w:tc>
          <w:tcPr>
            <w:tcW w:w="2523" w:type="dxa"/>
            <w:tcBorders>
              <w:top w:val="single" w:sz="6" w:space="0" w:color="auto"/>
              <w:left w:val="single" w:sz="6" w:space="0" w:color="auto"/>
              <w:right w:val="single" w:sz="6" w:space="0" w:color="auto"/>
            </w:tcBorders>
            <w:vAlign w:val="center"/>
          </w:tcPr>
          <w:p>
            <w:pPr>
              <w:rPr>
                <w:b/>
                <w:lang w:val="nl-BE"/>
              </w:rPr>
            </w:pPr>
            <w:r>
              <w:rPr>
                <w:b/>
                <w:lang w:val="nl-BE"/>
              </w:rPr>
              <w:t xml:space="preserve">N° FASE: </w:t>
            </w:r>
            <w:r>
              <w:rPr>
                <w:b/>
                <w:lang w:val="nl-BE"/>
              </w:rPr>
              <w:tab/>
            </w:r>
            <w:r>
              <w:rPr>
                <w:b/>
                <w:lang w:val="nl-BE"/>
              </w:rPr>
              <w:tab/>
            </w:r>
          </w:p>
        </w:tc>
      </w:tr>
      <w:tr>
        <w:trPr>
          <w:cantSplit/>
          <w:trHeight w:val="360"/>
        </w:trPr>
        <w:tc>
          <w:tcPr>
            <w:tcW w:w="1950" w:type="dxa"/>
            <w:vMerge w:val="restart"/>
            <w:tcBorders>
              <w:top w:val="single" w:sz="6" w:space="0" w:color="auto"/>
              <w:left w:val="single" w:sz="6" w:space="0" w:color="auto"/>
            </w:tcBorders>
            <w:vAlign w:val="center"/>
          </w:tcPr>
          <w:p>
            <w:pPr>
              <w:jc w:val="center"/>
              <w:rPr>
                <w:b/>
                <w:sz w:val="20"/>
                <w:u w:val="single"/>
              </w:rPr>
            </w:pPr>
            <w:r>
              <w:rPr>
                <w:b/>
                <w:sz w:val="20"/>
                <w:u w:val="single"/>
              </w:rPr>
              <w:t>Siège administratif de l'école:</w:t>
            </w:r>
          </w:p>
        </w:tc>
        <w:tc>
          <w:tcPr>
            <w:tcW w:w="7406" w:type="dxa"/>
            <w:gridSpan w:val="4"/>
            <w:tcBorders>
              <w:top w:val="single" w:sz="6" w:space="0" w:color="auto"/>
              <w:left w:val="single" w:sz="6" w:space="0" w:color="auto"/>
              <w:bottom w:val="single" w:sz="4" w:space="0" w:color="auto"/>
              <w:right w:val="single" w:sz="6" w:space="0" w:color="auto"/>
            </w:tcBorders>
            <w:vAlign w:val="center"/>
          </w:tcPr>
          <w:p>
            <w:pPr>
              <w:rPr>
                <w:sz w:val="20"/>
              </w:rPr>
            </w:pPr>
            <w:r>
              <w:rPr>
                <w:sz w:val="20"/>
              </w:rPr>
              <w:t xml:space="preserve">Rue + n°:  </w:t>
            </w:r>
          </w:p>
        </w:tc>
      </w:tr>
      <w:tr>
        <w:trPr>
          <w:cantSplit/>
          <w:trHeight w:hRule="exact" w:val="369"/>
        </w:trPr>
        <w:tc>
          <w:tcPr>
            <w:tcW w:w="1950" w:type="dxa"/>
            <w:vMerge/>
            <w:tcBorders>
              <w:left w:val="single" w:sz="6" w:space="0" w:color="auto"/>
              <w:bottom w:val="single" w:sz="6" w:space="0" w:color="auto"/>
            </w:tcBorders>
          </w:tcPr>
          <w:p>
            <w:pPr>
              <w:rPr>
                <w:sz w:val="20"/>
              </w:rPr>
            </w:pPr>
          </w:p>
        </w:tc>
        <w:tc>
          <w:tcPr>
            <w:tcW w:w="1340" w:type="dxa"/>
            <w:tcBorders>
              <w:top w:val="single" w:sz="4" w:space="0" w:color="auto"/>
              <w:left w:val="single" w:sz="4" w:space="0" w:color="auto"/>
              <w:bottom w:val="single" w:sz="6" w:space="0" w:color="auto"/>
              <w:right w:val="single" w:sz="4" w:space="0" w:color="auto"/>
            </w:tcBorders>
            <w:vAlign w:val="center"/>
          </w:tcPr>
          <w:p>
            <w:pPr>
              <w:rPr>
                <w:sz w:val="20"/>
              </w:rPr>
            </w:pPr>
            <w:r>
              <w:rPr>
                <w:sz w:val="20"/>
              </w:rPr>
              <w:t>CP:</w:t>
            </w:r>
          </w:p>
        </w:tc>
        <w:tc>
          <w:tcPr>
            <w:tcW w:w="6066" w:type="dxa"/>
            <w:gridSpan w:val="3"/>
            <w:tcBorders>
              <w:top w:val="single" w:sz="4" w:space="0" w:color="auto"/>
              <w:left w:val="single" w:sz="4" w:space="0" w:color="auto"/>
              <w:bottom w:val="single" w:sz="6" w:space="0" w:color="auto"/>
              <w:right w:val="single" w:sz="6" w:space="0" w:color="auto"/>
            </w:tcBorders>
            <w:vAlign w:val="center"/>
          </w:tcPr>
          <w:p>
            <w:pPr>
              <w:rPr>
                <w:sz w:val="20"/>
              </w:rPr>
            </w:pPr>
            <w:r>
              <w:rPr>
                <w:sz w:val="20"/>
              </w:rPr>
              <w:t>Localité:</w:t>
            </w:r>
          </w:p>
        </w:tc>
      </w:tr>
      <w:tr>
        <w:trPr>
          <w:trHeight w:val="200"/>
        </w:trPr>
        <w:tc>
          <w:tcPr>
            <w:tcW w:w="9356" w:type="dxa"/>
            <w:gridSpan w:val="5"/>
            <w:tcBorders>
              <w:top w:val="single" w:sz="6" w:space="0" w:color="auto"/>
            </w:tcBorders>
          </w:tcPr>
          <w:p>
            <w:pPr>
              <w:rPr>
                <w:sz w:val="20"/>
              </w:rPr>
            </w:pPr>
          </w:p>
        </w:tc>
      </w:tr>
      <w:tr>
        <w:trPr>
          <w:trHeight w:val="200"/>
        </w:trPr>
        <w:tc>
          <w:tcPr>
            <w:tcW w:w="9356" w:type="dxa"/>
            <w:gridSpan w:val="5"/>
            <w:tcBorders>
              <w:bottom w:val="single" w:sz="6" w:space="0" w:color="auto"/>
            </w:tcBorders>
          </w:tcPr>
          <w:p>
            <w:pPr>
              <w:rPr>
                <w:b/>
                <w:sz w:val="20"/>
                <w:u w:val="single"/>
              </w:rPr>
            </w:pPr>
            <w:r>
              <w:rPr>
                <w:b/>
                <w:sz w:val="20"/>
                <w:u w:val="single"/>
              </w:rPr>
              <w:t>Implantation(s) concernée(s)</w:t>
            </w:r>
          </w:p>
        </w:tc>
      </w:tr>
      <w:tr>
        <w:trPr>
          <w:trHeight w:val="438"/>
        </w:trPr>
        <w:tc>
          <w:tcPr>
            <w:tcW w:w="1950" w:type="dxa"/>
            <w:tcBorders>
              <w:top w:val="single" w:sz="6" w:space="0" w:color="auto"/>
              <w:left w:val="single" w:sz="6" w:space="0" w:color="auto"/>
            </w:tcBorders>
          </w:tcPr>
          <w:p>
            <w:pPr>
              <w:rPr>
                <w:b/>
                <w:sz w:val="20"/>
                <w:u w:val="single"/>
              </w:rPr>
            </w:pPr>
            <w:r>
              <w:rPr>
                <w:b/>
                <w:sz w:val="20"/>
              </w:rPr>
              <w:t>N° FASE</w:t>
            </w:r>
            <w:r>
              <w:rPr>
                <w:sz w:val="20"/>
              </w:rPr>
              <w:t>:</w:t>
            </w:r>
            <w:r>
              <w:rPr>
                <w:b/>
                <w:sz w:val="20"/>
                <w:u w:val="single"/>
              </w:rPr>
              <w:t xml:space="preserve"> </w:t>
            </w:r>
          </w:p>
        </w:tc>
        <w:tc>
          <w:tcPr>
            <w:tcW w:w="7406" w:type="dxa"/>
            <w:gridSpan w:val="4"/>
            <w:tcBorders>
              <w:top w:val="single" w:sz="6" w:space="0" w:color="auto"/>
              <w:left w:val="single" w:sz="6" w:space="0" w:color="auto"/>
              <w:bottom w:val="single" w:sz="4" w:space="0" w:color="auto"/>
              <w:right w:val="single" w:sz="6" w:space="0" w:color="auto"/>
            </w:tcBorders>
          </w:tcPr>
          <w:p>
            <w:pPr>
              <w:rPr>
                <w:sz w:val="20"/>
              </w:rPr>
            </w:pPr>
            <w:r>
              <w:rPr>
                <w:sz w:val="20"/>
              </w:rPr>
              <w:t xml:space="preserve">Adresse:   </w:t>
            </w:r>
          </w:p>
        </w:tc>
      </w:tr>
      <w:tr>
        <w:trPr>
          <w:trHeight w:val="200"/>
        </w:trPr>
        <w:tc>
          <w:tcPr>
            <w:tcW w:w="9356" w:type="dxa"/>
            <w:gridSpan w:val="5"/>
            <w:tcBorders>
              <w:top w:val="single" w:sz="6" w:space="0" w:color="auto"/>
            </w:tcBorders>
          </w:tcPr>
          <w:p>
            <w:pPr>
              <w:rPr>
                <w:sz w:val="20"/>
              </w:rPr>
            </w:pPr>
          </w:p>
        </w:tc>
      </w:tr>
    </w:tbl>
    <w:p>
      <w:pPr>
        <w:pBdr>
          <w:top w:val="single" w:sz="4" w:space="1" w:color="auto"/>
          <w:left w:val="single" w:sz="4" w:space="4" w:color="auto"/>
          <w:bottom w:val="single" w:sz="4" w:space="1" w:color="auto"/>
          <w:right w:val="single" w:sz="4" w:space="4" w:color="auto"/>
        </w:pBdr>
        <w:ind w:left="357" w:hanging="357"/>
      </w:pPr>
      <w:r>
        <w:rPr>
          <w:b/>
        </w:rPr>
        <w:t>1. Encadrement applicable du 1</w:t>
      </w:r>
      <w:r>
        <w:rPr>
          <w:b/>
          <w:vertAlign w:val="superscript"/>
        </w:rPr>
        <w:t>er</w:t>
      </w:r>
      <w:r>
        <w:rPr>
          <w:b/>
        </w:rPr>
        <w:t xml:space="preserve"> octobre 2017 </w:t>
      </w:r>
      <w:r>
        <w:rPr>
          <w:i/>
          <w:sz w:val="20"/>
          <w:szCs w:val="20"/>
        </w:rPr>
        <w:t>(1</w:t>
      </w:r>
      <w:r>
        <w:rPr>
          <w:i/>
          <w:sz w:val="20"/>
          <w:szCs w:val="20"/>
          <w:vertAlign w:val="superscript"/>
        </w:rPr>
        <w:t>er</w:t>
      </w:r>
      <w:r>
        <w:rPr>
          <w:i/>
          <w:sz w:val="20"/>
          <w:szCs w:val="20"/>
        </w:rPr>
        <w:t xml:space="preserve"> septembre si année de création du projet)</w:t>
      </w:r>
      <w:r>
        <w:rPr>
          <w:b/>
          <w:sz w:val="20"/>
          <w:szCs w:val="20"/>
        </w:rPr>
        <w:t xml:space="preserve"> </w:t>
      </w:r>
      <w:r>
        <w:rPr>
          <w:b/>
        </w:rPr>
        <w:t>au 30 septembre 2018 :</w:t>
      </w:r>
    </w:p>
    <w:p/>
    <w:p>
      <w:pPr>
        <w:numPr>
          <w:ilvl w:val="0"/>
          <w:numId w:val="104"/>
        </w:numPr>
        <w:spacing w:after="60"/>
        <w:ind w:left="714" w:hanging="357"/>
        <w:rPr>
          <w:b/>
        </w:rPr>
      </w:pPr>
      <w:r>
        <w:rPr>
          <w:b/>
        </w:rPr>
        <w:t>comptage du 30-09-2017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2"/>
        <w:gridCol w:w="2465"/>
        <w:gridCol w:w="2552"/>
        <w:gridCol w:w="2096"/>
      </w:tblGrid>
      <w:tr>
        <w:tc>
          <w:tcPr>
            <w:tcW w:w="2372" w:type="dxa"/>
          </w:tcPr>
          <w:p>
            <w:r>
              <w:t>Année d’études</w:t>
            </w:r>
          </w:p>
        </w:tc>
        <w:tc>
          <w:tcPr>
            <w:tcW w:w="2465" w:type="dxa"/>
          </w:tcPr>
          <w:p>
            <w:r>
              <w:t>Classes concernées</w:t>
            </w:r>
          </w:p>
        </w:tc>
        <w:tc>
          <w:tcPr>
            <w:tcW w:w="2552" w:type="dxa"/>
          </w:tcPr>
          <w:p>
            <w:r>
              <w:t>Nombre d’élèves sourds régulièrement inscrits</w:t>
            </w:r>
          </w:p>
        </w:tc>
        <w:tc>
          <w:tcPr>
            <w:tcW w:w="2096" w:type="dxa"/>
          </w:tcPr>
          <w:p/>
        </w:tc>
      </w:tr>
      <w:tr>
        <w:tc>
          <w:tcPr>
            <w:tcW w:w="2372" w:type="dxa"/>
          </w:tcPr>
          <w:p>
            <w:r>
              <w:t>M1</w:t>
            </w:r>
          </w:p>
        </w:tc>
        <w:tc>
          <w:tcPr>
            <w:tcW w:w="2465" w:type="dxa"/>
          </w:tcPr>
          <w:p/>
        </w:tc>
        <w:tc>
          <w:tcPr>
            <w:tcW w:w="2552" w:type="dxa"/>
          </w:tcPr>
          <w:p/>
        </w:tc>
        <w:tc>
          <w:tcPr>
            <w:tcW w:w="2096" w:type="dxa"/>
          </w:tcPr>
          <w:p/>
        </w:tc>
      </w:tr>
      <w:tr>
        <w:tc>
          <w:tcPr>
            <w:tcW w:w="2372" w:type="dxa"/>
          </w:tcPr>
          <w:p>
            <w:r>
              <w:t>M2</w:t>
            </w:r>
          </w:p>
        </w:tc>
        <w:tc>
          <w:tcPr>
            <w:tcW w:w="2465" w:type="dxa"/>
          </w:tcPr>
          <w:p/>
        </w:tc>
        <w:tc>
          <w:tcPr>
            <w:tcW w:w="2552" w:type="dxa"/>
          </w:tcPr>
          <w:p/>
        </w:tc>
        <w:tc>
          <w:tcPr>
            <w:tcW w:w="2096" w:type="dxa"/>
          </w:tcPr>
          <w:p/>
        </w:tc>
      </w:tr>
      <w:tr>
        <w:tc>
          <w:tcPr>
            <w:tcW w:w="2372" w:type="dxa"/>
          </w:tcPr>
          <w:p>
            <w:r>
              <w:t>M3</w:t>
            </w:r>
          </w:p>
        </w:tc>
        <w:tc>
          <w:tcPr>
            <w:tcW w:w="2465" w:type="dxa"/>
          </w:tcPr>
          <w:p/>
        </w:tc>
        <w:tc>
          <w:tcPr>
            <w:tcW w:w="2552" w:type="dxa"/>
          </w:tcPr>
          <w:p/>
        </w:tc>
        <w:tc>
          <w:tcPr>
            <w:tcW w:w="2096" w:type="dxa"/>
          </w:tcPr>
          <w:p/>
        </w:tc>
      </w:tr>
      <w:tr>
        <w:tc>
          <w:tcPr>
            <w:tcW w:w="2372" w:type="dxa"/>
          </w:tcPr>
          <w:p>
            <w:pPr>
              <w:rPr>
                <w:lang w:val="en-US"/>
              </w:rPr>
            </w:pPr>
            <w:r>
              <w:rPr>
                <w:lang w:val="en-US"/>
              </w:rPr>
              <w:t>P1</w:t>
            </w:r>
          </w:p>
        </w:tc>
        <w:tc>
          <w:tcPr>
            <w:tcW w:w="2465" w:type="dxa"/>
          </w:tcPr>
          <w:p>
            <w:pPr>
              <w:rPr>
                <w:lang w:val="en-US"/>
              </w:rPr>
            </w:pPr>
          </w:p>
        </w:tc>
        <w:tc>
          <w:tcPr>
            <w:tcW w:w="2552" w:type="dxa"/>
          </w:tcPr>
          <w:p>
            <w:pPr>
              <w:rPr>
                <w:lang w:val="en-US"/>
              </w:rPr>
            </w:pPr>
          </w:p>
        </w:tc>
        <w:tc>
          <w:tcPr>
            <w:tcW w:w="2096" w:type="dxa"/>
          </w:tcPr>
          <w:p>
            <w:pPr>
              <w:rPr>
                <w:lang w:val="en-US"/>
              </w:rPr>
            </w:pPr>
          </w:p>
        </w:tc>
      </w:tr>
      <w:tr>
        <w:tc>
          <w:tcPr>
            <w:tcW w:w="2372" w:type="dxa"/>
          </w:tcPr>
          <w:p>
            <w:pPr>
              <w:rPr>
                <w:lang w:val="en-US"/>
              </w:rPr>
            </w:pPr>
            <w:r>
              <w:rPr>
                <w:lang w:val="en-US"/>
              </w:rPr>
              <w:t>P2</w:t>
            </w:r>
          </w:p>
        </w:tc>
        <w:tc>
          <w:tcPr>
            <w:tcW w:w="2465" w:type="dxa"/>
          </w:tcPr>
          <w:p>
            <w:pPr>
              <w:rPr>
                <w:lang w:val="en-US"/>
              </w:rPr>
            </w:pPr>
          </w:p>
        </w:tc>
        <w:tc>
          <w:tcPr>
            <w:tcW w:w="2552" w:type="dxa"/>
          </w:tcPr>
          <w:p>
            <w:pPr>
              <w:rPr>
                <w:lang w:val="en-US"/>
              </w:rPr>
            </w:pPr>
          </w:p>
        </w:tc>
        <w:tc>
          <w:tcPr>
            <w:tcW w:w="2096" w:type="dxa"/>
          </w:tcPr>
          <w:p>
            <w:pPr>
              <w:rPr>
                <w:lang w:val="en-US"/>
              </w:rPr>
            </w:pPr>
          </w:p>
        </w:tc>
      </w:tr>
      <w:tr>
        <w:tc>
          <w:tcPr>
            <w:tcW w:w="2372" w:type="dxa"/>
          </w:tcPr>
          <w:p>
            <w:pPr>
              <w:rPr>
                <w:lang w:val="en-US"/>
              </w:rPr>
            </w:pPr>
            <w:r>
              <w:rPr>
                <w:lang w:val="en-US"/>
              </w:rPr>
              <w:t>P3</w:t>
            </w:r>
          </w:p>
        </w:tc>
        <w:tc>
          <w:tcPr>
            <w:tcW w:w="2465" w:type="dxa"/>
          </w:tcPr>
          <w:p>
            <w:pPr>
              <w:rPr>
                <w:lang w:val="en-US"/>
              </w:rPr>
            </w:pPr>
          </w:p>
        </w:tc>
        <w:tc>
          <w:tcPr>
            <w:tcW w:w="2552" w:type="dxa"/>
          </w:tcPr>
          <w:p>
            <w:pPr>
              <w:rPr>
                <w:lang w:val="en-US"/>
              </w:rPr>
            </w:pPr>
          </w:p>
        </w:tc>
        <w:tc>
          <w:tcPr>
            <w:tcW w:w="2096" w:type="dxa"/>
          </w:tcPr>
          <w:p>
            <w:pPr>
              <w:rPr>
                <w:lang w:val="en-US"/>
              </w:rPr>
            </w:pPr>
          </w:p>
        </w:tc>
      </w:tr>
      <w:tr>
        <w:tc>
          <w:tcPr>
            <w:tcW w:w="2372" w:type="dxa"/>
          </w:tcPr>
          <w:p>
            <w:pPr>
              <w:rPr>
                <w:lang w:val="en-US"/>
              </w:rPr>
            </w:pPr>
            <w:r>
              <w:rPr>
                <w:lang w:val="en-US"/>
              </w:rPr>
              <w:t>P4</w:t>
            </w:r>
          </w:p>
        </w:tc>
        <w:tc>
          <w:tcPr>
            <w:tcW w:w="2465" w:type="dxa"/>
          </w:tcPr>
          <w:p>
            <w:pPr>
              <w:rPr>
                <w:lang w:val="en-US"/>
              </w:rPr>
            </w:pPr>
          </w:p>
        </w:tc>
        <w:tc>
          <w:tcPr>
            <w:tcW w:w="2552" w:type="dxa"/>
          </w:tcPr>
          <w:p>
            <w:pPr>
              <w:rPr>
                <w:lang w:val="en-US"/>
              </w:rPr>
            </w:pPr>
          </w:p>
        </w:tc>
        <w:tc>
          <w:tcPr>
            <w:tcW w:w="2096" w:type="dxa"/>
          </w:tcPr>
          <w:p>
            <w:pPr>
              <w:rPr>
                <w:lang w:val="en-US"/>
              </w:rPr>
            </w:pPr>
          </w:p>
        </w:tc>
      </w:tr>
      <w:tr>
        <w:tc>
          <w:tcPr>
            <w:tcW w:w="2372" w:type="dxa"/>
          </w:tcPr>
          <w:p>
            <w:pPr>
              <w:rPr>
                <w:lang w:val="en-US"/>
              </w:rPr>
            </w:pPr>
            <w:r>
              <w:rPr>
                <w:lang w:val="en-US"/>
              </w:rPr>
              <w:t>P5</w:t>
            </w:r>
          </w:p>
        </w:tc>
        <w:tc>
          <w:tcPr>
            <w:tcW w:w="2465" w:type="dxa"/>
          </w:tcPr>
          <w:p>
            <w:pPr>
              <w:rPr>
                <w:lang w:val="en-US"/>
              </w:rPr>
            </w:pPr>
          </w:p>
        </w:tc>
        <w:tc>
          <w:tcPr>
            <w:tcW w:w="2552" w:type="dxa"/>
          </w:tcPr>
          <w:p>
            <w:pPr>
              <w:rPr>
                <w:lang w:val="en-US"/>
              </w:rPr>
            </w:pPr>
          </w:p>
        </w:tc>
        <w:tc>
          <w:tcPr>
            <w:tcW w:w="2096" w:type="dxa"/>
          </w:tcPr>
          <w:p>
            <w:pPr>
              <w:rPr>
                <w:lang w:val="en-US"/>
              </w:rPr>
            </w:pPr>
          </w:p>
        </w:tc>
      </w:tr>
      <w:tr>
        <w:tc>
          <w:tcPr>
            <w:tcW w:w="2372" w:type="dxa"/>
          </w:tcPr>
          <w:p>
            <w:pPr>
              <w:rPr>
                <w:lang w:val="en-US"/>
              </w:rPr>
            </w:pPr>
            <w:r>
              <w:rPr>
                <w:lang w:val="en-US"/>
              </w:rPr>
              <w:t>P6</w:t>
            </w:r>
          </w:p>
        </w:tc>
        <w:tc>
          <w:tcPr>
            <w:tcW w:w="2465" w:type="dxa"/>
          </w:tcPr>
          <w:p>
            <w:pPr>
              <w:rPr>
                <w:lang w:val="en-US"/>
              </w:rPr>
            </w:pPr>
          </w:p>
        </w:tc>
        <w:tc>
          <w:tcPr>
            <w:tcW w:w="2552" w:type="dxa"/>
          </w:tcPr>
          <w:p>
            <w:pPr>
              <w:rPr>
                <w:lang w:val="en-US"/>
              </w:rPr>
            </w:pPr>
          </w:p>
        </w:tc>
        <w:tc>
          <w:tcPr>
            <w:tcW w:w="2096" w:type="dxa"/>
          </w:tcPr>
          <w:p>
            <w:pPr>
              <w:rPr>
                <w:lang w:val="en-US"/>
              </w:rPr>
            </w:pPr>
          </w:p>
        </w:tc>
      </w:tr>
      <w:tr>
        <w:tc>
          <w:tcPr>
            <w:tcW w:w="2372" w:type="dxa"/>
          </w:tcPr>
          <w:p>
            <w:pPr>
              <w:rPr>
                <w:lang w:val="en-US"/>
              </w:rPr>
            </w:pPr>
            <w:r>
              <w:rPr>
                <w:lang w:val="en-US"/>
              </w:rPr>
              <w:t>Total</w:t>
            </w:r>
          </w:p>
        </w:tc>
        <w:tc>
          <w:tcPr>
            <w:tcW w:w="2465" w:type="dxa"/>
          </w:tcPr>
          <w:p>
            <w:pPr>
              <w:rPr>
                <w:lang w:val="en-US"/>
              </w:rPr>
            </w:pPr>
          </w:p>
        </w:tc>
        <w:tc>
          <w:tcPr>
            <w:tcW w:w="2552" w:type="dxa"/>
          </w:tcPr>
          <w:p>
            <w:pPr>
              <w:rPr>
                <w:lang w:val="en-US"/>
              </w:rPr>
            </w:pPr>
          </w:p>
        </w:tc>
        <w:tc>
          <w:tcPr>
            <w:tcW w:w="2096" w:type="dxa"/>
          </w:tcPr>
          <w:p>
            <w:pPr>
              <w:rPr>
                <w:lang w:val="en-US"/>
              </w:rPr>
            </w:pPr>
          </w:p>
        </w:tc>
      </w:tr>
      <w:tr>
        <w:tc>
          <w:tcPr>
            <w:tcW w:w="2372" w:type="dxa"/>
          </w:tcPr>
          <w:p>
            <w:r>
              <w:t>Nombre de périodes</w:t>
            </w:r>
          </w:p>
        </w:tc>
        <w:tc>
          <w:tcPr>
            <w:tcW w:w="2465" w:type="dxa"/>
          </w:tcPr>
          <w:p>
            <w:pPr>
              <w:rPr>
                <w:lang w:val="en-US"/>
              </w:rPr>
            </w:pPr>
            <w:r>
              <w:rPr>
                <w:lang w:val="en-US"/>
              </w:rPr>
              <w:t xml:space="preserve">= total x 2: </w:t>
            </w:r>
          </w:p>
        </w:tc>
        <w:tc>
          <w:tcPr>
            <w:tcW w:w="2552" w:type="dxa"/>
          </w:tcPr>
          <w:p>
            <w:pPr>
              <w:rPr>
                <w:lang w:val="en-US"/>
              </w:rPr>
            </w:pPr>
            <w:r>
              <w:rPr>
                <w:lang w:val="en-US"/>
              </w:rPr>
              <w:t>= total x 6:</w:t>
            </w:r>
          </w:p>
          <w:p>
            <w:pPr>
              <w:rPr>
                <w:lang w:val="en-US"/>
              </w:rPr>
            </w:pPr>
          </w:p>
        </w:tc>
        <w:tc>
          <w:tcPr>
            <w:tcW w:w="2096" w:type="dxa"/>
          </w:tcPr>
          <w:p>
            <w:pPr>
              <w:rPr>
                <w:lang w:val="en-US"/>
              </w:rPr>
            </w:pPr>
            <w:r>
              <w:rPr>
                <w:lang w:val="en-US"/>
              </w:rPr>
              <w:t>TOTAL GENERAL:</w:t>
            </w:r>
          </w:p>
        </w:tc>
      </w:tr>
    </w:tbl>
    <w:p>
      <w:pPr>
        <w:rPr>
          <w:sz w:val="16"/>
          <w:szCs w:val="16"/>
          <w:lang w:val="en-US"/>
        </w:rPr>
      </w:pPr>
    </w:p>
    <w:p>
      <w:pPr>
        <w:numPr>
          <w:ilvl w:val="0"/>
          <w:numId w:val="104"/>
        </w:numPr>
        <w:spacing w:after="60"/>
        <w:ind w:left="714" w:hanging="357"/>
        <w:rPr>
          <w:b/>
        </w:rPr>
      </w:pPr>
      <w:r>
        <w:rPr>
          <w:b/>
        </w:rPr>
        <w:t>Utilisation des périodes du 1</w:t>
      </w:r>
      <w:r>
        <w:rPr>
          <w:b/>
          <w:vertAlign w:val="superscript"/>
        </w:rPr>
        <w:t>er</w:t>
      </w:r>
      <w:r>
        <w:rPr>
          <w:b/>
        </w:rPr>
        <w:t xml:space="preserve"> octobre 2017 </w:t>
      </w:r>
      <w:r>
        <w:rPr>
          <w:i/>
          <w:sz w:val="20"/>
          <w:szCs w:val="20"/>
        </w:rPr>
        <w:t>(1</w:t>
      </w:r>
      <w:r>
        <w:rPr>
          <w:i/>
          <w:sz w:val="20"/>
          <w:szCs w:val="20"/>
          <w:vertAlign w:val="superscript"/>
        </w:rPr>
        <w:t>er</w:t>
      </w:r>
      <w:r>
        <w:rPr>
          <w:i/>
          <w:sz w:val="20"/>
          <w:szCs w:val="20"/>
        </w:rPr>
        <w:t xml:space="preserve"> septembre si année de création du projet)</w:t>
      </w:r>
      <w:r>
        <w:rPr>
          <w:b/>
        </w:rPr>
        <w:t xml:space="preserve"> au 30 septembre 2018</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46"/>
        <w:gridCol w:w="2222"/>
      </w:tblGrid>
      <w:tr>
        <w:trPr>
          <w:trHeight w:val="317"/>
        </w:trPr>
        <w:tc>
          <w:tcPr>
            <w:tcW w:w="7246" w:type="dxa"/>
          </w:tcPr>
          <w:p>
            <w:r>
              <w:t xml:space="preserve">Nombre de périodes en maternelle (1 emploi tps plein = 26 périodes): </w:t>
            </w:r>
          </w:p>
        </w:tc>
        <w:tc>
          <w:tcPr>
            <w:tcW w:w="2222" w:type="dxa"/>
          </w:tcPr>
          <w:p/>
        </w:tc>
      </w:tr>
      <w:tr>
        <w:tc>
          <w:tcPr>
            <w:tcW w:w="7246" w:type="dxa"/>
          </w:tcPr>
          <w:p>
            <w:r>
              <w:t xml:space="preserve">Nombre de périodes en primaire (1 emploi tps plein = 24 périodes): </w:t>
            </w:r>
          </w:p>
        </w:tc>
        <w:tc>
          <w:tcPr>
            <w:tcW w:w="2222" w:type="dxa"/>
          </w:tcPr>
          <w:p/>
        </w:tc>
      </w:tr>
      <w:tr>
        <w:tc>
          <w:tcPr>
            <w:tcW w:w="7246" w:type="dxa"/>
          </w:tcPr>
          <w:p>
            <w:r>
              <w:t>Nombre de périodes de langue moderne (élèves P5/P6) au 30-09-2017</w:t>
            </w:r>
          </w:p>
        </w:tc>
        <w:tc>
          <w:tcPr>
            <w:tcW w:w="2222" w:type="dxa"/>
          </w:tcPr>
          <w:p/>
        </w:tc>
      </w:tr>
    </w:tbl>
    <w:p/>
    <w:p>
      <w:pPr>
        <w:pBdr>
          <w:top w:val="single" w:sz="4" w:space="1" w:color="auto"/>
          <w:left w:val="single" w:sz="4" w:space="4" w:color="auto"/>
          <w:bottom w:val="single" w:sz="4" w:space="1" w:color="auto"/>
          <w:right w:val="single" w:sz="4" w:space="13" w:color="auto"/>
        </w:pBdr>
        <w:rPr>
          <w:b/>
        </w:rPr>
      </w:pPr>
      <w:r>
        <w:rPr>
          <w:b/>
        </w:rPr>
        <w:t>2. Augmentation de l’encadrement maternel 2017-2018</w:t>
      </w:r>
    </w:p>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5"/>
        <w:gridCol w:w="1735"/>
        <w:gridCol w:w="2869"/>
        <w:gridCol w:w="3129"/>
      </w:tblGrid>
      <w:tr>
        <w:tc>
          <w:tcPr>
            <w:tcW w:w="1735" w:type="dxa"/>
          </w:tcPr>
          <w:p>
            <w:r>
              <w:t>DATE</w:t>
            </w:r>
          </w:p>
        </w:tc>
        <w:tc>
          <w:tcPr>
            <w:tcW w:w="1735" w:type="dxa"/>
          </w:tcPr>
          <w:p>
            <w:r>
              <w:t>N° Fase implantation</w:t>
            </w:r>
          </w:p>
        </w:tc>
        <w:tc>
          <w:tcPr>
            <w:tcW w:w="2869" w:type="dxa"/>
          </w:tcPr>
          <w:p>
            <w:r>
              <w:t>Nombre d’élèves sourds régulièrement inscrits</w:t>
            </w:r>
          </w:p>
        </w:tc>
        <w:tc>
          <w:tcPr>
            <w:tcW w:w="3129" w:type="dxa"/>
          </w:tcPr>
          <w:p>
            <w:pPr>
              <w:rPr>
                <w:sz w:val="20"/>
                <w:szCs w:val="20"/>
              </w:rPr>
            </w:pPr>
            <w:r>
              <w:rPr>
                <w:sz w:val="20"/>
                <w:szCs w:val="20"/>
              </w:rPr>
              <w:t>Nombre de périodes supplémentaires affectées en maternelle jusqu’au 30 juin</w:t>
            </w:r>
          </w:p>
        </w:tc>
      </w:tr>
      <w:tr>
        <w:tc>
          <w:tcPr>
            <w:tcW w:w="1735" w:type="dxa"/>
          </w:tcPr>
          <w:p>
            <w:r>
              <w:t>20-11-2017</w:t>
            </w:r>
          </w:p>
        </w:tc>
        <w:tc>
          <w:tcPr>
            <w:tcW w:w="1735" w:type="dxa"/>
          </w:tcPr>
          <w:p/>
        </w:tc>
        <w:tc>
          <w:tcPr>
            <w:tcW w:w="2869" w:type="dxa"/>
          </w:tcPr>
          <w:p/>
        </w:tc>
        <w:tc>
          <w:tcPr>
            <w:tcW w:w="3129" w:type="dxa"/>
          </w:tcPr>
          <w:p>
            <w:pPr>
              <w:rPr>
                <w:sz w:val="20"/>
                <w:szCs w:val="20"/>
              </w:rPr>
            </w:pPr>
          </w:p>
        </w:tc>
      </w:tr>
      <w:tr>
        <w:tc>
          <w:tcPr>
            <w:tcW w:w="1735" w:type="dxa"/>
          </w:tcPr>
          <w:p>
            <w:r>
              <w:t>22-01-2018</w:t>
            </w:r>
          </w:p>
        </w:tc>
        <w:tc>
          <w:tcPr>
            <w:tcW w:w="1735" w:type="dxa"/>
          </w:tcPr>
          <w:p/>
        </w:tc>
        <w:tc>
          <w:tcPr>
            <w:tcW w:w="2869" w:type="dxa"/>
          </w:tcPr>
          <w:p/>
        </w:tc>
        <w:tc>
          <w:tcPr>
            <w:tcW w:w="3129" w:type="dxa"/>
          </w:tcPr>
          <w:p>
            <w:pPr>
              <w:rPr>
                <w:sz w:val="20"/>
                <w:szCs w:val="20"/>
              </w:rPr>
            </w:pPr>
          </w:p>
        </w:tc>
      </w:tr>
      <w:tr>
        <w:tc>
          <w:tcPr>
            <w:tcW w:w="1735" w:type="dxa"/>
          </w:tcPr>
          <w:p>
            <w:r>
              <w:t>05-03-2018</w:t>
            </w:r>
          </w:p>
        </w:tc>
        <w:tc>
          <w:tcPr>
            <w:tcW w:w="1735" w:type="dxa"/>
          </w:tcPr>
          <w:p/>
        </w:tc>
        <w:tc>
          <w:tcPr>
            <w:tcW w:w="2869" w:type="dxa"/>
          </w:tcPr>
          <w:p/>
        </w:tc>
        <w:tc>
          <w:tcPr>
            <w:tcW w:w="3129" w:type="dxa"/>
          </w:tcPr>
          <w:p>
            <w:pPr>
              <w:rPr>
                <w:sz w:val="20"/>
                <w:szCs w:val="20"/>
              </w:rPr>
            </w:pPr>
          </w:p>
        </w:tc>
      </w:tr>
      <w:tr>
        <w:tc>
          <w:tcPr>
            <w:tcW w:w="1735" w:type="dxa"/>
          </w:tcPr>
          <w:p>
            <w:r>
              <w:t>30-04-2018</w:t>
            </w:r>
          </w:p>
        </w:tc>
        <w:tc>
          <w:tcPr>
            <w:tcW w:w="1735" w:type="dxa"/>
          </w:tcPr>
          <w:p/>
        </w:tc>
        <w:tc>
          <w:tcPr>
            <w:tcW w:w="2869" w:type="dxa"/>
          </w:tcPr>
          <w:p/>
        </w:tc>
        <w:tc>
          <w:tcPr>
            <w:tcW w:w="3129" w:type="dxa"/>
          </w:tcPr>
          <w:p>
            <w:pPr>
              <w:rPr>
                <w:sz w:val="20"/>
                <w:szCs w:val="20"/>
              </w:rPr>
            </w:pPr>
          </w:p>
        </w:tc>
      </w:tr>
    </w:tbl>
    <w:p>
      <w:pPr>
        <w:rPr>
          <w:sz w:val="2"/>
          <w:szCs w:val="2"/>
        </w:rPr>
      </w:pPr>
    </w:p>
    <w:p>
      <w:pPr>
        <w:pStyle w:val="annexe"/>
      </w:pPr>
      <w:bookmarkStart w:id="2236" w:name="Annexe_342_2"/>
      <w:bookmarkEnd w:id="2236"/>
      <w:r>
        <w:br w:type="page"/>
      </w:r>
      <w:bookmarkStart w:id="2237" w:name="_Toc423420206"/>
      <w:bookmarkStart w:id="2238" w:name="_Toc450645455"/>
      <w:bookmarkStart w:id="2239" w:name="_Toc453942694"/>
      <w:bookmarkStart w:id="2240" w:name="_Toc454888310"/>
      <w:bookmarkStart w:id="2241" w:name="_Toc486241928"/>
      <w:r>
        <w:t>Annexe 3.4.2 (2)</w:t>
      </w:r>
      <w:bookmarkEnd w:id="2237"/>
      <w:bookmarkEnd w:id="2238"/>
      <w:bookmarkEnd w:id="2239"/>
      <w:bookmarkEnd w:id="2240"/>
      <w:bookmarkEnd w:id="2241"/>
    </w:p>
    <w:p/>
    <w:p>
      <w:pPr>
        <w:pStyle w:val="Notedebasdepage"/>
      </w:pPr>
    </w:p>
    <w:p>
      <w:pPr>
        <w:pStyle w:val="Notedebasdepage"/>
      </w:pPr>
    </w:p>
    <w:p>
      <w:pPr>
        <w:rPr>
          <w:b/>
          <w:i/>
          <w:u w:val="single"/>
        </w:rPr>
      </w:pPr>
      <w:r>
        <w:rPr>
          <w:b/>
          <w:i/>
          <w:u w:val="single"/>
        </w:rPr>
        <w:t>Pour l'enseignement subventionné:</w:t>
      </w:r>
    </w:p>
    <w:p>
      <w:pPr>
        <w:rPr>
          <w:sz w:val="20"/>
        </w:rPr>
      </w:pPr>
    </w:p>
    <w:p>
      <w:pPr>
        <w:rPr>
          <w:sz w:val="20"/>
        </w:rPr>
      </w:pPr>
    </w:p>
    <w:p>
      <w:pPr>
        <w:jc w:val="center"/>
        <w:rPr>
          <w:sz w:val="20"/>
        </w:rPr>
      </w:pPr>
      <w:r>
        <w:rPr>
          <w:b/>
          <w:bdr w:val="single" w:sz="12" w:space="0" w:color="auto"/>
        </w:rPr>
        <w:t xml:space="preserve">DÉCLARATION DU POUVOIR ORGANISATEUR  </w:t>
      </w:r>
      <w:r>
        <w:rPr>
          <w:b/>
        </w:rPr>
        <w:br/>
      </w:r>
    </w:p>
    <w:p>
      <w:pPr>
        <w:rPr>
          <w:sz w:val="20"/>
        </w:rPr>
      </w:pPr>
    </w:p>
    <w:p>
      <w:pPr>
        <w:jc w:val="both"/>
      </w:pPr>
      <w:r>
        <w:t>Le Pouvoir organisateur affirme sur l’honneur que l’école remplit les conditions légales et réglementaires en vue de l’octroi des subventions et que la présente demande est complète et sincère.</w:t>
      </w:r>
    </w:p>
    <w:p>
      <w:pPr>
        <w:jc w:val="both"/>
        <w:rPr>
          <w:sz w:val="20"/>
        </w:rPr>
      </w:pP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214"/>
      </w:tblGrid>
      <w:tr>
        <w:tc>
          <w:tcPr>
            <w:tcW w:w="9214" w:type="dxa"/>
          </w:tcPr>
          <w:p>
            <w:pPr>
              <w:pStyle w:val="En-tte"/>
              <w:tabs>
                <w:tab w:val="clear" w:pos="4536"/>
                <w:tab w:val="clear" w:pos="9072"/>
              </w:tabs>
              <w:jc w:val="both"/>
            </w:pPr>
            <w:r>
              <w:t xml:space="preserve">En particulier, il a connaissance des sanctions prévues par l’article 35 de la loi du 29 mai 1959 en cas de "déclaration fausse ou inexacte dans le but d’influencer le calcul des montants des subventions"  </w:t>
            </w:r>
          </w:p>
        </w:tc>
      </w:tr>
    </w:tbl>
    <w:p>
      <w:pPr>
        <w:jc w:val="both"/>
        <w:rPr>
          <w:sz w:val="20"/>
        </w:rPr>
      </w:pPr>
    </w:p>
    <w:p>
      <w:pPr>
        <w:jc w:val="both"/>
      </w:pPr>
      <w:r>
        <w:t>Il s’engage à communiquer en temps opportun, au directeur d’école, la décision qui intervient en ce qui concerne l’octroi des subventions traitements.</w:t>
      </w:r>
    </w:p>
    <w:p>
      <w:pPr>
        <w:rPr>
          <w:sz w:val="20"/>
        </w:rPr>
      </w:pPr>
    </w:p>
    <w:p>
      <w:pPr>
        <w:rPr>
          <w:sz w:val="20"/>
        </w:rPr>
      </w:pPr>
    </w:p>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4604"/>
        <w:gridCol w:w="4604"/>
      </w:tblGrid>
      <w:tr>
        <w:tc>
          <w:tcPr>
            <w:tcW w:w="4604" w:type="dxa"/>
          </w:tcPr>
          <w:p>
            <w:r>
              <w:t xml:space="preserve">Le Directeur / </w:t>
            </w:r>
            <w:smartTag w:uri="urn:schemas-microsoft-com:office:smarttags" w:element="PersonName">
              <w:smartTagPr>
                <w:attr w:name="ProductID" w:val="la Directrice"/>
              </w:smartTagPr>
              <w:r>
                <w:t>La Directrice</w:t>
              </w:r>
            </w:smartTag>
            <w:r>
              <w:t xml:space="preserve"> d’école:</w:t>
            </w:r>
          </w:p>
        </w:tc>
        <w:tc>
          <w:tcPr>
            <w:tcW w:w="4604" w:type="dxa"/>
          </w:tcPr>
          <w:p>
            <w:r>
              <w:t>Le Pouvoir organisateur:</w:t>
            </w:r>
          </w:p>
        </w:tc>
      </w:tr>
      <w:tr>
        <w:tc>
          <w:tcPr>
            <w:tcW w:w="4604" w:type="dxa"/>
          </w:tcPr>
          <w:p>
            <w:r>
              <w:t>Date:</w:t>
            </w:r>
          </w:p>
        </w:tc>
        <w:tc>
          <w:tcPr>
            <w:tcW w:w="4604" w:type="dxa"/>
          </w:tcPr>
          <w:p>
            <w:r>
              <w:t>Date:</w:t>
            </w:r>
          </w:p>
        </w:tc>
      </w:tr>
      <w:tr>
        <w:tc>
          <w:tcPr>
            <w:tcW w:w="4604" w:type="dxa"/>
          </w:tcPr>
          <w:p>
            <w:r>
              <w:t>Signature:</w:t>
            </w:r>
          </w:p>
        </w:tc>
        <w:tc>
          <w:tcPr>
            <w:tcW w:w="4604" w:type="dxa"/>
          </w:tcPr>
          <w:p>
            <w:r>
              <w:t>Signature:</w:t>
            </w:r>
          </w:p>
        </w:tc>
      </w:tr>
      <w:tr>
        <w:tc>
          <w:tcPr>
            <w:tcW w:w="4604" w:type="dxa"/>
          </w:tcPr>
          <w:p/>
        </w:tc>
        <w:tc>
          <w:tcPr>
            <w:tcW w:w="4604" w:type="dxa"/>
          </w:tcPr>
          <w:p/>
        </w:tc>
      </w:tr>
      <w:tr>
        <w:tc>
          <w:tcPr>
            <w:tcW w:w="4604" w:type="dxa"/>
          </w:tcPr>
          <w:p/>
        </w:tc>
        <w:tc>
          <w:tcPr>
            <w:tcW w:w="4604" w:type="dxa"/>
          </w:tcPr>
          <w:p/>
        </w:tc>
      </w:tr>
      <w:tr>
        <w:tc>
          <w:tcPr>
            <w:tcW w:w="4604" w:type="dxa"/>
          </w:tcPr>
          <w:p/>
        </w:tc>
        <w:tc>
          <w:tcPr>
            <w:tcW w:w="4604" w:type="dxa"/>
          </w:tcPr>
          <w:p/>
        </w:tc>
      </w:tr>
      <w:tr>
        <w:tc>
          <w:tcPr>
            <w:tcW w:w="4604" w:type="dxa"/>
          </w:tcPr>
          <w:p>
            <w:r>
              <w:t>Nom (en majuscule):</w:t>
            </w:r>
          </w:p>
        </w:tc>
        <w:tc>
          <w:tcPr>
            <w:tcW w:w="4604" w:type="dxa"/>
          </w:tcPr>
          <w:p>
            <w:r>
              <w:t>Nom (en majuscule):</w:t>
            </w:r>
          </w:p>
        </w:tc>
      </w:tr>
    </w:tbl>
    <w:p/>
    <w:p/>
    <w:p/>
    <w:p>
      <w:pPr>
        <w:rPr>
          <w:b/>
          <w:i/>
          <w:u w:val="single"/>
        </w:rPr>
      </w:pPr>
      <w:r>
        <w:rPr>
          <w:b/>
          <w:i/>
          <w:u w:val="single"/>
        </w:rPr>
        <w:t xml:space="preserve">Pour l'enseignement organisé par </w:t>
      </w:r>
      <w:smartTag w:uri="urn:schemas-microsoft-com:office:smarttags" w:element="PersonName">
        <w:smartTagPr>
          <w:attr w:name="ProductID" w:val="la F￩d￩ration Wallonie-Bruxelles"/>
        </w:smartTagPr>
        <w:r>
          <w:rPr>
            <w:b/>
            <w:i/>
            <w:u w:val="single"/>
          </w:rPr>
          <w:t>la Fédération Wallonie-Bruxelles</w:t>
        </w:r>
      </w:smartTag>
      <w:r>
        <w:rPr>
          <w:b/>
          <w:i/>
          <w:u w:val="single"/>
        </w:rPr>
        <w:t>:</w:t>
      </w:r>
    </w:p>
    <w:p>
      <w:pPr>
        <w:rPr>
          <w:sz w:val="20"/>
        </w:rPr>
      </w:pPr>
    </w:p>
    <w:p>
      <w:pPr>
        <w:rPr>
          <w:sz w:val="20"/>
        </w:rPr>
      </w:pPr>
    </w:p>
    <w:p>
      <w:pPr>
        <w:jc w:val="center"/>
        <w:rPr>
          <w:b/>
          <w:sz w:val="20"/>
        </w:rPr>
      </w:pPr>
      <w:r>
        <w:rPr>
          <w:b/>
          <w:bdr w:val="single" w:sz="12" w:space="0" w:color="auto"/>
        </w:rPr>
        <w:t>DÉCLARATION DE LA DIRECTION</w:t>
      </w:r>
      <w:r>
        <w:rPr>
          <w:b/>
        </w:rPr>
        <w:br/>
      </w:r>
    </w:p>
    <w:p>
      <w:pPr>
        <w:rPr>
          <w:sz w:val="20"/>
        </w:rPr>
      </w:pPr>
    </w:p>
    <w:p>
      <w:pPr>
        <w:pStyle w:val="Corpsdetexte"/>
        <w:rPr>
          <w:spacing w:val="0"/>
        </w:rPr>
      </w:pPr>
      <w:r>
        <w:rPr>
          <w:spacing w:val="0"/>
        </w:rPr>
        <w:t xml:space="preserve">Le Directeur / </w:t>
      </w:r>
      <w:smartTag w:uri="urn:schemas-microsoft-com:office:smarttags" w:element="PersonName">
        <w:smartTagPr>
          <w:attr w:name="ProductID" w:val="la Directrice"/>
        </w:smartTagPr>
        <w:r>
          <w:rPr>
            <w:spacing w:val="0"/>
          </w:rPr>
          <w:t>la Directrice</w:t>
        </w:r>
      </w:smartTag>
      <w:r>
        <w:rPr>
          <w:spacing w:val="0"/>
        </w:rPr>
        <w:t xml:space="preserve"> affirme sur l’honneur que l’école remplit les conditions légales et réglementaires en vue de l’octroi des emplois et que la présente demande est complète et sincère.</w:t>
      </w:r>
    </w:p>
    <w:p>
      <w:pPr>
        <w:rPr>
          <w:sz w:val="20"/>
        </w:rPr>
      </w:pPr>
    </w:p>
    <w:p>
      <w:pPr>
        <w:rPr>
          <w:sz w:val="20"/>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688"/>
      </w:tblGrid>
      <w:tr>
        <w:trPr>
          <w:jc w:val="center"/>
        </w:trPr>
        <w:tc>
          <w:tcPr>
            <w:tcW w:w="5688" w:type="dxa"/>
          </w:tcPr>
          <w:p>
            <w:r>
              <w:t xml:space="preserve">Le Directeur / </w:t>
            </w:r>
            <w:smartTag w:uri="urn:schemas-microsoft-com:office:smarttags" w:element="PersonName">
              <w:smartTagPr>
                <w:attr w:name="ProductID" w:val="la Directrice"/>
              </w:smartTagPr>
              <w:r>
                <w:t>La Directrice</w:t>
              </w:r>
            </w:smartTag>
            <w:r>
              <w:t xml:space="preserve"> d’école:</w:t>
            </w:r>
          </w:p>
        </w:tc>
      </w:tr>
      <w:tr>
        <w:trPr>
          <w:jc w:val="center"/>
        </w:trPr>
        <w:tc>
          <w:tcPr>
            <w:tcW w:w="5688" w:type="dxa"/>
          </w:tcPr>
          <w:p>
            <w:r>
              <w:t>Date:</w:t>
            </w:r>
          </w:p>
        </w:tc>
      </w:tr>
      <w:tr>
        <w:trPr>
          <w:jc w:val="center"/>
        </w:trPr>
        <w:tc>
          <w:tcPr>
            <w:tcW w:w="5688" w:type="dxa"/>
          </w:tcPr>
          <w:p>
            <w:r>
              <w:t>Signature:</w:t>
            </w:r>
          </w:p>
        </w:tc>
      </w:tr>
      <w:tr>
        <w:trPr>
          <w:jc w:val="center"/>
        </w:trPr>
        <w:tc>
          <w:tcPr>
            <w:tcW w:w="5688" w:type="dxa"/>
          </w:tcPr>
          <w:p/>
        </w:tc>
      </w:tr>
      <w:tr>
        <w:trPr>
          <w:jc w:val="center"/>
        </w:trPr>
        <w:tc>
          <w:tcPr>
            <w:tcW w:w="5688" w:type="dxa"/>
          </w:tcPr>
          <w:p/>
        </w:tc>
      </w:tr>
      <w:tr>
        <w:trPr>
          <w:jc w:val="center"/>
        </w:trPr>
        <w:tc>
          <w:tcPr>
            <w:tcW w:w="5688" w:type="dxa"/>
          </w:tcPr>
          <w:p/>
        </w:tc>
      </w:tr>
      <w:tr>
        <w:trPr>
          <w:jc w:val="center"/>
        </w:trPr>
        <w:tc>
          <w:tcPr>
            <w:tcW w:w="5688" w:type="dxa"/>
          </w:tcPr>
          <w:p>
            <w:r>
              <w:t>Nom (en majuscule):</w:t>
            </w:r>
          </w:p>
        </w:tc>
      </w:tr>
    </w:tbl>
    <w:p>
      <w:pPr>
        <w:rPr>
          <w:sz w:val="20"/>
        </w:rPr>
      </w:pPr>
    </w:p>
    <w:p>
      <w:pPr>
        <w:rPr>
          <w:sz w:val="20"/>
        </w:rPr>
      </w:pPr>
    </w:p>
    <w:p>
      <w:pPr>
        <w:rPr>
          <w:sz w:val="20"/>
        </w:rPr>
      </w:pPr>
    </w:p>
    <w:p>
      <w:pPr>
        <w:rPr>
          <w:sz w:val="20"/>
        </w:rPr>
      </w:pPr>
    </w:p>
    <w:p>
      <w:pPr>
        <w:rPr>
          <w:sz w:val="20"/>
        </w:rPr>
      </w:pPr>
    </w:p>
    <w:p>
      <w:pPr>
        <w:rPr>
          <w:sz w:val="20"/>
        </w:rPr>
      </w:pPr>
    </w:p>
    <w:p/>
    <w:p>
      <w:pPr>
        <w:pStyle w:val="annexe"/>
      </w:pPr>
      <w:r>
        <w:br w:type="page"/>
      </w:r>
      <w:bookmarkStart w:id="2242" w:name="_Annexe_4.3."/>
      <w:bookmarkStart w:id="2243" w:name="Annexe_343"/>
      <w:bookmarkStart w:id="2244" w:name="_Toc423420207"/>
      <w:bookmarkStart w:id="2245" w:name="_Toc450645456"/>
      <w:bookmarkStart w:id="2246" w:name="_Toc453942695"/>
      <w:bookmarkStart w:id="2247" w:name="_Toc454888311"/>
      <w:bookmarkStart w:id="2248" w:name="_Toc486241929"/>
      <w:bookmarkStart w:id="2249" w:name="_Toc165786199"/>
      <w:bookmarkStart w:id="2250" w:name="_Toc265141682"/>
      <w:bookmarkStart w:id="2251" w:name="_Toc295913889"/>
      <w:bookmarkEnd w:id="2138"/>
      <w:bookmarkEnd w:id="2242"/>
      <w:bookmarkEnd w:id="2243"/>
      <w:r>
        <w:t>Annexe 3.4.3. Enseignement maternel - Demande d’augmentation de cadre au cours du mois de septembre dans les zones à tension démographique</w:t>
      </w:r>
      <w:bookmarkEnd w:id="2244"/>
      <w:bookmarkEnd w:id="2245"/>
      <w:bookmarkEnd w:id="2246"/>
      <w:bookmarkEnd w:id="2247"/>
      <w:bookmarkEnd w:id="2248"/>
      <w:r>
        <w:t xml:space="preserve"> </w:t>
      </w:r>
    </w:p>
    <w:tbl>
      <w:tblPr>
        <w:tblW w:w="0" w:type="auto"/>
        <w:tblLook w:val="01E0" w:firstRow="1" w:lastRow="1" w:firstColumn="1" w:lastColumn="1" w:noHBand="0" w:noVBand="0"/>
      </w:tblPr>
      <w:tblGrid>
        <w:gridCol w:w="4608"/>
        <w:gridCol w:w="4678"/>
      </w:tblGrid>
      <w:tr>
        <w:trPr>
          <w:trHeight w:hRule="exact" w:val="849"/>
        </w:trPr>
        <w:tc>
          <w:tcPr>
            <w:tcW w:w="5030" w:type="dxa"/>
            <w:tcBorders>
              <w:bottom w:val="single" w:sz="4" w:space="0" w:color="auto"/>
            </w:tcBorders>
            <w:vAlign w:val="center"/>
          </w:tcPr>
          <w:p>
            <w:pPr>
              <w:pStyle w:val="Sansinterligne1"/>
              <w:spacing w:after="120"/>
              <w:jc w:val="center"/>
              <w:rPr>
                <w:rFonts w:ascii="Arial" w:hAnsi="Arial" w:cs="Arial"/>
                <w:sz w:val="20"/>
                <w:szCs w:val="20"/>
              </w:rPr>
            </w:pPr>
            <w:r>
              <w:rPr>
                <w:rFonts w:ascii="Arial" w:hAnsi="Arial" w:cs="Arial"/>
                <w:sz w:val="20"/>
                <w:szCs w:val="20"/>
              </w:rPr>
              <w:t xml:space="preserve">Année scolaire 2017-2018 </w:t>
            </w:r>
          </w:p>
        </w:tc>
        <w:tc>
          <w:tcPr>
            <w:tcW w:w="5031" w:type="dxa"/>
            <w:tcBorders>
              <w:bottom w:val="single" w:sz="4" w:space="0" w:color="auto"/>
            </w:tcBorders>
            <w:vAlign w:val="center"/>
          </w:tcPr>
          <w:p>
            <w:pPr>
              <w:pStyle w:val="Sansinterligne1"/>
              <w:spacing w:after="120"/>
              <w:jc w:val="center"/>
              <w:rPr>
                <w:rFonts w:ascii="Arial" w:hAnsi="Arial" w:cs="Arial"/>
                <w:sz w:val="20"/>
                <w:szCs w:val="20"/>
              </w:rPr>
            </w:pPr>
            <w:r>
              <w:rPr>
                <w:rFonts w:ascii="Arial" w:hAnsi="Arial" w:cs="Arial"/>
                <w:sz w:val="20"/>
                <w:szCs w:val="20"/>
              </w:rPr>
              <w:t>Date limite de renvoi</w:t>
            </w:r>
            <w:r>
              <w:rPr>
                <w:rFonts w:ascii="Arial" w:hAnsi="Arial" w:cs="Arial"/>
                <w:b/>
                <w:sz w:val="20"/>
                <w:szCs w:val="20"/>
              </w:rPr>
              <w:t> </w:t>
            </w:r>
            <w:r>
              <w:rPr>
                <w:rFonts w:ascii="Arial" w:hAnsi="Arial" w:cs="Arial"/>
                <w:sz w:val="20"/>
                <w:szCs w:val="20"/>
              </w:rPr>
              <w:t xml:space="preserve">: dans les </w:t>
            </w:r>
            <w:r>
              <w:rPr>
                <w:rFonts w:ascii="Arial" w:hAnsi="Arial" w:cs="Arial"/>
                <w:b/>
                <w:sz w:val="20"/>
                <w:szCs w:val="20"/>
              </w:rPr>
              <w:t>3 jours ouvrables</w:t>
            </w:r>
            <w:r>
              <w:rPr>
                <w:rFonts w:ascii="Arial" w:hAnsi="Arial" w:cs="Arial"/>
                <w:sz w:val="20"/>
                <w:szCs w:val="20"/>
              </w:rPr>
              <w:t xml:space="preserve"> suivant la date d’augmentation de cadre</w:t>
            </w:r>
          </w:p>
        </w:tc>
      </w:tr>
      <w:tr>
        <w:trPr>
          <w:trHeight w:val="689"/>
        </w:trPr>
        <w:tc>
          <w:tcPr>
            <w:tcW w:w="10061" w:type="dxa"/>
            <w:gridSpan w:val="2"/>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ascii="Arial" w:hAnsi="Arial" w:cs="Arial"/>
                <w:b/>
                <w:sz w:val="20"/>
                <w:szCs w:val="20"/>
              </w:rPr>
            </w:pPr>
            <w:r>
              <w:rPr>
                <w:rFonts w:ascii="Arial" w:hAnsi="Arial" w:cs="Arial"/>
                <w:b/>
                <w:i/>
                <w:sz w:val="20"/>
                <w:szCs w:val="20"/>
              </w:rPr>
              <w:t>Enseignement maternel</w:t>
            </w:r>
          </w:p>
          <w:p>
            <w:pPr>
              <w:pStyle w:val="Sansinterligne1"/>
              <w:spacing w:before="120" w:after="120"/>
              <w:jc w:val="center"/>
              <w:rPr>
                <w:rFonts w:ascii="Arial" w:hAnsi="Arial" w:cs="Arial"/>
                <w:b/>
                <w:sz w:val="20"/>
                <w:szCs w:val="20"/>
              </w:rPr>
            </w:pPr>
            <w:r>
              <w:rPr>
                <w:rFonts w:ascii="Arial" w:hAnsi="Arial" w:cs="Arial"/>
                <w:b/>
                <w:sz w:val="20"/>
                <w:szCs w:val="20"/>
              </w:rPr>
              <w:t>Demande d’augmentation de cadre maternel au cours du mois de septembre dans les zones à tension démographique</w:t>
            </w:r>
          </w:p>
        </w:tc>
      </w:tr>
    </w:tbl>
    <w:p>
      <w:pPr>
        <w:pStyle w:val="Sansinterligne1"/>
        <w:spacing w:before="120"/>
        <w:jc w:val="both"/>
        <w:rPr>
          <w:rFonts w:ascii="Arial" w:hAnsi="Arial" w:cs="Arial"/>
          <w:sz w:val="20"/>
          <w:szCs w:val="20"/>
        </w:rPr>
      </w:pPr>
      <w:r>
        <w:rPr>
          <w:rFonts w:ascii="Arial" w:hAnsi="Arial" w:cs="Arial"/>
          <w:sz w:val="20"/>
          <w:szCs w:val="20"/>
        </w:rPr>
        <w:t xml:space="preserve">Demande introduite par implantation </w:t>
      </w:r>
      <w:r>
        <w:rPr>
          <w:rFonts w:ascii="Arial" w:hAnsi="Arial" w:cs="Arial"/>
          <w:b/>
          <w:i/>
          <w:sz w:val="20"/>
          <w:szCs w:val="20"/>
          <w:u w:val="single"/>
        </w:rPr>
        <w:t>si les deux conditions ci-dessous sont remplies</w:t>
      </w:r>
      <w:r>
        <w:rPr>
          <w:rFonts w:ascii="Arial" w:hAnsi="Arial" w:cs="Arial"/>
          <w:sz w:val="20"/>
          <w:szCs w:val="20"/>
        </w:rPr>
        <w:t> :</w:t>
      </w:r>
    </w:p>
    <w:p>
      <w:pPr>
        <w:pStyle w:val="Sansinterligne1"/>
        <w:numPr>
          <w:ilvl w:val="0"/>
          <w:numId w:val="150"/>
        </w:numPr>
        <w:jc w:val="both"/>
        <w:rPr>
          <w:rFonts w:ascii="Arial" w:hAnsi="Arial" w:cs="Arial"/>
          <w:sz w:val="20"/>
          <w:szCs w:val="20"/>
        </w:rPr>
      </w:pPr>
      <w:r>
        <w:rPr>
          <w:rFonts w:ascii="Arial" w:hAnsi="Arial" w:cs="Arial"/>
          <w:sz w:val="20"/>
          <w:szCs w:val="20"/>
        </w:rPr>
        <w:t>l’implantation concernée est située dans une des communes à tension démographique reprises dans l’annexe 3.4.5. ;</w:t>
      </w:r>
    </w:p>
    <w:p>
      <w:pPr>
        <w:pStyle w:val="Sansinterligne1"/>
        <w:numPr>
          <w:ilvl w:val="0"/>
          <w:numId w:val="150"/>
        </w:numPr>
        <w:jc w:val="both"/>
        <w:rPr>
          <w:rFonts w:ascii="Arial" w:hAnsi="Arial" w:cs="Arial"/>
          <w:sz w:val="20"/>
          <w:szCs w:val="20"/>
        </w:rPr>
      </w:pPr>
      <w:r>
        <w:rPr>
          <w:rFonts w:ascii="Arial" w:hAnsi="Arial" w:cs="Arial"/>
          <w:sz w:val="20"/>
          <w:szCs w:val="20"/>
        </w:rPr>
        <w:t>entre le 1</w:t>
      </w:r>
      <w:r>
        <w:rPr>
          <w:rFonts w:ascii="Arial" w:hAnsi="Arial" w:cs="Arial"/>
          <w:sz w:val="20"/>
          <w:szCs w:val="20"/>
          <w:vertAlign w:val="superscript"/>
        </w:rPr>
        <w:t>er</w:t>
      </w:r>
      <w:r>
        <w:rPr>
          <w:rFonts w:ascii="Arial" w:hAnsi="Arial" w:cs="Arial"/>
          <w:sz w:val="20"/>
          <w:szCs w:val="20"/>
        </w:rPr>
        <w:t xml:space="preserve"> et le 30 septembre 2017, le nombre d’élèves inscrits correspond à une tranche supérieure permettant d’obtenir un nombre d’emplois plus favorable que celui calculé le 1</w:t>
      </w:r>
      <w:r>
        <w:rPr>
          <w:rFonts w:ascii="Arial" w:hAnsi="Arial" w:cs="Arial"/>
          <w:sz w:val="20"/>
          <w:szCs w:val="20"/>
          <w:vertAlign w:val="superscript"/>
        </w:rPr>
        <w:t>er</w:t>
      </w:r>
      <w:r>
        <w:rPr>
          <w:rFonts w:ascii="Arial" w:hAnsi="Arial" w:cs="Arial"/>
          <w:sz w:val="20"/>
          <w:szCs w:val="20"/>
        </w:rPr>
        <w:t xml:space="preserve"> octobre 2016.</w:t>
      </w:r>
    </w:p>
    <w:tbl>
      <w:tblPr>
        <w:tblW w:w="9781" w:type="dxa"/>
        <w:tblLook w:val="01E0" w:firstRow="1" w:lastRow="1" w:firstColumn="1" w:lastColumn="1" w:noHBand="0" w:noVBand="0"/>
      </w:tblPr>
      <w:tblGrid>
        <w:gridCol w:w="4227"/>
        <w:gridCol w:w="5554"/>
      </w:tblGrid>
      <w:tr>
        <w:tc>
          <w:tcPr>
            <w:tcW w:w="4248" w:type="dxa"/>
            <w:tcBorders>
              <w:bottom w:val="single" w:sz="4" w:space="0" w:color="auto"/>
            </w:tcBorders>
          </w:tcPr>
          <w:p>
            <w:pPr>
              <w:pStyle w:val="Sansinterligne1"/>
              <w:spacing w:before="120"/>
              <w:rPr>
                <w:rFonts w:ascii="Arial" w:hAnsi="Arial" w:cs="Arial"/>
                <w:sz w:val="20"/>
                <w:szCs w:val="20"/>
              </w:rPr>
            </w:pPr>
            <w:r>
              <w:rPr>
                <w:rFonts w:ascii="Arial" w:hAnsi="Arial" w:cs="Arial"/>
                <w:sz w:val="20"/>
                <w:szCs w:val="20"/>
              </w:rPr>
              <w:t>Elle est envoyée  à l’adresse suivante:</w:t>
            </w:r>
          </w:p>
        </w:tc>
        <w:tc>
          <w:tcPr>
            <w:tcW w:w="5580" w:type="dxa"/>
            <w:tcBorders>
              <w:bottom w:val="single" w:sz="4" w:space="0" w:color="auto"/>
            </w:tcBorders>
          </w:tcPr>
          <w:p>
            <w:pPr>
              <w:pStyle w:val="Sansinterligne1"/>
              <w:spacing w:before="120"/>
              <w:jc w:val="center"/>
              <w:rPr>
                <w:rFonts w:ascii="Arial" w:hAnsi="Arial" w:cs="Arial"/>
                <w:i/>
                <w:sz w:val="20"/>
                <w:szCs w:val="20"/>
              </w:rPr>
            </w:pPr>
            <w:r>
              <w:rPr>
                <w:rFonts w:ascii="Arial" w:hAnsi="Arial" w:cs="Arial"/>
                <w:i/>
                <w:sz w:val="20"/>
                <w:szCs w:val="20"/>
              </w:rPr>
              <w:t>Direction générale de l’Enseignement obligatoire</w:t>
            </w:r>
          </w:p>
          <w:p>
            <w:pPr>
              <w:pStyle w:val="Sansinterligne1"/>
              <w:jc w:val="center"/>
              <w:rPr>
                <w:rFonts w:ascii="Arial" w:hAnsi="Arial" w:cs="Arial"/>
                <w:i/>
                <w:sz w:val="20"/>
                <w:szCs w:val="20"/>
              </w:rPr>
            </w:pPr>
            <w:r>
              <w:rPr>
                <w:rFonts w:ascii="Arial" w:hAnsi="Arial" w:cs="Arial"/>
                <w:i/>
                <w:sz w:val="20"/>
                <w:szCs w:val="20"/>
              </w:rPr>
              <w:t>Bureau 2F211</w:t>
            </w:r>
          </w:p>
          <w:p>
            <w:pPr>
              <w:pStyle w:val="Sansinterligne1"/>
              <w:jc w:val="center"/>
              <w:rPr>
                <w:rFonts w:ascii="Arial" w:hAnsi="Arial" w:cs="Arial"/>
                <w:i/>
                <w:sz w:val="20"/>
                <w:szCs w:val="20"/>
              </w:rPr>
            </w:pPr>
            <w:r>
              <w:rPr>
                <w:rFonts w:ascii="Arial" w:hAnsi="Arial" w:cs="Arial"/>
                <w:i/>
                <w:sz w:val="20"/>
                <w:szCs w:val="20"/>
              </w:rPr>
              <w:t>Rue Adolphe Lavallée, 1</w:t>
            </w:r>
          </w:p>
          <w:p>
            <w:pPr>
              <w:pStyle w:val="Sansinterligne1"/>
              <w:spacing w:after="120"/>
              <w:jc w:val="center"/>
              <w:rPr>
                <w:rFonts w:ascii="Arial" w:hAnsi="Arial" w:cs="Arial"/>
                <w:i/>
                <w:sz w:val="20"/>
                <w:szCs w:val="20"/>
              </w:rPr>
            </w:pPr>
            <w:r>
              <w:rPr>
                <w:rFonts w:ascii="Arial" w:hAnsi="Arial" w:cs="Arial"/>
                <w:i/>
                <w:sz w:val="20"/>
                <w:szCs w:val="20"/>
              </w:rPr>
              <w:t>1080 Bruxelles</w:t>
            </w:r>
          </w:p>
        </w:tc>
      </w:tr>
      <w:tr>
        <w:tc>
          <w:tcPr>
            <w:tcW w:w="9828" w:type="dxa"/>
            <w:gridSpan w:val="2"/>
            <w:tcBorders>
              <w:top w:val="single" w:sz="4" w:space="0" w:color="auto"/>
              <w:left w:val="single" w:sz="4" w:space="0" w:color="auto"/>
              <w:bottom w:val="single" w:sz="4" w:space="0" w:color="auto"/>
              <w:right w:val="single" w:sz="4" w:space="0" w:color="auto"/>
            </w:tcBorders>
          </w:tcPr>
          <w:p>
            <w:pPr>
              <w:pStyle w:val="Sansinterligne1"/>
              <w:spacing w:before="120" w:after="120"/>
              <w:jc w:val="center"/>
              <w:rPr>
                <w:rFonts w:ascii="Arial" w:hAnsi="Arial" w:cs="Arial"/>
                <w:sz w:val="20"/>
                <w:szCs w:val="20"/>
              </w:rPr>
            </w:pPr>
            <w:r>
              <w:rPr>
                <w:rFonts w:ascii="Arial" w:hAnsi="Arial" w:cs="Arial"/>
                <w:b/>
                <w:sz w:val="20"/>
                <w:szCs w:val="20"/>
              </w:rPr>
              <w:t>Attention: un formulaire de demande par implantation</w:t>
            </w:r>
          </w:p>
        </w:tc>
      </w:tr>
    </w:tbl>
    <w:p>
      <w:pPr>
        <w:pStyle w:val="Sansinterligne1"/>
        <w:rPr>
          <w:rFonts w:ascii="Arial" w:hAnsi="Arial" w:cs="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6"/>
        <w:gridCol w:w="2370"/>
      </w:tblGrid>
      <w:tr>
        <w:tc>
          <w:tcPr>
            <w:tcW w:w="7308" w:type="dxa"/>
            <w:vAlign w:val="center"/>
          </w:tcPr>
          <w:p>
            <w:pPr>
              <w:pStyle w:val="Sansinterligne1"/>
              <w:spacing w:before="120" w:after="120"/>
              <w:rPr>
                <w:rFonts w:ascii="Arial" w:hAnsi="Arial" w:cs="Arial"/>
                <w:b/>
                <w:sz w:val="20"/>
                <w:szCs w:val="20"/>
              </w:rPr>
            </w:pPr>
            <w:r>
              <w:rPr>
                <w:rFonts w:ascii="Arial" w:hAnsi="Arial" w:cs="Arial"/>
                <w:b/>
                <w:sz w:val="20"/>
                <w:szCs w:val="20"/>
              </w:rPr>
              <w:t>Ecole:</w:t>
            </w:r>
          </w:p>
        </w:tc>
        <w:tc>
          <w:tcPr>
            <w:tcW w:w="2470" w:type="dxa"/>
            <w:vAlign w:val="center"/>
          </w:tcPr>
          <w:p>
            <w:pPr>
              <w:pStyle w:val="Sansinterligne1"/>
              <w:spacing w:before="120" w:after="120"/>
              <w:rPr>
                <w:rFonts w:ascii="Arial" w:hAnsi="Arial" w:cs="Arial"/>
                <w:b/>
                <w:sz w:val="20"/>
                <w:szCs w:val="20"/>
              </w:rPr>
            </w:pPr>
            <w:r>
              <w:rPr>
                <w:rFonts w:ascii="Arial" w:hAnsi="Arial" w:cs="Arial"/>
                <w:b/>
                <w:sz w:val="20"/>
                <w:szCs w:val="20"/>
              </w:rPr>
              <w:t>N° FASE:</w:t>
            </w:r>
          </w:p>
        </w:tc>
      </w:tr>
      <w:tr>
        <w:tc>
          <w:tcPr>
            <w:tcW w:w="9778" w:type="dxa"/>
            <w:gridSpan w:val="2"/>
          </w:tcPr>
          <w:p>
            <w:pPr>
              <w:pStyle w:val="Sansinterligne1"/>
              <w:spacing w:after="720"/>
              <w:rPr>
                <w:rFonts w:ascii="Arial" w:hAnsi="Arial" w:cs="Arial"/>
                <w:b/>
                <w:sz w:val="20"/>
                <w:szCs w:val="20"/>
              </w:rPr>
            </w:pPr>
            <w:r>
              <w:rPr>
                <w:rFonts w:ascii="Arial" w:hAnsi="Arial" w:cs="Arial"/>
                <w:sz w:val="20"/>
                <w:szCs w:val="20"/>
              </w:rPr>
              <w:t>Siège administratif (rue, n°, code postal et localité):</w:t>
            </w:r>
          </w:p>
        </w:tc>
      </w:tr>
    </w:tbl>
    <w:p>
      <w:pPr>
        <w:pStyle w:val="Sansinterligne1"/>
        <w:rPr>
          <w:rFonts w:ascii="Arial" w:hAnsi="Arial" w:cs="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5"/>
        <w:gridCol w:w="2361"/>
      </w:tblGrid>
      <w:tr>
        <w:tc>
          <w:tcPr>
            <w:tcW w:w="7308" w:type="dxa"/>
            <w:vAlign w:val="center"/>
          </w:tcPr>
          <w:p>
            <w:pPr>
              <w:pStyle w:val="Sansinterligne1"/>
              <w:spacing w:before="120" w:after="120"/>
              <w:rPr>
                <w:rFonts w:ascii="Arial" w:hAnsi="Arial" w:cs="Arial"/>
                <w:b/>
                <w:sz w:val="20"/>
                <w:szCs w:val="20"/>
              </w:rPr>
            </w:pPr>
            <w:r>
              <w:rPr>
                <w:rFonts w:ascii="Arial" w:hAnsi="Arial" w:cs="Arial"/>
                <w:b/>
                <w:sz w:val="20"/>
                <w:szCs w:val="20"/>
              </w:rPr>
              <w:t>Implantation:</w:t>
            </w:r>
          </w:p>
        </w:tc>
        <w:tc>
          <w:tcPr>
            <w:tcW w:w="2470" w:type="dxa"/>
            <w:vAlign w:val="center"/>
          </w:tcPr>
          <w:p>
            <w:pPr>
              <w:pStyle w:val="Sansinterligne1"/>
              <w:spacing w:before="120" w:after="120"/>
              <w:rPr>
                <w:rFonts w:ascii="Arial" w:hAnsi="Arial" w:cs="Arial"/>
                <w:b/>
                <w:sz w:val="20"/>
                <w:szCs w:val="20"/>
              </w:rPr>
            </w:pPr>
            <w:r>
              <w:rPr>
                <w:rFonts w:ascii="Arial" w:hAnsi="Arial" w:cs="Arial"/>
                <w:b/>
                <w:sz w:val="20"/>
                <w:szCs w:val="20"/>
              </w:rPr>
              <w:t>N° FASE:</w:t>
            </w:r>
          </w:p>
        </w:tc>
      </w:tr>
      <w:tr>
        <w:tc>
          <w:tcPr>
            <w:tcW w:w="9778" w:type="dxa"/>
            <w:gridSpan w:val="2"/>
          </w:tcPr>
          <w:p>
            <w:pPr>
              <w:pStyle w:val="Sansinterligne1"/>
              <w:spacing w:after="720"/>
              <w:rPr>
                <w:rFonts w:ascii="Arial" w:hAnsi="Arial" w:cs="Arial"/>
                <w:b/>
                <w:sz w:val="20"/>
                <w:szCs w:val="20"/>
              </w:rPr>
            </w:pPr>
            <w:r>
              <w:rPr>
                <w:rFonts w:ascii="Arial" w:hAnsi="Arial" w:cs="Arial"/>
                <w:sz w:val="20"/>
                <w:szCs w:val="20"/>
              </w:rPr>
              <w:t>Adresse complète de l’implantation (rue, n°, code postal et localité):</w:t>
            </w:r>
          </w:p>
        </w:tc>
      </w:tr>
    </w:tbl>
    <w:p>
      <w:pPr>
        <w:pStyle w:val="Sansinterligne1"/>
        <w:spacing w:before="240" w:after="240"/>
        <w:rPr>
          <w:rFonts w:ascii="Arial" w:hAnsi="Arial" w:cs="Arial"/>
          <w:i/>
          <w:sz w:val="2"/>
          <w:szCs w:val="2"/>
        </w:rPr>
      </w:pPr>
    </w:p>
    <w:tbl>
      <w:tblPr>
        <w:tblW w:w="9781"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235"/>
        <w:gridCol w:w="1509"/>
        <w:gridCol w:w="1509"/>
        <w:gridCol w:w="1509"/>
        <w:gridCol w:w="1509"/>
        <w:gridCol w:w="1510"/>
      </w:tblGrid>
      <w:tr>
        <w:trPr>
          <w:trHeight w:val="831"/>
        </w:trPr>
        <w:tc>
          <w:tcPr>
            <w:tcW w:w="2235" w:type="dxa"/>
            <w:vAlign w:val="center"/>
          </w:tcPr>
          <w:p>
            <w:pPr>
              <w:pStyle w:val="Sansinterligne1"/>
              <w:rPr>
                <w:rFonts w:ascii="Arial" w:hAnsi="Arial" w:cs="Arial"/>
                <w:sz w:val="20"/>
                <w:szCs w:val="20"/>
              </w:rPr>
            </w:pPr>
          </w:p>
        </w:tc>
        <w:tc>
          <w:tcPr>
            <w:tcW w:w="7546" w:type="dxa"/>
            <w:gridSpan w:val="5"/>
            <w:vAlign w:val="center"/>
          </w:tcPr>
          <w:p>
            <w:pPr>
              <w:pStyle w:val="Sansinterligne1"/>
              <w:jc w:val="center"/>
              <w:rPr>
                <w:rFonts w:ascii="Arial" w:hAnsi="Arial" w:cs="Arial"/>
                <w:b/>
                <w:sz w:val="20"/>
                <w:szCs w:val="20"/>
              </w:rPr>
            </w:pPr>
            <w:r>
              <w:rPr>
                <w:rFonts w:ascii="Arial" w:hAnsi="Arial" w:cs="Arial"/>
                <w:b/>
                <w:sz w:val="20"/>
                <w:szCs w:val="20"/>
              </w:rPr>
              <w:t>Nouvel encadrement</w:t>
            </w:r>
          </w:p>
          <w:p>
            <w:pPr>
              <w:pStyle w:val="Sansinterligne1"/>
              <w:jc w:val="center"/>
              <w:rPr>
                <w:rFonts w:ascii="Arial" w:hAnsi="Arial" w:cs="Arial"/>
                <w:b/>
                <w:sz w:val="20"/>
                <w:szCs w:val="20"/>
              </w:rPr>
            </w:pPr>
          </w:p>
          <w:p>
            <w:pPr>
              <w:pStyle w:val="Sansinterligne1"/>
              <w:jc w:val="center"/>
              <w:rPr>
                <w:rFonts w:ascii="Arial" w:hAnsi="Arial" w:cs="Arial"/>
                <w:sz w:val="20"/>
                <w:szCs w:val="20"/>
              </w:rPr>
            </w:pPr>
            <w:r>
              <w:rPr>
                <w:rFonts w:ascii="Arial" w:hAnsi="Arial" w:cs="Arial"/>
                <w:sz w:val="20"/>
                <w:szCs w:val="20"/>
              </w:rPr>
              <w:t>Date de l’augmentation de cadre : ……………………………</w:t>
            </w:r>
          </w:p>
          <w:p>
            <w:pPr>
              <w:pStyle w:val="Sansinterligne1"/>
              <w:jc w:val="center"/>
              <w:rPr>
                <w:rFonts w:ascii="Arial" w:hAnsi="Arial" w:cs="Arial"/>
                <w:b/>
                <w:sz w:val="20"/>
                <w:szCs w:val="20"/>
              </w:rPr>
            </w:pPr>
          </w:p>
        </w:tc>
      </w:tr>
      <w:tr>
        <w:trPr>
          <w:trHeight w:val="859"/>
        </w:trPr>
        <w:tc>
          <w:tcPr>
            <w:tcW w:w="2235" w:type="dxa"/>
            <w:vAlign w:val="center"/>
          </w:tcPr>
          <w:p>
            <w:pPr>
              <w:pStyle w:val="Sansinterligne1"/>
              <w:jc w:val="center"/>
              <w:rPr>
                <w:rFonts w:ascii="Arial" w:hAnsi="Arial" w:cs="Arial"/>
                <w:sz w:val="20"/>
                <w:szCs w:val="20"/>
              </w:rPr>
            </w:pPr>
            <w:r>
              <w:rPr>
                <w:rFonts w:ascii="Arial" w:hAnsi="Arial" w:cs="Arial"/>
                <w:sz w:val="20"/>
                <w:szCs w:val="20"/>
              </w:rPr>
              <w:t>Emplois octroyés au 01/09/2017 (sur base de l’encadrement calculé au 01/10/2016)</w:t>
            </w:r>
          </w:p>
        </w:tc>
        <w:tc>
          <w:tcPr>
            <w:tcW w:w="1509" w:type="dxa"/>
            <w:vAlign w:val="center"/>
          </w:tcPr>
          <w:p>
            <w:pPr>
              <w:pStyle w:val="Sansinterligne1"/>
              <w:jc w:val="center"/>
              <w:rPr>
                <w:rFonts w:ascii="Arial" w:hAnsi="Arial" w:cs="Arial"/>
                <w:sz w:val="20"/>
                <w:szCs w:val="20"/>
              </w:rPr>
            </w:pPr>
            <w:r>
              <w:rPr>
                <w:rFonts w:ascii="Arial" w:hAnsi="Arial" w:cs="Arial"/>
                <w:sz w:val="20"/>
                <w:szCs w:val="20"/>
              </w:rPr>
              <w:t>Elèves</w:t>
            </w:r>
          </w:p>
          <w:p>
            <w:pPr>
              <w:pStyle w:val="Sansinterligne1"/>
              <w:jc w:val="center"/>
              <w:rPr>
                <w:rFonts w:ascii="Arial" w:hAnsi="Arial" w:cs="Arial"/>
                <w:sz w:val="20"/>
                <w:szCs w:val="20"/>
              </w:rPr>
            </w:pPr>
            <w:r>
              <w:rPr>
                <w:rFonts w:ascii="Arial" w:hAnsi="Arial" w:cs="Arial"/>
                <w:sz w:val="20"/>
                <w:szCs w:val="20"/>
              </w:rPr>
              <w:t>x 1</w:t>
            </w:r>
          </w:p>
        </w:tc>
        <w:tc>
          <w:tcPr>
            <w:tcW w:w="1509" w:type="dxa"/>
            <w:vAlign w:val="center"/>
          </w:tcPr>
          <w:p>
            <w:pPr>
              <w:pStyle w:val="Sansinterligne1"/>
              <w:jc w:val="center"/>
              <w:rPr>
                <w:rFonts w:ascii="Arial" w:hAnsi="Arial" w:cs="Arial"/>
                <w:sz w:val="20"/>
                <w:szCs w:val="20"/>
              </w:rPr>
            </w:pPr>
            <w:r>
              <w:rPr>
                <w:rFonts w:ascii="Arial" w:hAnsi="Arial" w:cs="Arial"/>
                <w:sz w:val="20"/>
                <w:szCs w:val="20"/>
              </w:rPr>
              <w:t>Elèves</w:t>
            </w:r>
          </w:p>
          <w:p>
            <w:pPr>
              <w:pStyle w:val="Sansinterligne1"/>
              <w:jc w:val="center"/>
              <w:rPr>
                <w:rFonts w:ascii="Arial" w:hAnsi="Arial" w:cs="Arial"/>
                <w:sz w:val="20"/>
                <w:szCs w:val="20"/>
              </w:rPr>
            </w:pPr>
            <w:r>
              <w:rPr>
                <w:rFonts w:ascii="Arial" w:hAnsi="Arial" w:cs="Arial"/>
                <w:sz w:val="20"/>
                <w:szCs w:val="20"/>
              </w:rPr>
              <w:t>x 1,5</w:t>
            </w:r>
          </w:p>
          <w:p>
            <w:pPr>
              <w:pStyle w:val="Sansinterligne1"/>
              <w:jc w:val="center"/>
              <w:rPr>
                <w:rFonts w:ascii="Arial" w:hAnsi="Arial" w:cs="Arial"/>
                <w:sz w:val="20"/>
                <w:szCs w:val="20"/>
              </w:rPr>
            </w:pPr>
            <w:r>
              <w:rPr>
                <w:rFonts w:ascii="Arial" w:hAnsi="Arial" w:cs="Arial"/>
                <w:sz w:val="20"/>
                <w:szCs w:val="20"/>
              </w:rPr>
              <w:t>Primos</w:t>
            </w:r>
          </w:p>
        </w:tc>
        <w:tc>
          <w:tcPr>
            <w:tcW w:w="1509" w:type="dxa"/>
            <w:vAlign w:val="center"/>
          </w:tcPr>
          <w:p>
            <w:pPr>
              <w:pStyle w:val="Sansinterligne1"/>
              <w:jc w:val="center"/>
              <w:rPr>
                <w:rFonts w:ascii="Arial" w:hAnsi="Arial" w:cs="Arial"/>
                <w:sz w:val="20"/>
                <w:szCs w:val="20"/>
              </w:rPr>
            </w:pPr>
            <w:r>
              <w:rPr>
                <w:rFonts w:ascii="Arial" w:hAnsi="Arial" w:cs="Arial"/>
                <w:sz w:val="20"/>
                <w:szCs w:val="20"/>
              </w:rPr>
              <w:t>Elèves</w:t>
            </w:r>
          </w:p>
          <w:p>
            <w:pPr>
              <w:pStyle w:val="Sansinterligne1"/>
              <w:jc w:val="center"/>
              <w:rPr>
                <w:rFonts w:ascii="Arial" w:hAnsi="Arial" w:cs="Arial"/>
                <w:sz w:val="20"/>
                <w:szCs w:val="20"/>
              </w:rPr>
            </w:pPr>
            <w:r>
              <w:rPr>
                <w:rFonts w:ascii="Arial" w:hAnsi="Arial" w:cs="Arial"/>
                <w:sz w:val="20"/>
                <w:szCs w:val="20"/>
              </w:rPr>
              <w:t>x 1,5</w:t>
            </w:r>
          </w:p>
          <w:p>
            <w:pPr>
              <w:pStyle w:val="Sansinterligne1"/>
              <w:jc w:val="center"/>
              <w:rPr>
                <w:rFonts w:ascii="Arial" w:hAnsi="Arial" w:cs="Arial"/>
                <w:sz w:val="20"/>
                <w:szCs w:val="20"/>
              </w:rPr>
            </w:pPr>
            <w:r>
              <w:rPr>
                <w:rFonts w:ascii="Arial" w:hAnsi="Arial" w:cs="Arial"/>
                <w:sz w:val="20"/>
                <w:szCs w:val="20"/>
              </w:rPr>
              <w:t>Placés</w:t>
            </w:r>
          </w:p>
        </w:tc>
        <w:tc>
          <w:tcPr>
            <w:tcW w:w="1509" w:type="dxa"/>
            <w:vAlign w:val="center"/>
          </w:tcPr>
          <w:p>
            <w:pPr>
              <w:pStyle w:val="Sansinterligne1"/>
              <w:jc w:val="center"/>
              <w:rPr>
                <w:rFonts w:ascii="Arial" w:hAnsi="Arial" w:cs="Arial"/>
                <w:sz w:val="20"/>
                <w:szCs w:val="20"/>
              </w:rPr>
            </w:pPr>
            <w:r>
              <w:rPr>
                <w:rFonts w:ascii="Arial" w:hAnsi="Arial" w:cs="Arial"/>
                <w:sz w:val="20"/>
                <w:szCs w:val="20"/>
              </w:rPr>
              <w:t>Total</w:t>
            </w:r>
          </w:p>
          <w:p>
            <w:pPr>
              <w:pStyle w:val="Sansinterligne1"/>
              <w:jc w:val="center"/>
              <w:rPr>
                <w:rFonts w:ascii="Arial" w:hAnsi="Arial" w:cs="Arial"/>
                <w:sz w:val="20"/>
                <w:szCs w:val="20"/>
              </w:rPr>
            </w:pPr>
            <w:r>
              <w:rPr>
                <w:rFonts w:ascii="Arial" w:hAnsi="Arial" w:cs="Arial"/>
                <w:sz w:val="20"/>
                <w:szCs w:val="20"/>
              </w:rPr>
              <w:t>(avec coefficient)</w:t>
            </w:r>
          </w:p>
        </w:tc>
        <w:tc>
          <w:tcPr>
            <w:tcW w:w="1510" w:type="dxa"/>
            <w:vAlign w:val="center"/>
          </w:tcPr>
          <w:p>
            <w:pPr>
              <w:pStyle w:val="Sansinterligne1"/>
              <w:jc w:val="center"/>
              <w:rPr>
                <w:rFonts w:ascii="Arial" w:hAnsi="Arial" w:cs="Arial"/>
                <w:sz w:val="20"/>
                <w:szCs w:val="20"/>
              </w:rPr>
            </w:pPr>
            <w:r>
              <w:rPr>
                <w:rFonts w:ascii="Arial" w:hAnsi="Arial" w:cs="Arial"/>
                <w:sz w:val="20"/>
                <w:szCs w:val="20"/>
              </w:rPr>
              <w:t>Emplois</w:t>
            </w:r>
          </w:p>
          <w:p>
            <w:pPr>
              <w:pStyle w:val="Sansinterligne1"/>
              <w:jc w:val="center"/>
              <w:rPr>
                <w:rFonts w:ascii="Arial" w:hAnsi="Arial" w:cs="Arial"/>
                <w:sz w:val="20"/>
                <w:szCs w:val="20"/>
              </w:rPr>
            </w:pPr>
            <w:r>
              <w:rPr>
                <w:rFonts w:ascii="Arial" w:hAnsi="Arial" w:cs="Arial"/>
                <w:sz w:val="20"/>
                <w:szCs w:val="20"/>
              </w:rPr>
              <w:t>obtenus</w:t>
            </w:r>
          </w:p>
        </w:tc>
      </w:tr>
      <w:tr>
        <w:trPr>
          <w:trHeight w:val="508"/>
        </w:trPr>
        <w:tc>
          <w:tcPr>
            <w:tcW w:w="2235" w:type="dxa"/>
            <w:vAlign w:val="center"/>
          </w:tcPr>
          <w:p>
            <w:pPr>
              <w:pStyle w:val="Sansinterligne1"/>
              <w:rPr>
                <w:rFonts w:ascii="Arial" w:hAnsi="Arial" w:cs="Arial"/>
                <w:sz w:val="20"/>
                <w:szCs w:val="20"/>
              </w:rPr>
            </w:pPr>
          </w:p>
        </w:tc>
        <w:tc>
          <w:tcPr>
            <w:tcW w:w="1509" w:type="dxa"/>
            <w:vAlign w:val="center"/>
          </w:tcPr>
          <w:p>
            <w:pPr>
              <w:pStyle w:val="Sansinterligne1"/>
              <w:rPr>
                <w:rFonts w:ascii="Arial" w:hAnsi="Arial" w:cs="Arial"/>
                <w:sz w:val="20"/>
                <w:szCs w:val="20"/>
              </w:rPr>
            </w:pPr>
          </w:p>
        </w:tc>
        <w:tc>
          <w:tcPr>
            <w:tcW w:w="1509" w:type="dxa"/>
            <w:vAlign w:val="center"/>
          </w:tcPr>
          <w:p>
            <w:pPr>
              <w:pStyle w:val="Sansinterligne1"/>
              <w:jc w:val="center"/>
              <w:rPr>
                <w:rFonts w:ascii="Arial" w:hAnsi="Arial" w:cs="Arial"/>
                <w:sz w:val="20"/>
                <w:szCs w:val="20"/>
              </w:rPr>
            </w:pPr>
          </w:p>
        </w:tc>
        <w:tc>
          <w:tcPr>
            <w:tcW w:w="1509" w:type="dxa"/>
            <w:vAlign w:val="center"/>
          </w:tcPr>
          <w:p>
            <w:pPr>
              <w:pStyle w:val="Sansinterligne1"/>
              <w:jc w:val="center"/>
              <w:rPr>
                <w:rFonts w:ascii="Arial" w:hAnsi="Arial" w:cs="Arial"/>
                <w:sz w:val="20"/>
                <w:szCs w:val="20"/>
              </w:rPr>
            </w:pPr>
          </w:p>
        </w:tc>
        <w:tc>
          <w:tcPr>
            <w:tcW w:w="1509" w:type="dxa"/>
            <w:vAlign w:val="center"/>
          </w:tcPr>
          <w:p>
            <w:pPr>
              <w:pStyle w:val="Sansinterligne1"/>
              <w:jc w:val="center"/>
              <w:rPr>
                <w:rFonts w:ascii="Arial" w:hAnsi="Arial" w:cs="Arial"/>
                <w:sz w:val="20"/>
                <w:szCs w:val="20"/>
              </w:rPr>
            </w:pPr>
          </w:p>
        </w:tc>
        <w:tc>
          <w:tcPr>
            <w:tcW w:w="1510" w:type="dxa"/>
            <w:vAlign w:val="center"/>
          </w:tcPr>
          <w:p>
            <w:pPr>
              <w:pStyle w:val="Sansinterligne1"/>
              <w:jc w:val="center"/>
              <w:rPr>
                <w:rFonts w:ascii="Arial" w:hAnsi="Arial" w:cs="Arial"/>
                <w:sz w:val="20"/>
                <w:szCs w:val="20"/>
              </w:rPr>
            </w:pPr>
          </w:p>
        </w:tc>
      </w:tr>
    </w:tbl>
    <w:p>
      <w:pPr>
        <w:pStyle w:val="Sansinterligne1"/>
        <w:rPr>
          <w:rFonts w:ascii="Arial" w:hAnsi="Arial" w:cs="Arial"/>
          <w:sz w:val="12"/>
          <w:szCs w:val="12"/>
        </w:rPr>
      </w:pPr>
    </w:p>
    <w:p>
      <w:pPr>
        <w:pStyle w:val="Sansinterligne1"/>
        <w:jc w:val="both"/>
        <w:rPr>
          <w:rFonts w:ascii="Arial" w:hAnsi="Arial" w:cs="Arial"/>
          <w:b/>
          <w:sz w:val="20"/>
          <w:szCs w:val="20"/>
        </w:rPr>
      </w:pPr>
      <w:r>
        <w:rPr>
          <w:rFonts w:ascii="Arial" w:hAnsi="Arial" w:cs="Arial"/>
          <w:b/>
          <w:sz w:val="20"/>
          <w:szCs w:val="20"/>
        </w:rPr>
        <w:t>Signature du Pouvoir organisateur (OS – LS) ou du Directeur d’école (FWB)</w:t>
      </w:r>
      <w:r>
        <w:rPr>
          <w:rStyle w:val="Appelnotedebasdep"/>
          <w:b/>
          <w:sz w:val="20"/>
          <w:szCs w:val="20"/>
        </w:rPr>
        <w:footnoteReference w:id="102"/>
      </w:r>
      <w:r>
        <w:rPr>
          <w:rFonts w:ascii="Arial" w:hAnsi="Arial" w:cs="Arial"/>
          <w:b/>
          <w:sz w:val="20"/>
          <w:szCs w:val="20"/>
        </w:rPr>
        <w:t>:</w:t>
      </w:r>
    </w:p>
    <w:p>
      <w:pPr>
        <w:pStyle w:val="Sansinterligne1"/>
        <w:jc w:val="both"/>
        <w:rPr>
          <w:rFonts w:ascii="Arial" w:hAnsi="Arial" w:cs="Arial"/>
          <w:b/>
          <w:sz w:val="8"/>
          <w:szCs w:val="8"/>
        </w:rPr>
      </w:pPr>
    </w:p>
    <w:p>
      <w:pPr>
        <w:pStyle w:val="Sansinterligne1"/>
        <w:jc w:val="both"/>
        <w:rPr>
          <w:rFonts w:ascii="Arial" w:hAnsi="Arial" w:cs="Arial"/>
          <w:b/>
          <w:sz w:val="8"/>
          <w:szCs w:val="8"/>
        </w:rPr>
      </w:pPr>
    </w:p>
    <w:tbl>
      <w:tblPr>
        <w:tblW w:w="0" w:type="auto"/>
        <w:tblBorders>
          <w:top w:val="single" w:sz="4" w:space="0" w:color="auto"/>
        </w:tblBorders>
        <w:tblLook w:val="01E0" w:firstRow="1" w:lastRow="1" w:firstColumn="1" w:lastColumn="1" w:noHBand="0" w:noVBand="0"/>
      </w:tblPr>
      <w:tblGrid>
        <w:gridCol w:w="4626"/>
        <w:gridCol w:w="4660"/>
      </w:tblGrid>
      <w:tr>
        <w:tc>
          <w:tcPr>
            <w:tcW w:w="4889" w:type="dxa"/>
          </w:tcPr>
          <w:p>
            <w:pPr>
              <w:pStyle w:val="Sansinterligne1"/>
              <w:spacing w:before="120"/>
              <w:jc w:val="both"/>
              <w:rPr>
                <w:rFonts w:ascii="Arial" w:hAnsi="Arial" w:cs="Arial"/>
                <w:b/>
                <w:sz w:val="20"/>
                <w:szCs w:val="20"/>
              </w:rPr>
            </w:pPr>
            <w:r>
              <w:rPr>
                <w:rFonts w:ascii="Arial" w:hAnsi="Arial" w:cs="Arial"/>
                <w:b/>
                <w:sz w:val="20"/>
                <w:szCs w:val="20"/>
              </w:rPr>
              <w:t>Date:</w:t>
            </w:r>
          </w:p>
        </w:tc>
        <w:tc>
          <w:tcPr>
            <w:tcW w:w="4889" w:type="dxa"/>
          </w:tcPr>
          <w:p>
            <w:pPr>
              <w:pStyle w:val="Sansinterligne1"/>
              <w:spacing w:before="120"/>
              <w:jc w:val="both"/>
              <w:rPr>
                <w:rFonts w:ascii="Arial" w:hAnsi="Arial" w:cs="Arial"/>
                <w:b/>
                <w:sz w:val="20"/>
                <w:szCs w:val="20"/>
              </w:rPr>
            </w:pPr>
            <w:r>
              <w:rPr>
                <w:rFonts w:ascii="Arial" w:hAnsi="Arial" w:cs="Arial"/>
                <w:b/>
                <w:sz w:val="20"/>
                <w:szCs w:val="20"/>
              </w:rPr>
              <w:t>Nom (en majuscule) et signature:</w:t>
            </w:r>
          </w:p>
        </w:tc>
      </w:tr>
    </w:tbl>
    <w:p>
      <w:pPr>
        <w:pStyle w:val="Sansinterligne1"/>
        <w:jc w:val="both"/>
        <w:rPr>
          <w:rFonts w:ascii="Arial" w:hAnsi="Arial" w:cs="Arial"/>
          <w:b/>
          <w:sz w:val="16"/>
          <w:szCs w:val="16"/>
        </w:rPr>
      </w:pP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p>
    <w:p>
      <w:pPr>
        <w:pStyle w:val="annexe"/>
      </w:pPr>
      <w:r>
        <w:br w:type="page"/>
      </w:r>
      <w:bookmarkStart w:id="2252" w:name="annexe3_4_4"/>
      <w:bookmarkStart w:id="2253" w:name="_Toc423420208"/>
      <w:bookmarkStart w:id="2254" w:name="_Toc450645457"/>
      <w:bookmarkStart w:id="2255" w:name="_Toc453942696"/>
      <w:bookmarkStart w:id="2256" w:name="_Toc454888312"/>
      <w:bookmarkStart w:id="2257" w:name="_Toc486241930"/>
      <w:r>
        <w:t xml:space="preserve">Annexe 3.4.4. </w:t>
      </w:r>
      <w:bookmarkEnd w:id="2252"/>
      <w:r>
        <w:t>Enseignement primaire – Demande d’encadrement complémentaire au 1</w:t>
      </w:r>
      <w:r>
        <w:rPr>
          <w:vertAlign w:val="superscript"/>
        </w:rPr>
        <w:t>er</w:t>
      </w:r>
      <w:r>
        <w:t xml:space="preserve"> septembre 2017 (26 périodes par classe primaire supplémentaire)</w:t>
      </w:r>
      <w:bookmarkEnd w:id="2253"/>
      <w:bookmarkEnd w:id="2254"/>
      <w:bookmarkEnd w:id="2255"/>
      <w:bookmarkEnd w:id="2256"/>
      <w:bookmarkEnd w:id="2257"/>
    </w:p>
    <w:p>
      <w:pPr>
        <w:rPr>
          <w:i/>
          <w:sz w:val="16"/>
          <w:szCs w:val="16"/>
        </w:rPr>
      </w:pPr>
    </w:p>
    <w:tbl>
      <w:tblPr>
        <w:tblW w:w="9540" w:type="dxa"/>
        <w:tblLook w:val="01E0" w:firstRow="1" w:lastRow="1" w:firstColumn="1" w:lastColumn="1" w:noHBand="0" w:noVBand="0"/>
      </w:tblPr>
      <w:tblGrid>
        <w:gridCol w:w="3794"/>
        <w:gridCol w:w="5746"/>
      </w:tblGrid>
      <w:tr>
        <w:trPr>
          <w:trHeight w:hRule="exact" w:val="659"/>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ansinterligne1"/>
              <w:spacing w:after="120"/>
              <w:jc w:val="center"/>
              <w:rPr>
                <w:rFonts w:ascii="Arial" w:hAnsi="Arial" w:cs="Arial"/>
                <w:b/>
                <w:sz w:val="20"/>
                <w:szCs w:val="20"/>
              </w:rPr>
            </w:pPr>
            <w:r>
              <w:rPr>
                <w:rFonts w:ascii="Arial" w:hAnsi="Arial" w:cs="Arial"/>
                <w:b/>
                <w:sz w:val="20"/>
                <w:szCs w:val="20"/>
              </w:rPr>
              <w:t>Année scolaire 2017-2018</w:t>
            </w:r>
          </w:p>
        </w:tc>
        <w:tc>
          <w:tcPr>
            <w:tcW w:w="5746"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ansinterligne1"/>
              <w:spacing w:after="120"/>
              <w:jc w:val="center"/>
              <w:rPr>
                <w:rFonts w:ascii="Arial" w:hAnsi="Arial" w:cs="Arial"/>
                <w:b/>
                <w:sz w:val="20"/>
                <w:szCs w:val="20"/>
              </w:rPr>
            </w:pPr>
            <w:r>
              <w:rPr>
                <w:rFonts w:ascii="Arial" w:hAnsi="Arial" w:cs="Arial"/>
                <w:b/>
                <w:sz w:val="20"/>
                <w:szCs w:val="20"/>
              </w:rPr>
              <w:t>Date limite de renvoi : Mardi 5 septembre 2017</w:t>
            </w:r>
          </w:p>
        </w:tc>
      </w:tr>
    </w:tbl>
    <w:p>
      <w:pPr>
        <w:pStyle w:val="Sansinterligne1"/>
        <w:spacing w:before="120"/>
        <w:jc w:val="both"/>
        <w:rPr>
          <w:rFonts w:ascii="Arial" w:hAnsi="Arial" w:cs="Arial"/>
          <w:sz w:val="20"/>
          <w:szCs w:val="20"/>
        </w:rPr>
      </w:pPr>
      <w:r>
        <w:rPr>
          <w:rFonts w:ascii="Arial" w:hAnsi="Arial" w:cs="Arial"/>
          <w:sz w:val="20"/>
          <w:szCs w:val="20"/>
        </w:rPr>
        <w:t xml:space="preserve">Demande introduite par implantation </w:t>
      </w:r>
      <w:r>
        <w:rPr>
          <w:rFonts w:ascii="Arial" w:hAnsi="Arial" w:cs="Arial"/>
          <w:b/>
          <w:i/>
          <w:sz w:val="20"/>
          <w:szCs w:val="20"/>
          <w:u w:val="single"/>
        </w:rPr>
        <w:t>si les quatre conditions ci-dessous sont remplies</w:t>
      </w:r>
      <w:r>
        <w:rPr>
          <w:rFonts w:ascii="Arial" w:hAnsi="Arial" w:cs="Arial"/>
          <w:sz w:val="20"/>
          <w:szCs w:val="20"/>
        </w:rPr>
        <w:t> :</w:t>
      </w:r>
    </w:p>
    <w:p>
      <w:pPr>
        <w:pStyle w:val="Sansinterligne1"/>
        <w:numPr>
          <w:ilvl w:val="0"/>
          <w:numId w:val="150"/>
        </w:numPr>
        <w:tabs>
          <w:tab w:val="clear" w:pos="720"/>
          <w:tab w:val="num" w:pos="360"/>
        </w:tabs>
        <w:ind w:left="360" w:hanging="180"/>
        <w:jc w:val="both"/>
        <w:rPr>
          <w:rFonts w:ascii="Arial" w:hAnsi="Arial" w:cs="Arial"/>
          <w:sz w:val="20"/>
          <w:szCs w:val="20"/>
        </w:rPr>
      </w:pPr>
      <w:r>
        <w:rPr>
          <w:rFonts w:ascii="Arial" w:hAnsi="Arial" w:cs="Arial"/>
          <w:sz w:val="20"/>
          <w:szCs w:val="20"/>
        </w:rPr>
        <w:t xml:space="preserve">l’implantation concernée est située dans une des communes à tension démographique reprises dans l’annexe 3.4.5. ; </w:t>
      </w:r>
    </w:p>
    <w:p>
      <w:pPr>
        <w:pStyle w:val="Sansinterligne1"/>
        <w:numPr>
          <w:ilvl w:val="0"/>
          <w:numId w:val="150"/>
        </w:numPr>
        <w:tabs>
          <w:tab w:val="clear" w:pos="720"/>
          <w:tab w:val="num" w:pos="360"/>
        </w:tabs>
        <w:ind w:left="360" w:hanging="180"/>
        <w:jc w:val="both"/>
        <w:rPr>
          <w:rFonts w:ascii="Arial" w:hAnsi="Arial" w:cs="Arial"/>
          <w:sz w:val="20"/>
          <w:szCs w:val="20"/>
        </w:rPr>
      </w:pPr>
      <w:r>
        <w:rPr>
          <w:rFonts w:ascii="Arial" w:hAnsi="Arial" w:cs="Arial"/>
          <w:sz w:val="20"/>
          <w:szCs w:val="20"/>
        </w:rPr>
        <w:t>dans l’implantation concernée, le nombre d’élèves primaires au 30/09/2017 d’une année d’étude, est supérieur d’au moins 22 élèves par rapport au nombre d’élèves au 15/01/2017 de la même année d’étude ;</w:t>
      </w:r>
    </w:p>
    <w:p>
      <w:pPr>
        <w:pStyle w:val="Sansinterligne1"/>
        <w:numPr>
          <w:ilvl w:val="0"/>
          <w:numId w:val="150"/>
        </w:numPr>
        <w:tabs>
          <w:tab w:val="clear" w:pos="720"/>
          <w:tab w:val="num" w:pos="360"/>
        </w:tabs>
        <w:ind w:left="360" w:hanging="180"/>
        <w:jc w:val="both"/>
        <w:rPr>
          <w:rFonts w:ascii="Arial" w:hAnsi="Arial" w:cs="Arial"/>
          <w:sz w:val="20"/>
          <w:szCs w:val="20"/>
        </w:rPr>
      </w:pPr>
      <w:r>
        <w:rPr>
          <w:rFonts w:ascii="Arial" w:hAnsi="Arial" w:cs="Arial"/>
          <w:sz w:val="20"/>
          <w:szCs w:val="20"/>
        </w:rPr>
        <w:t xml:space="preserve">l’augmentation du nombre d’élèves susvisées ne résulte pas d’une restructuration (Arrêté Royal du 2 août 1984) ; </w:t>
      </w:r>
    </w:p>
    <w:p>
      <w:pPr>
        <w:pStyle w:val="Sansinterligne1"/>
        <w:numPr>
          <w:ilvl w:val="0"/>
          <w:numId w:val="150"/>
        </w:numPr>
        <w:tabs>
          <w:tab w:val="clear" w:pos="720"/>
          <w:tab w:val="num" w:pos="360"/>
        </w:tabs>
        <w:ind w:left="360" w:hanging="180"/>
        <w:jc w:val="both"/>
        <w:rPr>
          <w:rFonts w:ascii="Arial" w:hAnsi="Arial" w:cs="Arial"/>
          <w:sz w:val="20"/>
          <w:szCs w:val="20"/>
        </w:rPr>
      </w:pPr>
      <w:r>
        <w:rPr>
          <w:rFonts w:ascii="Arial" w:hAnsi="Arial" w:cs="Arial"/>
          <w:sz w:val="20"/>
          <w:szCs w:val="20"/>
        </w:rPr>
        <w:t>l’implantation concernée ne sollicite pas de périodes complémentaires en cas d’augmentation de 10% de sa population scolaire (disposition du Décret du 03/05/2012).</w:t>
      </w:r>
    </w:p>
    <w:p>
      <w:pPr>
        <w:pStyle w:val="Sansinterligne1"/>
        <w:ind w:left="180"/>
        <w:jc w:val="both"/>
        <w:rPr>
          <w:rFonts w:ascii="Arial" w:hAnsi="Arial" w:cs="Arial"/>
          <w:sz w:val="16"/>
          <w:szCs w:val="16"/>
        </w:rPr>
      </w:pPr>
    </w:p>
    <w:tbl>
      <w:tblPr>
        <w:tblW w:w="9072" w:type="dxa"/>
        <w:tblLook w:val="01E0" w:firstRow="1" w:lastRow="1" w:firstColumn="1" w:lastColumn="1" w:noHBand="0" w:noVBand="0"/>
      </w:tblPr>
      <w:tblGrid>
        <w:gridCol w:w="4227"/>
        <w:gridCol w:w="4845"/>
      </w:tblGrid>
      <w:tr>
        <w:trPr>
          <w:trHeight w:val="1085"/>
        </w:trPr>
        <w:tc>
          <w:tcPr>
            <w:tcW w:w="4227" w:type="dxa"/>
            <w:tcBorders>
              <w:bottom w:val="single" w:sz="4" w:space="0" w:color="auto"/>
            </w:tcBorders>
            <w:shd w:val="clear" w:color="auto" w:fill="auto"/>
          </w:tcPr>
          <w:p>
            <w:pPr>
              <w:pStyle w:val="Sansinterligne1"/>
              <w:spacing w:before="120" w:after="200" w:line="276" w:lineRule="auto"/>
              <w:rPr>
                <w:rFonts w:ascii="Arial" w:hAnsi="Arial" w:cs="Arial"/>
                <w:sz w:val="20"/>
                <w:szCs w:val="20"/>
              </w:rPr>
            </w:pPr>
            <w:r>
              <w:rPr>
                <w:rFonts w:ascii="Arial" w:hAnsi="Arial" w:cs="Arial"/>
                <w:sz w:val="20"/>
                <w:szCs w:val="20"/>
              </w:rPr>
              <w:t>Elle est envoyée  à l’adresse suivante :</w:t>
            </w:r>
          </w:p>
        </w:tc>
        <w:tc>
          <w:tcPr>
            <w:tcW w:w="4845" w:type="dxa"/>
            <w:tcBorders>
              <w:bottom w:val="single" w:sz="4" w:space="0" w:color="auto"/>
            </w:tcBorders>
            <w:shd w:val="clear" w:color="auto" w:fill="auto"/>
          </w:tcPr>
          <w:p>
            <w:pPr>
              <w:pStyle w:val="Sansinterligne1"/>
              <w:spacing w:before="120"/>
              <w:jc w:val="center"/>
              <w:rPr>
                <w:rFonts w:ascii="Arial" w:hAnsi="Arial" w:cs="Arial"/>
                <w:i/>
                <w:sz w:val="20"/>
                <w:szCs w:val="20"/>
              </w:rPr>
            </w:pPr>
            <w:r>
              <w:rPr>
                <w:rFonts w:ascii="Arial" w:hAnsi="Arial" w:cs="Arial"/>
                <w:i/>
                <w:sz w:val="20"/>
                <w:szCs w:val="20"/>
              </w:rPr>
              <w:t>Direction générale de l’Enseignement obligatoire</w:t>
            </w:r>
          </w:p>
          <w:p>
            <w:pPr>
              <w:pStyle w:val="Sansinterligne1"/>
              <w:jc w:val="center"/>
              <w:rPr>
                <w:rFonts w:ascii="Arial" w:hAnsi="Arial" w:cs="Arial"/>
                <w:i/>
                <w:sz w:val="20"/>
                <w:szCs w:val="20"/>
              </w:rPr>
            </w:pPr>
            <w:r>
              <w:rPr>
                <w:rFonts w:ascii="Arial" w:hAnsi="Arial" w:cs="Arial"/>
                <w:i/>
                <w:sz w:val="20"/>
                <w:szCs w:val="20"/>
              </w:rPr>
              <w:t>Bureau 2F211</w:t>
            </w:r>
          </w:p>
          <w:p>
            <w:pPr>
              <w:pStyle w:val="Sansinterligne1"/>
              <w:spacing w:after="120"/>
              <w:jc w:val="center"/>
              <w:rPr>
                <w:rFonts w:ascii="Arial" w:hAnsi="Arial" w:cs="Arial"/>
                <w:i/>
                <w:sz w:val="20"/>
                <w:szCs w:val="20"/>
              </w:rPr>
            </w:pPr>
            <w:r>
              <w:rPr>
                <w:rFonts w:ascii="Arial" w:hAnsi="Arial" w:cs="Arial"/>
                <w:i/>
                <w:sz w:val="20"/>
                <w:szCs w:val="20"/>
              </w:rPr>
              <w:t>Rue Adolphe Lavallée, 1- 1080 Bruxelles</w:t>
            </w:r>
          </w:p>
        </w:tc>
      </w:tr>
      <w:tr>
        <w:trPr>
          <w:trHeight w:val="370"/>
        </w:trPr>
        <w:tc>
          <w:tcPr>
            <w:tcW w:w="9072" w:type="dxa"/>
            <w:gridSpan w:val="2"/>
            <w:tcBorders>
              <w:top w:val="single" w:sz="4" w:space="0" w:color="auto"/>
              <w:left w:val="single" w:sz="4" w:space="0" w:color="auto"/>
              <w:bottom w:val="single" w:sz="4" w:space="0" w:color="auto"/>
              <w:right w:val="single" w:sz="4" w:space="0" w:color="auto"/>
            </w:tcBorders>
            <w:shd w:val="clear" w:color="auto" w:fill="auto"/>
          </w:tcPr>
          <w:p>
            <w:pPr>
              <w:pStyle w:val="Sansinterligne1"/>
              <w:spacing w:before="120" w:after="120"/>
              <w:jc w:val="center"/>
              <w:rPr>
                <w:rFonts w:ascii="Arial" w:hAnsi="Arial" w:cs="Arial"/>
                <w:sz w:val="20"/>
                <w:szCs w:val="20"/>
              </w:rPr>
            </w:pPr>
            <w:r>
              <w:rPr>
                <w:rFonts w:ascii="Arial" w:hAnsi="Arial" w:cs="Arial"/>
                <w:b/>
                <w:sz w:val="20"/>
                <w:szCs w:val="20"/>
              </w:rPr>
              <w:t>Attention : un formulaire de demande par implantation et par année d’étude</w:t>
            </w:r>
          </w:p>
        </w:tc>
      </w:tr>
    </w:tbl>
    <w:p>
      <w:pPr>
        <w:pStyle w:val="Sansinterligne1"/>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6"/>
      </w:tblGrid>
      <w:tr>
        <w:tc>
          <w:tcPr>
            <w:tcW w:w="9778" w:type="dxa"/>
            <w:shd w:val="clear" w:color="auto" w:fill="auto"/>
            <w:vAlign w:val="center"/>
          </w:tcPr>
          <w:p>
            <w:pPr>
              <w:pStyle w:val="Sansinterligne1"/>
              <w:spacing w:before="120" w:after="120"/>
              <w:rPr>
                <w:rFonts w:ascii="Arial" w:hAnsi="Arial" w:cs="Arial"/>
                <w:b/>
                <w:sz w:val="20"/>
                <w:szCs w:val="20"/>
              </w:rPr>
            </w:pPr>
            <w:r>
              <w:rPr>
                <w:rFonts w:ascii="Arial" w:hAnsi="Arial" w:cs="Arial"/>
                <w:b/>
                <w:sz w:val="20"/>
                <w:szCs w:val="20"/>
              </w:rPr>
              <w:t>Commune concernée :</w:t>
            </w:r>
          </w:p>
        </w:tc>
      </w:tr>
    </w:tbl>
    <w:p>
      <w:pPr>
        <w:pStyle w:val="Sansinterligne1"/>
        <w:rPr>
          <w:rFonts w:ascii="Arial" w:hAnsi="Arial" w:cs="Arial"/>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2374"/>
      </w:tblGrid>
      <w:tr>
        <w:tc>
          <w:tcPr>
            <w:tcW w:w="7308" w:type="dxa"/>
            <w:shd w:val="clear" w:color="auto" w:fill="auto"/>
            <w:vAlign w:val="center"/>
          </w:tcPr>
          <w:p>
            <w:pPr>
              <w:pStyle w:val="Sansinterligne1"/>
              <w:spacing w:before="120" w:after="120"/>
              <w:rPr>
                <w:rFonts w:ascii="Arial" w:hAnsi="Arial" w:cs="Arial"/>
                <w:b/>
                <w:sz w:val="20"/>
                <w:szCs w:val="20"/>
              </w:rPr>
            </w:pPr>
            <w:r>
              <w:rPr>
                <w:rFonts w:ascii="Arial" w:hAnsi="Arial" w:cs="Arial"/>
                <w:b/>
                <w:sz w:val="20"/>
                <w:szCs w:val="20"/>
              </w:rPr>
              <w:t>Ecole :</w:t>
            </w:r>
          </w:p>
        </w:tc>
        <w:tc>
          <w:tcPr>
            <w:tcW w:w="2470" w:type="dxa"/>
            <w:shd w:val="clear" w:color="auto" w:fill="auto"/>
            <w:vAlign w:val="center"/>
          </w:tcPr>
          <w:p>
            <w:pPr>
              <w:pStyle w:val="Sansinterligne1"/>
              <w:spacing w:before="120" w:after="120"/>
              <w:rPr>
                <w:rFonts w:ascii="Arial" w:hAnsi="Arial" w:cs="Arial"/>
                <w:b/>
                <w:sz w:val="20"/>
                <w:szCs w:val="20"/>
              </w:rPr>
            </w:pPr>
            <w:r>
              <w:rPr>
                <w:rFonts w:ascii="Arial" w:hAnsi="Arial" w:cs="Arial"/>
                <w:b/>
                <w:sz w:val="20"/>
                <w:szCs w:val="20"/>
              </w:rPr>
              <w:t>N° FASE :</w:t>
            </w:r>
          </w:p>
        </w:tc>
      </w:tr>
      <w:tr>
        <w:trPr>
          <w:trHeight w:val="567"/>
        </w:trPr>
        <w:tc>
          <w:tcPr>
            <w:tcW w:w="9778" w:type="dxa"/>
            <w:gridSpan w:val="2"/>
            <w:shd w:val="clear" w:color="auto" w:fill="auto"/>
          </w:tcPr>
          <w:p>
            <w:pPr>
              <w:pStyle w:val="Sansinterligne1"/>
              <w:spacing w:after="360"/>
              <w:rPr>
                <w:rFonts w:ascii="Arial" w:hAnsi="Arial" w:cs="Arial"/>
                <w:b/>
                <w:sz w:val="20"/>
                <w:szCs w:val="20"/>
              </w:rPr>
            </w:pPr>
            <w:r>
              <w:rPr>
                <w:rFonts w:ascii="Arial" w:hAnsi="Arial" w:cs="Arial"/>
                <w:sz w:val="20"/>
                <w:szCs w:val="20"/>
              </w:rPr>
              <w:t>Siège administratif (rue, n°, code postal et localité) :</w:t>
            </w:r>
          </w:p>
        </w:tc>
      </w:tr>
    </w:tbl>
    <w:p>
      <w:pPr>
        <w:pStyle w:val="Sansinterligne1"/>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23"/>
        <w:gridCol w:w="2363"/>
      </w:tblGrid>
      <w:tr>
        <w:tc>
          <w:tcPr>
            <w:tcW w:w="7308" w:type="dxa"/>
            <w:shd w:val="clear" w:color="auto" w:fill="auto"/>
            <w:vAlign w:val="center"/>
          </w:tcPr>
          <w:p>
            <w:pPr>
              <w:pStyle w:val="Sansinterligne1"/>
              <w:spacing w:before="120" w:after="120"/>
              <w:rPr>
                <w:rFonts w:ascii="Arial" w:hAnsi="Arial" w:cs="Arial"/>
                <w:b/>
                <w:sz w:val="20"/>
                <w:szCs w:val="20"/>
              </w:rPr>
            </w:pPr>
            <w:r>
              <w:rPr>
                <w:rFonts w:ascii="Arial" w:hAnsi="Arial" w:cs="Arial"/>
                <w:b/>
                <w:sz w:val="20"/>
                <w:szCs w:val="20"/>
              </w:rPr>
              <w:t>Implantation :</w:t>
            </w:r>
          </w:p>
        </w:tc>
        <w:tc>
          <w:tcPr>
            <w:tcW w:w="2470" w:type="dxa"/>
            <w:shd w:val="clear" w:color="auto" w:fill="auto"/>
            <w:vAlign w:val="center"/>
          </w:tcPr>
          <w:p>
            <w:pPr>
              <w:pStyle w:val="Sansinterligne1"/>
              <w:spacing w:before="120" w:after="120"/>
              <w:rPr>
                <w:rFonts w:ascii="Arial" w:hAnsi="Arial" w:cs="Arial"/>
                <w:b/>
                <w:sz w:val="20"/>
                <w:szCs w:val="20"/>
              </w:rPr>
            </w:pPr>
            <w:r>
              <w:rPr>
                <w:rFonts w:ascii="Arial" w:hAnsi="Arial" w:cs="Arial"/>
                <w:b/>
                <w:sz w:val="20"/>
                <w:szCs w:val="20"/>
              </w:rPr>
              <w:t>N° FASE :</w:t>
            </w:r>
          </w:p>
        </w:tc>
      </w:tr>
      <w:tr>
        <w:trPr>
          <w:trHeight w:val="736"/>
        </w:trPr>
        <w:tc>
          <w:tcPr>
            <w:tcW w:w="9778" w:type="dxa"/>
            <w:gridSpan w:val="2"/>
            <w:shd w:val="clear" w:color="auto" w:fill="auto"/>
          </w:tcPr>
          <w:p>
            <w:pPr>
              <w:pStyle w:val="Sansinterligne1"/>
              <w:spacing w:after="360"/>
              <w:rPr>
                <w:rFonts w:ascii="Arial" w:hAnsi="Arial" w:cs="Arial"/>
                <w:b/>
                <w:sz w:val="20"/>
                <w:szCs w:val="20"/>
              </w:rPr>
            </w:pPr>
            <w:r>
              <w:rPr>
                <w:rFonts w:ascii="Arial" w:hAnsi="Arial" w:cs="Arial"/>
                <w:sz w:val="20"/>
                <w:szCs w:val="20"/>
              </w:rPr>
              <w:t>Adresse complète de l’implantation (rue, n°, code postal et localité) :</w:t>
            </w:r>
          </w:p>
        </w:tc>
      </w:tr>
    </w:tbl>
    <w:p>
      <w:pPr>
        <w:pStyle w:val="Sansinterligne1"/>
        <w:spacing w:before="120" w:after="120"/>
        <w:rPr>
          <w:rFonts w:ascii="Arial" w:hAnsi="Arial" w:cs="Arial"/>
          <w:i/>
          <w:sz w:val="20"/>
          <w:szCs w:val="20"/>
        </w:rPr>
      </w:pPr>
      <w:r>
        <w:rPr>
          <w:rFonts w:ascii="Arial" w:hAnsi="Arial" w:cs="Arial"/>
          <w:b/>
          <w:i/>
          <w:sz w:val="20"/>
          <w:szCs w:val="20"/>
        </w:rPr>
        <w:t>Calcul du nombre de périodes demandées</w:t>
      </w:r>
      <w:r>
        <w:rPr>
          <w:rFonts w:ascii="Arial" w:hAnsi="Arial" w:cs="Arial"/>
          <w:i/>
          <w:sz w:val="20"/>
          <w:szCs w:val="2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697"/>
        <w:gridCol w:w="1128"/>
      </w:tblGrid>
      <w:tr>
        <w:trPr>
          <w:trHeight w:val="510"/>
        </w:trPr>
        <w:tc>
          <w:tcPr>
            <w:tcW w:w="468" w:type="dxa"/>
            <w:vAlign w:val="center"/>
          </w:tcPr>
          <w:p>
            <w:pPr>
              <w:pStyle w:val="Sansinterligne1"/>
              <w:jc w:val="center"/>
              <w:rPr>
                <w:rFonts w:ascii="Arial" w:hAnsi="Arial" w:cs="Arial"/>
                <w:sz w:val="20"/>
                <w:szCs w:val="20"/>
              </w:rPr>
            </w:pPr>
            <w:r>
              <w:rPr>
                <w:rFonts w:ascii="Arial" w:hAnsi="Arial" w:cs="Arial"/>
                <w:sz w:val="20"/>
                <w:szCs w:val="20"/>
              </w:rPr>
              <w:t>A</w:t>
            </w:r>
          </w:p>
        </w:tc>
        <w:tc>
          <w:tcPr>
            <w:tcW w:w="8108" w:type="dxa"/>
            <w:vAlign w:val="center"/>
          </w:tcPr>
          <w:p>
            <w:pPr>
              <w:pStyle w:val="Sansinterligne1"/>
              <w:rPr>
                <w:rFonts w:ascii="Arial" w:hAnsi="Arial" w:cs="Arial"/>
                <w:sz w:val="20"/>
                <w:szCs w:val="20"/>
              </w:rPr>
            </w:pPr>
            <w:r>
              <w:rPr>
                <w:rFonts w:ascii="Arial" w:hAnsi="Arial" w:cs="Arial"/>
                <w:sz w:val="20"/>
                <w:szCs w:val="20"/>
              </w:rPr>
              <w:t>Nombre d’élèves physiques</w:t>
            </w:r>
            <w:r>
              <w:rPr>
                <w:rStyle w:val="Appelnotedebasdep"/>
                <w:rFonts w:ascii="Arial" w:hAnsi="Arial" w:cs="Arial"/>
                <w:b/>
                <w:sz w:val="20"/>
                <w:szCs w:val="20"/>
              </w:rPr>
              <w:footnoteReference w:id="103"/>
            </w:r>
            <w:r>
              <w:rPr>
                <w:rFonts w:ascii="Arial" w:hAnsi="Arial" w:cs="Arial"/>
                <w:sz w:val="20"/>
                <w:szCs w:val="20"/>
              </w:rPr>
              <w:t xml:space="preserve"> en …. primaire</w:t>
            </w:r>
            <w:r>
              <w:rPr>
                <w:rStyle w:val="Appelnotedebasdep"/>
                <w:rFonts w:ascii="Arial" w:hAnsi="Arial" w:cs="Arial"/>
                <w:sz w:val="20"/>
                <w:szCs w:val="20"/>
              </w:rPr>
              <w:footnoteReference w:id="104"/>
            </w:r>
            <w:r>
              <w:rPr>
                <w:rFonts w:ascii="Arial" w:hAnsi="Arial" w:cs="Arial"/>
                <w:sz w:val="20"/>
                <w:szCs w:val="20"/>
              </w:rPr>
              <w:t xml:space="preserve"> au 15/01/2017 </w:t>
            </w:r>
          </w:p>
        </w:tc>
        <w:tc>
          <w:tcPr>
            <w:tcW w:w="1191" w:type="dxa"/>
            <w:vAlign w:val="center"/>
          </w:tcPr>
          <w:p>
            <w:pPr>
              <w:pStyle w:val="Sansinterligne1"/>
              <w:jc w:val="center"/>
              <w:rPr>
                <w:rFonts w:ascii="Arial" w:hAnsi="Arial" w:cs="Arial"/>
                <w:sz w:val="20"/>
                <w:szCs w:val="20"/>
              </w:rPr>
            </w:pPr>
          </w:p>
        </w:tc>
      </w:tr>
      <w:tr>
        <w:trPr>
          <w:trHeight w:val="510"/>
        </w:trPr>
        <w:tc>
          <w:tcPr>
            <w:tcW w:w="468" w:type="dxa"/>
            <w:vAlign w:val="center"/>
          </w:tcPr>
          <w:p>
            <w:pPr>
              <w:pStyle w:val="Sansinterligne1"/>
              <w:jc w:val="center"/>
              <w:rPr>
                <w:rFonts w:ascii="Arial" w:hAnsi="Arial" w:cs="Arial"/>
                <w:sz w:val="20"/>
                <w:szCs w:val="20"/>
              </w:rPr>
            </w:pPr>
            <w:r>
              <w:rPr>
                <w:rFonts w:ascii="Arial" w:hAnsi="Arial" w:cs="Arial"/>
                <w:sz w:val="20"/>
                <w:szCs w:val="20"/>
              </w:rPr>
              <w:t>B</w:t>
            </w:r>
          </w:p>
        </w:tc>
        <w:tc>
          <w:tcPr>
            <w:tcW w:w="8108" w:type="dxa"/>
            <w:vAlign w:val="center"/>
          </w:tcPr>
          <w:p>
            <w:pPr>
              <w:pStyle w:val="Sansinterligne1"/>
              <w:rPr>
                <w:rFonts w:ascii="Arial" w:hAnsi="Arial" w:cs="Arial"/>
                <w:sz w:val="20"/>
                <w:szCs w:val="20"/>
              </w:rPr>
            </w:pPr>
            <w:r>
              <w:rPr>
                <w:rFonts w:ascii="Arial" w:hAnsi="Arial" w:cs="Arial"/>
                <w:sz w:val="20"/>
                <w:szCs w:val="20"/>
              </w:rPr>
              <w:t>Nombre d’élèves physiques en …. primaire au 30/09/2017</w:t>
            </w:r>
          </w:p>
        </w:tc>
        <w:tc>
          <w:tcPr>
            <w:tcW w:w="1191" w:type="dxa"/>
            <w:vAlign w:val="center"/>
          </w:tcPr>
          <w:p>
            <w:pPr>
              <w:pStyle w:val="Sansinterligne1"/>
              <w:jc w:val="center"/>
              <w:rPr>
                <w:rFonts w:ascii="Arial" w:hAnsi="Arial" w:cs="Arial"/>
                <w:sz w:val="20"/>
                <w:szCs w:val="20"/>
              </w:rPr>
            </w:pPr>
          </w:p>
        </w:tc>
      </w:tr>
      <w:tr>
        <w:trPr>
          <w:trHeight w:val="510"/>
        </w:trPr>
        <w:tc>
          <w:tcPr>
            <w:tcW w:w="468" w:type="dxa"/>
            <w:vAlign w:val="center"/>
          </w:tcPr>
          <w:p>
            <w:pPr>
              <w:pStyle w:val="Sansinterligne1"/>
              <w:jc w:val="center"/>
              <w:rPr>
                <w:rFonts w:ascii="Arial" w:hAnsi="Arial" w:cs="Arial"/>
                <w:sz w:val="20"/>
                <w:szCs w:val="20"/>
              </w:rPr>
            </w:pPr>
            <w:r>
              <w:rPr>
                <w:rFonts w:ascii="Arial" w:hAnsi="Arial" w:cs="Arial"/>
                <w:sz w:val="20"/>
                <w:szCs w:val="20"/>
              </w:rPr>
              <w:t>C</w:t>
            </w:r>
          </w:p>
        </w:tc>
        <w:tc>
          <w:tcPr>
            <w:tcW w:w="8108" w:type="dxa"/>
            <w:vAlign w:val="center"/>
          </w:tcPr>
          <w:p>
            <w:pPr>
              <w:pStyle w:val="Sansinterligne1"/>
              <w:rPr>
                <w:rFonts w:ascii="Arial" w:hAnsi="Arial" w:cs="Arial"/>
                <w:sz w:val="20"/>
                <w:szCs w:val="20"/>
              </w:rPr>
            </w:pPr>
            <w:r>
              <w:rPr>
                <w:rFonts w:ascii="Arial" w:hAnsi="Arial" w:cs="Arial"/>
                <w:sz w:val="20"/>
                <w:szCs w:val="20"/>
              </w:rPr>
              <w:t>Nombre d’élèves supplémentaires en …. primaire au 30/09/2017</w:t>
            </w:r>
            <w:r>
              <w:rPr>
                <w:rFonts w:ascii="Arial" w:hAnsi="Arial" w:cs="Arial"/>
                <w:sz w:val="20"/>
                <w:szCs w:val="20"/>
              </w:rPr>
              <w:sym w:font="Wingdings" w:char="F0E0"/>
            </w:r>
            <w:r>
              <w:rPr>
                <w:rFonts w:ascii="Arial" w:hAnsi="Arial" w:cs="Arial"/>
                <w:sz w:val="20"/>
                <w:szCs w:val="20"/>
              </w:rPr>
              <w:t xml:space="preserve"> B – A</w:t>
            </w:r>
          </w:p>
        </w:tc>
        <w:tc>
          <w:tcPr>
            <w:tcW w:w="1191" w:type="dxa"/>
            <w:vAlign w:val="center"/>
          </w:tcPr>
          <w:p>
            <w:pPr>
              <w:pStyle w:val="Sansinterligne1"/>
              <w:jc w:val="center"/>
              <w:rPr>
                <w:rFonts w:ascii="Arial" w:hAnsi="Arial" w:cs="Arial"/>
                <w:sz w:val="20"/>
                <w:szCs w:val="20"/>
              </w:rPr>
            </w:pPr>
          </w:p>
        </w:tc>
      </w:tr>
      <w:tr>
        <w:trPr>
          <w:trHeight w:val="510"/>
        </w:trPr>
        <w:tc>
          <w:tcPr>
            <w:tcW w:w="468" w:type="dxa"/>
            <w:vAlign w:val="center"/>
          </w:tcPr>
          <w:p>
            <w:pPr>
              <w:pStyle w:val="Sansinterligne1"/>
              <w:jc w:val="center"/>
              <w:rPr>
                <w:rFonts w:ascii="Arial" w:hAnsi="Arial" w:cs="Arial"/>
                <w:sz w:val="20"/>
                <w:szCs w:val="20"/>
              </w:rPr>
            </w:pPr>
            <w:r>
              <w:rPr>
                <w:rFonts w:ascii="Arial" w:hAnsi="Arial" w:cs="Arial"/>
                <w:sz w:val="20"/>
                <w:szCs w:val="20"/>
              </w:rPr>
              <w:t>D</w:t>
            </w:r>
          </w:p>
        </w:tc>
        <w:tc>
          <w:tcPr>
            <w:tcW w:w="8108" w:type="dxa"/>
            <w:vAlign w:val="center"/>
          </w:tcPr>
          <w:p>
            <w:pPr>
              <w:pStyle w:val="Sansinterligne1"/>
              <w:rPr>
                <w:rFonts w:ascii="Arial" w:hAnsi="Arial" w:cs="Arial"/>
                <w:b/>
                <w:sz w:val="20"/>
                <w:szCs w:val="20"/>
              </w:rPr>
            </w:pPr>
            <w:r>
              <w:rPr>
                <w:rFonts w:ascii="Arial" w:hAnsi="Arial" w:cs="Arial"/>
                <w:sz w:val="20"/>
                <w:szCs w:val="20"/>
              </w:rPr>
              <w:t xml:space="preserve">Nombre de classes supplémentaires en ….  primaire </w:t>
            </w:r>
            <w:r>
              <w:rPr>
                <w:rFonts w:ascii="Arial" w:hAnsi="Arial" w:cs="Arial"/>
                <w:sz w:val="20"/>
                <w:szCs w:val="20"/>
              </w:rPr>
              <w:sym w:font="Wingdings" w:char="F0E0"/>
            </w:r>
            <w:r>
              <w:rPr>
                <w:rFonts w:ascii="Arial" w:hAnsi="Arial" w:cs="Arial"/>
                <w:sz w:val="20"/>
                <w:szCs w:val="20"/>
              </w:rPr>
              <w:t xml:space="preserve"> C/22 arrondi à l’unité inférieure=</w:t>
            </w:r>
          </w:p>
        </w:tc>
        <w:tc>
          <w:tcPr>
            <w:tcW w:w="1191" w:type="dxa"/>
            <w:vAlign w:val="center"/>
          </w:tcPr>
          <w:p>
            <w:pPr>
              <w:pStyle w:val="Sansinterligne1"/>
              <w:jc w:val="center"/>
              <w:rPr>
                <w:rFonts w:ascii="Arial" w:hAnsi="Arial" w:cs="Arial"/>
                <w:sz w:val="20"/>
                <w:szCs w:val="20"/>
              </w:rPr>
            </w:pPr>
          </w:p>
          <w:p>
            <w:pPr>
              <w:pStyle w:val="Sansinterligne1"/>
              <w:rPr>
                <w:rFonts w:ascii="Arial" w:hAnsi="Arial" w:cs="Arial"/>
                <w:sz w:val="20"/>
                <w:szCs w:val="20"/>
              </w:rPr>
            </w:pPr>
          </w:p>
        </w:tc>
      </w:tr>
      <w:tr>
        <w:trPr>
          <w:trHeight w:val="510"/>
        </w:trPr>
        <w:tc>
          <w:tcPr>
            <w:tcW w:w="468" w:type="dxa"/>
            <w:vAlign w:val="center"/>
          </w:tcPr>
          <w:p>
            <w:pPr>
              <w:pStyle w:val="Sansinterligne1"/>
              <w:jc w:val="center"/>
              <w:rPr>
                <w:rFonts w:ascii="Arial" w:hAnsi="Arial" w:cs="Arial"/>
                <w:sz w:val="20"/>
                <w:szCs w:val="20"/>
              </w:rPr>
            </w:pPr>
            <w:r>
              <w:rPr>
                <w:rFonts w:ascii="Arial" w:hAnsi="Arial" w:cs="Arial"/>
                <w:sz w:val="20"/>
                <w:szCs w:val="20"/>
              </w:rPr>
              <w:t>E</w:t>
            </w:r>
          </w:p>
        </w:tc>
        <w:tc>
          <w:tcPr>
            <w:tcW w:w="8108" w:type="dxa"/>
            <w:vAlign w:val="center"/>
          </w:tcPr>
          <w:p>
            <w:pPr>
              <w:pStyle w:val="Sansinterligne1"/>
              <w:rPr>
                <w:rFonts w:ascii="Arial" w:hAnsi="Arial" w:cs="Arial"/>
                <w:sz w:val="20"/>
                <w:szCs w:val="20"/>
              </w:rPr>
            </w:pPr>
            <w:r>
              <w:rPr>
                <w:rFonts w:ascii="Arial" w:hAnsi="Arial" w:cs="Arial"/>
                <w:sz w:val="20"/>
                <w:szCs w:val="20"/>
              </w:rPr>
              <w:t xml:space="preserve">Nombre de périodes complémentaires octroyées </w:t>
            </w:r>
            <w:r>
              <w:rPr>
                <w:rFonts w:ascii="Arial" w:hAnsi="Arial" w:cs="Arial"/>
                <w:sz w:val="20"/>
                <w:szCs w:val="20"/>
              </w:rPr>
              <w:sym w:font="Wingdings" w:char="F0E0"/>
            </w:r>
            <w:r>
              <w:rPr>
                <w:rFonts w:ascii="Arial" w:hAnsi="Arial" w:cs="Arial"/>
                <w:sz w:val="20"/>
                <w:szCs w:val="20"/>
              </w:rPr>
              <w:t xml:space="preserve"> D*26</w:t>
            </w:r>
          </w:p>
        </w:tc>
        <w:tc>
          <w:tcPr>
            <w:tcW w:w="1191" w:type="dxa"/>
            <w:vAlign w:val="center"/>
          </w:tcPr>
          <w:p>
            <w:pPr>
              <w:pStyle w:val="Sansinterligne1"/>
              <w:jc w:val="center"/>
              <w:rPr>
                <w:rFonts w:ascii="Arial" w:hAnsi="Arial" w:cs="Arial"/>
                <w:sz w:val="20"/>
                <w:szCs w:val="20"/>
              </w:rPr>
            </w:pPr>
          </w:p>
        </w:tc>
      </w:tr>
    </w:tbl>
    <w:p>
      <w:pPr>
        <w:pStyle w:val="Sansinterligne1"/>
        <w:spacing w:before="120"/>
        <w:jc w:val="both"/>
        <w:rPr>
          <w:rFonts w:ascii="Arial" w:hAnsi="Arial" w:cs="Arial"/>
          <w:b/>
          <w:sz w:val="20"/>
          <w:szCs w:val="20"/>
        </w:rPr>
      </w:pPr>
      <w:r>
        <w:rPr>
          <w:rFonts w:ascii="Arial" w:hAnsi="Arial" w:cs="Arial"/>
          <w:i/>
          <w:sz w:val="20"/>
          <w:szCs w:val="20"/>
          <w:u w:val="single"/>
        </w:rPr>
        <w:t>Signature du Pouvoir organisateur (OS–LS) ou du Chef d’Etablissement (FWB)</w:t>
      </w:r>
      <w:r>
        <w:rPr>
          <w:rStyle w:val="Appelnotedebasdep"/>
          <w:rFonts w:ascii="Arial" w:hAnsi="Arial" w:cs="Arial"/>
          <w:i/>
          <w:sz w:val="20"/>
          <w:szCs w:val="20"/>
          <w:u w:val="single"/>
        </w:rPr>
        <w:footnoteReference w:id="105"/>
      </w:r>
      <w:r>
        <w:rPr>
          <w:rFonts w:ascii="Arial" w:hAnsi="Arial" w:cs="Arial"/>
          <w:b/>
          <w:sz w:val="20"/>
          <w:szCs w:val="20"/>
        </w:rPr>
        <w:t> :</w:t>
      </w:r>
    </w:p>
    <w:p>
      <w:pPr>
        <w:pStyle w:val="Sansinterligne1"/>
        <w:jc w:val="both"/>
        <w:rPr>
          <w:rFonts w:ascii="Arial" w:hAnsi="Arial" w:cs="Arial"/>
          <w:b/>
          <w:sz w:val="16"/>
          <w:szCs w:val="16"/>
        </w:rPr>
      </w:pPr>
    </w:p>
    <w:tbl>
      <w:tblPr>
        <w:tblW w:w="0" w:type="auto"/>
        <w:tblBorders>
          <w:top w:val="single" w:sz="4" w:space="0" w:color="auto"/>
        </w:tblBorders>
        <w:tblLook w:val="01E0" w:firstRow="1" w:lastRow="1" w:firstColumn="1" w:lastColumn="1" w:noHBand="0" w:noVBand="0"/>
      </w:tblPr>
      <w:tblGrid>
        <w:gridCol w:w="4629"/>
        <w:gridCol w:w="4657"/>
      </w:tblGrid>
      <w:tr>
        <w:tc>
          <w:tcPr>
            <w:tcW w:w="4889" w:type="dxa"/>
            <w:shd w:val="clear" w:color="auto" w:fill="auto"/>
          </w:tcPr>
          <w:p>
            <w:pPr>
              <w:pStyle w:val="Sansinterligne1"/>
              <w:spacing w:before="120"/>
              <w:jc w:val="both"/>
              <w:rPr>
                <w:rFonts w:ascii="Arial" w:hAnsi="Arial" w:cs="Arial"/>
                <w:sz w:val="20"/>
                <w:szCs w:val="20"/>
              </w:rPr>
            </w:pPr>
            <w:r>
              <w:rPr>
                <w:rFonts w:ascii="Arial" w:hAnsi="Arial" w:cs="Arial"/>
                <w:sz w:val="20"/>
                <w:szCs w:val="20"/>
              </w:rPr>
              <w:t>Date :</w:t>
            </w:r>
          </w:p>
        </w:tc>
        <w:tc>
          <w:tcPr>
            <w:tcW w:w="4889" w:type="dxa"/>
            <w:shd w:val="clear" w:color="auto" w:fill="auto"/>
          </w:tcPr>
          <w:p>
            <w:pPr>
              <w:pStyle w:val="Sansinterligne1"/>
              <w:spacing w:before="120"/>
              <w:jc w:val="both"/>
              <w:rPr>
                <w:rFonts w:ascii="Arial" w:hAnsi="Arial" w:cs="Arial"/>
                <w:sz w:val="20"/>
                <w:szCs w:val="20"/>
              </w:rPr>
            </w:pPr>
            <w:r>
              <w:rPr>
                <w:rFonts w:ascii="Arial" w:hAnsi="Arial" w:cs="Arial"/>
                <w:sz w:val="20"/>
                <w:szCs w:val="20"/>
              </w:rPr>
              <w:t>Nom (en majuscule) et signature :</w:t>
            </w:r>
          </w:p>
        </w:tc>
      </w:tr>
    </w:tbl>
    <w:p>
      <w:pPr>
        <w:rPr>
          <w:rFonts w:cs="Arial"/>
          <w:szCs w:val="22"/>
        </w:rPr>
      </w:pPr>
      <w:r>
        <w:rPr>
          <w:rFonts w:cs="Arial"/>
          <w:szCs w:val="22"/>
        </w:rPr>
        <w:br w:type="page"/>
      </w:r>
    </w:p>
    <w:p>
      <w:pPr>
        <w:pStyle w:val="annexe"/>
        <w:spacing w:after="120"/>
      </w:pPr>
      <w:bookmarkStart w:id="2258" w:name="annexe3_4_5"/>
      <w:bookmarkStart w:id="2259" w:name="_Toc486241931"/>
      <w:bookmarkStart w:id="2260" w:name="_Toc423420209"/>
      <w:bookmarkStart w:id="2261" w:name="_Toc450645458"/>
      <w:bookmarkStart w:id="2262" w:name="_Toc453942697"/>
      <w:bookmarkStart w:id="2263" w:name="_Toc454888313"/>
      <w:r>
        <w:t xml:space="preserve">Annexe 3.4.5. </w:t>
      </w:r>
      <w:bookmarkEnd w:id="2258"/>
      <w:r>
        <w:t>-</w:t>
      </w:r>
      <w:r>
        <w:rPr>
          <w:rFonts w:ascii="Georgia" w:hAnsi="Georgia"/>
        </w:rPr>
        <w:t xml:space="preserve"> </w:t>
      </w:r>
      <w:r>
        <w:t>Liste des communes à tension démographique</w:t>
      </w:r>
      <w:bookmarkEnd w:id="2259"/>
      <w:r>
        <w:t xml:space="preserve"> </w:t>
      </w:r>
      <w:bookmarkEnd w:id="2260"/>
      <w:bookmarkEnd w:id="2261"/>
      <w:bookmarkEnd w:id="2262"/>
      <w:bookmarkEnd w:id="2263"/>
    </w:p>
    <w:tbl>
      <w:tblPr>
        <w:tblW w:w="6416" w:type="dxa"/>
        <w:tblInd w:w="58" w:type="dxa"/>
        <w:tblCellMar>
          <w:left w:w="70" w:type="dxa"/>
          <w:right w:w="70" w:type="dxa"/>
        </w:tblCellMar>
        <w:tblLook w:val="0000" w:firstRow="0" w:lastRow="0" w:firstColumn="0" w:lastColumn="0" w:noHBand="0" w:noVBand="0"/>
      </w:tblPr>
      <w:tblGrid>
        <w:gridCol w:w="3086"/>
        <w:gridCol w:w="3330"/>
      </w:tblGrid>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jc w:val="center"/>
              <w:rPr>
                <w:rFonts w:cs="Arial"/>
                <w:b/>
                <w:bCs/>
                <w:szCs w:val="22"/>
              </w:rPr>
            </w:pPr>
            <w:r>
              <w:rPr>
                <w:rFonts w:cs="Arial"/>
                <w:b/>
                <w:bCs/>
                <w:szCs w:val="22"/>
              </w:rPr>
              <w:t>Région de Bruxelles-Capitale</w:t>
            </w:r>
          </w:p>
        </w:tc>
        <w:tc>
          <w:tcPr>
            <w:tcW w:w="3330" w:type="dxa"/>
            <w:tcBorders>
              <w:top w:val="single" w:sz="4" w:space="0" w:color="auto"/>
              <w:left w:val="nil"/>
              <w:bottom w:val="single" w:sz="4" w:space="0" w:color="auto"/>
              <w:right w:val="single" w:sz="4" w:space="0" w:color="auto"/>
            </w:tcBorders>
            <w:shd w:val="clear" w:color="auto" w:fill="auto"/>
            <w:vAlign w:val="bottom"/>
          </w:tcPr>
          <w:p>
            <w:pPr>
              <w:spacing w:line="360" w:lineRule="auto"/>
              <w:jc w:val="center"/>
              <w:rPr>
                <w:rFonts w:cs="Arial"/>
                <w:b/>
                <w:bCs/>
                <w:szCs w:val="22"/>
              </w:rPr>
            </w:pPr>
            <w:r>
              <w:rPr>
                <w:rFonts w:cs="Arial"/>
                <w:b/>
                <w:bCs/>
                <w:szCs w:val="22"/>
              </w:rPr>
              <w:t>Région wallonne</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Auderghem</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Awans</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Bruxelles</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Baelen</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Etterbeek</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Braine-le-Château</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Ganshoren</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Chastre</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Jette</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Chaudfontaine</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Koekelberg</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Chièvres</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Molenbeek-Saint-Jean</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Colfontaine</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Saint-Josse-ten-Noode</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Courcelles</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r>
              <w:rPr>
                <w:rFonts w:cs="Arial"/>
                <w:bCs/>
                <w:szCs w:val="22"/>
              </w:rPr>
              <w:t>Woluwe-Saint-Pierre</w:t>
            </w: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Dalhem</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bCs/>
                <w:szCs w:val="22"/>
              </w:rPr>
            </w:pPr>
          </w:p>
        </w:tc>
        <w:tc>
          <w:tcPr>
            <w:tcW w:w="3330" w:type="dxa"/>
            <w:tcBorders>
              <w:top w:val="single" w:sz="4" w:space="0" w:color="auto"/>
              <w:left w:val="nil"/>
              <w:bottom w:val="single" w:sz="4" w:space="0" w:color="auto"/>
              <w:right w:val="single" w:sz="4" w:space="0" w:color="auto"/>
            </w:tcBorders>
            <w:shd w:val="clear" w:color="auto" w:fill="auto"/>
            <w:vAlign w:val="bottom"/>
          </w:tcPr>
          <w:p>
            <w:pPr>
              <w:rPr>
                <w:rFonts w:cs="Arial"/>
                <w:bCs/>
                <w:szCs w:val="22"/>
              </w:rPr>
            </w:pPr>
            <w:r>
              <w:rPr>
                <w:rFonts w:cs="Arial"/>
                <w:bCs/>
                <w:szCs w:val="22"/>
              </w:rPr>
              <w:t>Dison</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Donceel</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Ecaussinnes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Eghezée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Engis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Gembloux</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Genappe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Grâce-Hollogne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Hamois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Havelange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Herstal</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Herve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Honnelles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Ittre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Jalhay</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Jemeppe-sur-Sambre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Jurbise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La Bruyère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Lens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Les Bons Villers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Liège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Nivelles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Olne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Oupeye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Pont-à-Celles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Quaregnon</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Quévy</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Rebecq</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Remicourt</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Saint-Nicolas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Seraing</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Soignies</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Soumagne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Sprimont</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Trooz</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Villers-la-Ville</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nil"/>
              <w:left w:val="nil"/>
              <w:bottom w:val="single" w:sz="4" w:space="0" w:color="auto"/>
              <w:right w:val="single" w:sz="4" w:space="0" w:color="auto"/>
            </w:tcBorders>
            <w:shd w:val="clear" w:color="auto" w:fill="auto"/>
            <w:vAlign w:val="bottom"/>
          </w:tcPr>
          <w:p>
            <w:pPr>
              <w:rPr>
                <w:rFonts w:cs="Arial"/>
                <w:szCs w:val="22"/>
              </w:rPr>
            </w:pPr>
            <w:r>
              <w:rPr>
                <w:rFonts w:cs="Arial"/>
                <w:szCs w:val="22"/>
              </w:rPr>
              <w:t>Visé</w:t>
            </w:r>
          </w:p>
        </w:tc>
      </w:tr>
      <w:tr>
        <w:trPr>
          <w:trHeight w:val="255"/>
        </w:trPr>
        <w:tc>
          <w:tcPr>
            <w:tcW w:w="3086" w:type="dxa"/>
            <w:tcBorders>
              <w:top w:val="nil"/>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single" w:sz="4" w:space="0" w:color="auto"/>
              <w:left w:val="nil"/>
              <w:bottom w:val="single" w:sz="4" w:space="0" w:color="auto"/>
              <w:right w:val="single" w:sz="4" w:space="0" w:color="auto"/>
            </w:tcBorders>
            <w:shd w:val="clear" w:color="auto" w:fill="auto"/>
            <w:noWrap/>
            <w:vAlign w:val="bottom"/>
          </w:tcPr>
          <w:p>
            <w:pPr>
              <w:rPr>
                <w:rFonts w:cs="Arial"/>
                <w:szCs w:val="22"/>
              </w:rPr>
            </w:pPr>
            <w:r>
              <w:rPr>
                <w:rFonts w:cs="Arial"/>
                <w:szCs w:val="22"/>
              </w:rPr>
              <w:t>Walhain</w:t>
            </w:r>
          </w:p>
        </w:tc>
      </w:tr>
      <w:tr>
        <w:trPr>
          <w:trHeight w:val="255"/>
        </w:trPr>
        <w:tc>
          <w:tcPr>
            <w:tcW w:w="3086" w:type="dxa"/>
            <w:tcBorders>
              <w:top w:val="single" w:sz="4" w:space="0" w:color="auto"/>
              <w:left w:val="single" w:sz="4" w:space="0" w:color="auto"/>
              <w:bottom w:val="single" w:sz="4" w:space="0" w:color="auto"/>
              <w:right w:val="single" w:sz="4" w:space="0" w:color="auto"/>
            </w:tcBorders>
            <w:shd w:val="clear" w:color="auto" w:fill="auto"/>
            <w:vAlign w:val="bottom"/>
          </w:tcPr>
          <w:p>
            <w:pPr>
              <w:rPr>
                <w:rFonts w:cs="Arial"/>
                <w:szCs w:val="22"/>
              </w:rPr>
            </w:pPr>
          </w:p>
        </w:tc>
        <w:tc>
          <w:tcPr>
            <w:tcW w:w="3330" w:type="dxa"/>
            <w:tcBorders>
              <w:top w:val="single" w:sz="4" w:space="0" w:color="auto"/>
              <w:left w:val="nil"/>
              <w:bottom w:val="single" w:sz="4" w:space="0" w:color="auto"/>
              <w:right w:val="single" w:sz="4" w:space="0" w:color="auto"/>
            </w:tcBorders>
            <w:shd w:val="clear" w:color="auto" w:fill="auto"/>
            <w:noWrap/>
            <w:vAlign w:val="bottom"/>
          </w:tcPr>
          <w:p>
            <w:pPr>
              <w:rPr>
                <w:rFonts w:cs="Arial"/>
                <w:szCs w:val="22"/>
              </w:rPr>
            </w:pPr>
            <w:r>
              <w:rPr>
                <w:rFonts w:cs="Arial"/>
                <w:szCs w:val="22"/>
              </w:rPr>
              <w:t>Welkenraedt</w:t>
            </w:r>
          </w:p>
        </w:tc>
      </w:tr>
    </w:tbl>
    <w:p>
      <w:pPr>
        <w:pStyle w:val="annexe"/>
      </w:pPr>
      <w:bookmarkStart w:id="2264" w:name="Annexe_346"/>
    </w:p>
    <w:p>
      <w:pPr>
        <w:rPr>
          <w:b/>
          <w:i/>
          <w:szCs w:val="22"/>
        </w:rPr>
      </w:pPr>
      <w:r>
        <w:br w:type="page"/>
      </w:r>
    </w:p>
    <w:p>
      <w:pPr>
        <w:pStyle w:val="annexe"/>
      </w:pPr>
      <w:bookmarkStart w:id="2265" w:name="_Toc486241932"/>
      <w:r>
        <w:t xml:space="preserve">Annexe 3.4.6. </w:t>
      </w:r>
      <w:bookmarkEnd w:id="2264"/>
      <w:r>
        <w:t>Demande de périodes supplémentaires nécessaires au maintien de l’emploi d’un maître de psychomotricité nommé à titre définitif au 01/10/2017</w:t>
      </w:r>
      <w:bookmarkEnd w:id="2265"/>
    </w:p>
    <w:p>
      <w:pPr>
        <w:rPr>
          <w:i/>
          <w:sz w:val="16"/>
          <w:szCs w:val="16"/>
        </w:rPr>
      </w:pPr>
    </w:p>
    <w:tbl>
      <w:tblPr>
        <w:tblW w:w="8926" w:type="dxa"/>
        <w:tblLook w:val="01E0" w:firstRow="1" w:lastRow="1" w:firstColumn="1" w:lastColumn="1" w:noHBand="0" w:noVBand="0"/>
      </w:tblPr>
      <w:tblGrid>
        <w:gridCol w:w="3794"/>
        <w:gridCol w:w="5132"/>
      </w:tblGrid>
      <w:tr>
        <w:trPr>
          <w:trHeight w:hRule="exact" w:val="659"/>
        </w:trPr>
        <w:tc>
          <w:tcPr>
            <w:tcW w:w="379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ansinterligne1"/>
              <w:spacing w:after="120"/>
              <w:jc w:val="center"/>
              <w:rPr>
                <w:rFonts w:ascii="Arial" w:hAnsi="Arial" w:cs="Arial"/>
                <w:b/>
                <w:sz w:val="20"/>
                <w:szCs w:val="20"/>
              </w:rPr>
            </w:pPr>
            <w:r>
              <w:rPr>
                <w:rFonts w:ascii="Arial" w:hAnsi="Arial" w:cs="Arial"/>
                <w:b/>
                <w:sz w:val="20"/>
                <w:szCs w:val="20"/>
              </w:rPr>
              <w:t>Année scolaire 2017-2018</w:t>
            </w:r>
          </w:p>
        </w:tc>
        <w:tc>
          <w:tcPr>
            <w:tcW w:w="5132" w:type="dxa"/>
            <w:tcBorders>
              <w:top w:val="single" w:sz="4" w:space="0" w:color="auto"/>
              <w:left w:val="single" w:sz="4" w:space="0" w:color="auto"/>
              <w:bottom w:val="single" w:sz="4" w:space="0" w:color="auto"/>
              <w:right w:val="single" w:sz="4" w:space="0" w:color="auto"/>
            </w:tcBorders>
            <w:shd w:val="clear" w:color="auto" w:fill="auto"/>
            <w:vAlign w:val="center"/>
          </w:tcPr>
          <w:p>
            <w:pPr>
              <w:pStyle w:val="Sansinterligne1"/>
              <w:spacing w:after="120"/>
              <w:jc w:val="center"/>
              <w:rPr>
                <w:rFonts w:ascii="Arial" w:hAnsi="Arial" w:cs="Arial"/>
                <w:b/>
                <w:sz w:val="20"/>
                <w:szCs w:val="20"/>
              </w:rPr>
            </w:pPr>
            <w:r>
              <w:rPr>
                <w:rFonts w:ascii="Arial" w:hAnsi="Arial" w:cs="Arial"/>
                <w:b/>
                <w:sz w:val="20"/>
                <w:szCs w:val="20"/>
              </w:rPr>
              <w:t>Date limite de renvoi : Lundi 9 octobre 2017</w:t>
            </w:r>
          </w:p>
        </w:tc>
      </w:tr>
    </w:tbl>
    <w:p>
      <w:pPr>
        <w:pStyle w:val="Sansinterligne1"/>
        <w:jc w:val="both"/>
        <w:rPr>
          <w:rFonts w:ascii="Arial" w:hAnsi="Arial" w:cs="Arial"/>
          <w:sz w:val="16"/>
          <w:szCs w:val="16"/>
        </w:rPr>
      </w:pPr>
    </w:p>
    <w:p>
      <w:pPr>
        <w:pStyle w:val="Sansinterligne1"/>
        <w:jc w:val="both"/>
        <w:rPr>
          <w:rFonts w:ascii="Arial" w:hAnsi="Arial" w:cs="Arial"/>
          <w:sz w:val="20"/>
          <w:szCs w:val="20"/>
        </w:rPr>
      </w:pPr>
      <w:r>
        <w:rPr>
          <w:rFonts w:ascii="Arial" w:hAnsi="Arial" w:cs="Arial"/>
          <w:sz w:val="20"/>
          <w:szCs w:val="20"/>
        </w:rPr>
        <w:t xml:space="preserve">Réseau officiel subventionné (OS) </w:t>
      </w:r>
      <w:r>
        <w:rPr>
          <w:rFonts w:ascii="Arial" w:hAnsi="Arial" w:cs="Arial"/>
          <w:sz w:val="20"/>
          <w:szCs w:val="20"/>
        </w:rPr>
        <w:sym w:font="Wingdings" w:char="F06F"/>
      </w:r>
      <w:r>
        <w:rPr>
          <w:rFonts w:ascii="Arial" w:hAnsi="Arial" w:cs="Arial"/>
          <w:sz w:val="20"/>
          <w:szCs w:val="20"/>
        </w:rPr>
        <w:tab/>
        <w:t xml:space="preserve">Réseau libre subventionné (LS) </w:t>
      </w:r>
      <w:r>
        <w:rPr>
          <w:rFonts w:ascii="Arial" w:hAnsi="Arial" w:cs="Arial"/>
          <w:sz w:val="20"/>
          <w:szCs w:val="20"/>
        </w:rPr>
        <w:sym w:font="Wingdings" w:char="F06F"/>
      </w:r>
      <w:r>
        <w:rPr>
          <w:rFonts w:ascii="Arial" w:hAnsi="Arial" w:cs="Arial"/>
          <w:sz w:val="20"/>
          <w:szCs w:val="20"/>
        </w:rPr>
        <w:tab/>
        <w:t xml:space="preserve">Réseau WBE </w:t>
      </w:r>
      <w:r>
        <w:rPr>
          <w:rFonts w:ascii="Arial" w:hAnsi="Arial" w:cs="Arial"/>
          <w:sz w:val="20"/>
          <w:szCs w:val="20"/>
        </w:rPr>
        <w:sym w:font="Wingdings" w:char="F06F"/>
      </w:r>
    </w:p>
    <w:p>
      <w:pPr>
        <w:pStyle w:val="Sansinterligne1"/>
        <w:jc w:val="both"/>
        <w:rPr>
          <w:rFonts w:ascii="Arial" w:hAnsi="Arial" w:cs="Arial"/>
          <w:sz w:val="16"/>
          <w:szCs w:val="16"/>
        </w:rPr>
      </w:pPr>
      <w:r>
        <w:rPr>
          <w:rFonts w:ascii="Arial" w:hAnsi="Arial" w:cs="Arial"/>
          <w:sz w:val="16"/>
          <w:szCs w:val="16"/>
        </w:rPr>
        <w:t>(cocher la case)</w:t>
      </w:r>
    </w:p>
    <w:p>
      <w:pPr>
        <w:pStyle w:val="Sansinterligne1"/>
        <w:rPr>
          <w:rFonts w:ascii="Arial" w:hAnsi="Arial" w:cs="Arial"/>
          <w:sz w:val="16"/>
          <w:szCs w:val="16"/>
        </w:rPr>
      </w:pPr>
    </w:p>
    <w:p>
      <w:pPr>
        <w:pStyle w:val="Sansinterligne1"/>
        <w:rPr>
          <w:rFonts w:ascii="Arial" w:hAnsi="Arial" w:cs="Arial"/>
          <w:sz w:val="20"/>
          <w:szCs w:val="20"/>
        </w:rPr>
      </w:pPr>
      <w:r>
        <w:rPr>
          <w:rFonts w:ascii="Arial" w:hAnsi="Arial" w:cs="Arial"/>
          <w:sz w:val="20"/>
          <w:szCs w:val="20"/>
        </w:rPr>
        <w:t xml:space="preserve">La demande est renvoyée à : </w:t>
      </w:r>
      <w:r>
        <w:rPr>
          <w:rFonts w:ascii="Arial" w:hAnsi="Arial" w:cs="Arial"/>
          <w:sz w:val="20"/>
          <w:szCs w:val="20"/>
        </w:rPr>
        <w:tab/>
        <w:t>Direction générale de l’Enseignement obligatoire</w:t>
      </w:r>
    </w:p>
    <w:p>
      <w:pPr>
        <w:pStyle w:val="Sansinterligne1"/>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Rue Adolphe Lavallée, 1 - Bureau 2 F 211</w:t>
      </w:r>
    </w:p>
    <w:p>
      <w:pPr>
        <w:pStyle w:val="Sansinterligne1"/>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1080</w:t>
      </w:r>
      <w:r>
        <w:rPr>
          <w:rFonts w:ascii="Arial" w:hAnsi="Arial" w:cs="Arial"/>
          <w:sz w:val="20"/>
          <w:szCs w:val="20"/>
        </w:rPr>
        <w:tab/>
        <w:t>BRUXELLES</w:t>
      </w:r>
    </w:p>
    <w:p>
      <w:pPr>
        <w:pStyle w:val="Sansinterligne1"/>
        <w:rPr>
          <w:rFonts w:ascii="Arial" w:hAnsi="Arial" w:cs="Arial"/>
          <w:sz w:val="16"/>
          <w:szCs w:val="16"/>
        </w:rPr>
      </w:pPr>
    </w:p>
    <w:p>
      <w:pPr>
        <w:pStyle w:val="Sansinterligne1"/>
        <w:spacing w:after="120"/>
        <w:rPr>
          <w:rFonts w:ascii="Arial" w:hAnsi="Arial" w:cs="Arial"/>
          <w:b/>
          <w:sz w:val="20"/>
          <w:szCs w:val="20"/>
          <w:u w:val="single"/>
        </w:rPr>
      </w:pPr>
      <w:r>
        <w:rPr>
          <w:rFonts w:ascii="Arial" w:hAnsi="Arial" w:cs="Arial"/>
          <w:b/>
          <w:sz w:val="20"/>
          <w:szCs w:val="20"/>
          <w:u w:val="single"/>
        </w:rPr>
        <w:t>Pouvoir organisateur (uniquement pour les réseaux officiel et libre subventionnés)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2"/>
        <w:gridCol w:w="2374"/>
      </w:tblGrid>
      <w:tr>
        <w:tc>
          <w:tcPr>
            <w:tcW w:w="7308" w:type="dxa"/>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Nom :</w:t>
            </w:r>
          </w:p>
        </w:tc>
        <w:tc>
          <w:tcPr>
            <w:tcW w:w="2470" w:type="dxa"/>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N° FASE :</w:t>
            </w:r>
          </w:p>
        </w:tc>
      </w:tr>
      <w:tr>
        <w:trPr>
          <w:trHeight w:val="567"/>
        </w:trPr>
        <w:tc>
          <w:tcPr>
            <w:tcW w:w="9778" w:type="dxa"/>
            <w:gridSpan w:val="2"/>
            <w:shd w:val="clear" w:color="auto" w:fill="auto"/>
          </w:tcPr>
          <w:p>
            <w:pPr>
              <w:pStyle w:val="Sansinterligne1"/>
              <w:spacing w:after="360"/>
              <w:rPr>
                <w:rFonts w:ascii="Arial" w:hAnsi="Arial" w:cs="Arial"/>
                <w:b/>
                <w:sz w:val="20"/>
                <w:szCs w:val="20"/>
              </w:rPr>
            </w:pPr>
            <w:r>
              <w:rPr>
                <w:rFonts w:ascii="Arial" w:hAnsi="Arial" w:cs="Arial"/>
                <w:sz w:val="20"/>
                <w:szCs w:val="20"/>
              </w:rPr>
              <w:t>Adresse :</w:t>
            </w:r>
          </w:p>
        </w:tc>
      </w:tr>
    </w:tbl>
    <w:p>
      <w:pPr>
        <w:pStyle w:val="Sansinterligne1"/>
        <w:rPr>
          <w:rFonts w:ascii="Arial" w:hAnsi="Arial" w:cs="Arial"/>
          <w:b/>
          <w:sz w:val="16"/>
          <w:szCs w:val="16"/>
        </w:rPr>
      </w:pPr>
    </w:p>
    <w:p>
      <w:pPr>
        <w:pStyle w:val="Sansinterligne1"/>
        <w:rPr>
          <w:rFonts w:ascii="Arial" w:hAnsi="Arial" w:cs="Arial"/>
          <w:b/>
          <w:sz w:val="20"/>
          <w:szCs w:val="20"/>
          <w:u w:val="single"/>
        </w:rPr>
      </w:pPr>
      <w:r>
        <w:rPr>
          <w:rFonts w:ascii="Arial" w:hAnsi="Arial" w:cs="Arial"/>
          <w:b/>
          <w:sz w:val="20"/>
          <w:szCs w:val="20"/>
          <w:u w:val="single"/>
        </w:rPr>
        <w:t>Préfet/directeur coordonnateur de zone (uniquement pour le réseau organisé par la FWB)</w:t>
      </w:r>
    </w:p>
    <w:p>
      <w:pPr>
        <w:pStyle w:val="Sansinterligne1"/>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7364"/>
      </w:tblGrid>
      <w:tr>
        <w:tc>
          <w:tcPr>
            <w:tcW w:w="1696" w:type="dxa"/>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Zone :</w:t>
            </w:r>
          </w:p>
        </w:tc>
        <w:tc>
          <w:tcPr>
            <w:tcW w:w="7364" w:type="dxa"/>
            <w:shd w:val="clear" w:color="auto" w:fill="auto"/>
            <w:vAlign w:val="center"/>
          </w:tcPr>
          <w:p>
            <w:pPr>
              <w:pStyle w:val="Sansinterligne1"/>
              <w:spacing w:before="120" w:after="120"/>
              <w:rPr>
                <w:rFonts w:ascii="Arial" w:hAnsi="Arial" w:cs="Arial"/>
                <w:b/>
                <w:sz w:val="20"/>
                <w:szCs w:val="20"/>
              </w:rPr>
            </w:pPr>
          </w:p>
        </w:tc>
      </w:tr>
      <w:tr>
        <w:tc>
          <w:tcPr>
            <w:tcW w:w="1696" w:type="dxa"/>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Nom du coordonnateur</w:t>
            </w:r>
          </w:p>
        </w:tc>
        <w:tc>
          <w:tcPr>
            <w:tcW w:w="7364" w:type="dxa"/>
            <w:shd w:val="clear" w:color="auto" w:fill="auto"/>
            <w:vAlign w:val="center"/>
          </w:tcPr>
          <w:p>
            <w:pPr>
              <w:pStyle w:val="Sansinterligne1"/>
              <w:spacing w:before="120" w:after="120"/>
              <w:rPr>
                <w:rFonts w:ascii="Arial" w:hAnsi="Arial" w:cs="Arial"/>
                <w:b/>
                <w:sz w:val="20"/>
                <w:szCs w:val="20"/>
              </w:rPr>
            </w:pPr>
          </w:p>
        </w:tc>
      </w:tr>
    </w:tbl>
    <w:p>
      <w:pPr>
        <w:pStyle w:val="Sansinterligne1"/>
        <w:spacing w:before="120" w:after="120"/>
        <w:rPr>
          <w:rFonts w:ascii="Arial" w:hAnsi="Arial" w:cs="Arial"/>
          <w:sz w:val="20"/>
          <w:szCs w:val="20"/>
          <w:u w:val="single"/>
        </w:rPr>
      </w:pPr>
      <w:r>
        <w:rPr>
          <w:rFonts w:ascii="Arial" w:hAnsi="Arial" w:cs="Arial"/>
          <w:b/>
          <w:sz w:val="20"/>
          <w:szCs w:val="20"/>
          <w:u w:val="single"/>
        </w:rPr>
        <w:t>Membre du personnel concerné</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175"/>
        <w:gridCol w:w="2337"/>
      </w:tblGrid>
      <w:tr>
        <w:trPr>
          <w:trHeight w:val="510"/>
        </w:trPr>
        <w:tc>
          <w:tcPr>
            <w:tcW w:w="1555" w:type="dxa"/>
            <w:vAlign w:val="center"/>
          </w:tcPr>
          <w:p>
            <w:pPr>
              <w:pStyle w:val="Sansinterligne1"/>
              <w:rPr>
                <w:rFonts w:ascii="Arial" w:hAnsi="Arial" w:cs="Arial"/>
                <w:sz w:val="20"/>
                <w:szCs w:val="20"/>
              </w:rPr>
            </w:pPr>
            <w:r>
              <w:rPr>
                <w:rFonts w:ascii="Arial" w:hAnsi="Arial" w:cs="Arial"/>
                <w:sz w:val="20"/>
                <w:szCs w:val="20"/>
              </w:rPr>
              <w:t>Nom et prénom</w:t>
            </w:r>
          </w:p>
        </w:tc>
        <w:tc>
          <w:tcPr>
            <w:tcW w:w="7512" w:type="dxa"/>
            <w:gridSpan w:val="2"/>
            <w:vAlign w:val="center"/>
          </w:tcPr>
          <w:p>
            <w:pPr>
              <w:pStyle w:val="Sansinterligne1"/>
              <w:rPr>
                <w:rFonts w:ascii="Arial" w:hAnsi="Arial" w:cs="Arial"/>
                <w:sz w:val="20"/>
                <w:szCs w:val="20"/>
              </w:rPr>
            </w:pPr>
          </w:p>
        </w:tc>
      </w:tr>
      <w:tr>
        <w:trPr>
          <w:trHeight w:val="510"/>
        </w:trPr>
        <w:tc>
          <w:tcPr>
            <w:tcW w:w="1555" w:type="dxa"/>
            <w:vAlign w:val="center"/>
          </w:tcPr>
          <w:p>
            <w:pPr>
              <w:pStyle w:val="Sansinterligne1"/>
              <w:rPr>
                <w:rFonts w:ascii="Arial" w:hAnsi="Arial" w:cs="Arial"/>
                <w:sz w:val="20"/>
                <w:szCs w:val="20"/>
              </w:rPr>
            </w:pPr>
            <w:r>
              <w:rPr>
                <w:rFonts w:ascii="Arial" w:hAnsi="Arial" w:cs="Arial"/>
                <w:sz w:val="20"/>
                <w:szCs w:val="20"/>
              </w:rPr>
              <w:t>Matricule</w:t>
            </w:r>
          </w:p>
        </w:tc>
        <w:tc>
          <w:tcPr>
            <w:tcW w:w="7512" w:type="dxa"/>
            <w:gridSpan w:val="2"/>
            <w:vAlign w:val="center"/>
          </w:tcPr>
          <w:p>
            <w:pPr>
              <w:pStyle w:val="Sansinterligne1"/>
              <w:rPr>
                <w:rFonts w:ascii="Arial" w:hAnsi="Arial" w:cs="Arial"/>
                <w:sz w:val="20"/>
                <w:szCs w:val="20"/>
              </w:rPr>
            </w:pPr>
          </w:p>
        </w:tc>
      </w:tr>
      <w:tr>
        <w:tc>
          <w:tcPr>
            <w:tcW w:w="6730" w:type="dxa"/>
            <w:gridSpan w:val="2"/>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Nombre de périodes de psychomotricité au 01/10/2017 pour lesquelles le membre du personnel est nommé</w:t>
            </w:r>
          </w:p>
        </w:tc>
        <w:tc>
          <w:tcPr>
            <w:tcW w:w="2337" w:type="dxa"/>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Périodes : …………</w:t>
            </w:r>
          </w:p>
        </w:tc>
      </w:tr>
      <w:tr>
        <w:tc>
          <w:tcPr>
            <w:tcW w:w="6730" w:type="dxa"/>
            <w:gridSpan w:val="2"/>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Nombre de périodes attribuées au 01/10/2017 au sein du PO (réseau subventionné) ou de la zone (réseau WBE)</w:t>
            </w:r>
          </w:p>
        </w:tc>
        <w:tc>
          <w:tcPr>
            <w:tcW w:w="2337" w:type="dxa"/>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Périodes : …………</w:t>
            </w:r>
          </w:p>
        </w:tc>
      </w:tr>
      <w:tr>
        <w:tc>
          <w:tcPr>
            <w:tcW w:w="6730" w:type="dxa"/>
            <w:gridSpan w:val="2"/>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Nombre de périodes de psychomotricité demandées</w:t>
            </w:r>
          </w:p>
        </w:tc>
        <w:tc>
          <w:tcPr>
            <w:tcW w:w="2337" w:type="dxa"/>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Périodes : …………</w:t>
            </w:r>
          </w:p>
        </w:tc>
      </w:tr>
    </w:tbl>
    <w:p>
      <w:pPr>
        <w:pStyle w:val="Sansinterligne1"/>
        <w:rPr>
          <w:rFonts w:ascii="Arial" w:hAnsi="Arial" w:cs="Arial"/>
          <w:i/>
          <w:sz w:val="16"/>
          <w:szCs w:val="16"/>
          <w:u w:val="single"/>
        </w:rPr>
      </w:pPr>
    </w:p>
    <w:p>
      <w:pPr>
        <w:pStyle w:val="Sansinterligne1"/>
        <w:rPr>
          <w:rFonts w:ascii="Arial" w:hAnsi="Arial" w:cs="Arial"/>
          <w:b/>
          <w:sz w:val="20"/>
          <w:szCs w:val="20"/>
          <w:u w:val="single"/>
        </w:rPr>
      </w:pPr>
      <w:r>
        <w:rPr>
          <w:rFonts w:ascii="Arial" w:hAnsi="Arial" w:cs="Arial"/>
          <w:b/>
          <w:sz w:val="20"/>
          <w:szCs w:val="20"/>
          <w:u w:val="single"/>
        </w:rPr>
        <w:t>Implantation pour laquelle la demande est formulée</w:t>
      </w:r>
    </w:p>
    <w:p>
      <w:pPr>
        <w:pStyle w:val="Sansinterligne1"/>
        <w:rPr>
          <w:rFonts w:ascii="Arial" w:hAnsi="Arial" w:cs="Arial"/>
          <w:b/>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7364"/>
      </w:tblGrid>
      <w:tr>
        <w:tc>
          <w:tcPr>
            <w:tcW w:w="1696" w:type="dxa"/>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FASE implantation</w:t>
            </w:r>
          </w:p>
        </w:tc>
        <w:tc>
          <w:tcPr>
            <w:tcW w:w="7364" w:type="dxa"/>
            <w:shd w:val="clear" w:color="auto" w:fill="auto"/>
            <w:vAlign w:val="center"/>
          </w:tcPr>
          <w:p>
            <w:pPr>
              <w:pStyle w:val="Sansinterligne1"/>
              <w:spacing w:before="120" w:after="120"/>
              <w:rPr>
                <w:rFonts w:ascii="Arial" w:hAnsi="Arial" w:cs="Arial"/>
                <w:b/>
                <w:sz w:val="20"/>
                <w:szCs w:val="20"/>
              </w:rPr>
            </w:pPr>
          </w:p>
        </w:tc>
      </w:tr>
      <w:tr>
        <w:tc>
          <w:tcPr>
            <w:tcW w:w="1696" w:type="dxa"/>
            <w:shd w:val="clear" w:color="auto" w:fill="auto"/>
            <w:vAlign w:val="center"/>
          </w:tcPr>
          <w:p>
            <w:pPr>
              <w:pStyle w:val="Sansinterligne1"/>
              <w:spacing w:before="120" w:after="120"/>
              <w:rPr>
                <w:rFonts w:ascii="Arial" w:hAnsi="Arial" w:cs="Arial"/>
                <w:sz w:val="20"/>
                <w:szCs w:val="20"/>
              </w:rPr>
            </w:pPr>
            <w:r>
              <w:rPr>
                <w:rFonts w:ascii="Arial" w:hAnsi="Arial" w:cs="Arial"/>
                <w:sz w:val="20"/>
                <w:szCs w:val="20"/>
              </w:rPr>
              <w:t>Adresse</w:t>
            </w:r>
          </w:p>
        </w:tc>
        <w:tc>
          <w:tcPr>
            <w:tcW w:w="7364" w:type="dxa"/>
            <w:shd w:val="clear" w:color="auto" w:fill="auto"/>
            <w:vAlign w:val="center"/>
          </w:tcPr>
          <w:p>
            <w:pPr>
              <w:pStyle w:val="Sansinterligne1"/>
              <w:spacing w:before="120" w:after="120"/>
              <w:rPr>
                <w:rFonts w:ascii="Arial" w:hAnsi="Arial" w:cs="Arial"/>
                <w:b/>
                <w:sz w:val="20"/>
                <w:szCs w:val="20"/>
              </w:rPr>
            </w:pPr>
          </w:p>
        </w:tc>
      </w:tr>
    </w:tbl>
    <w:p>
      <w:pPr>
        <w:pStyle w:val="Sansinterligne1"/>
        <w:jc w:val="both"/>
        <w:rPr>
          <w:rFonts w:ascii="Arial" w:hAnsi="Arial" w:cs="Arial"/>
          <w:i/>
          <w:sz w:val="16"/>
          <w:szCs w:val="16"/>
          <w:u w:val="single"/>
        </w:rPr>
      </w:pPr>
    </w:p>
    <w:p>
      <w:pPr>
        <w:pStyle w:val="Sansinterligne1"/>
        <w:jc w:val="both"/>
        <w:rPr>
          <w:rFonts w:ascii="Arial" w:hAnsi="Arial" w:cs="Arial"/>
          <w:sz w:val="20"/>
          <w:szCs w:val="20"/>
        </w:rPr>
      </w:pPr>
      <w:r>
        <w:rPr>
          <w:rFonts w:ascii="Arial" w:hAnsi="Arial" w:cs="Arial"/>
          <w:sz w:val="20"/>
          <w:szCs w:val="20"/>
        </w:rPr>
        <w:t xml:space="preserve">Je certifie que la présente demande est sincère et conforme. </w:t>
      </w:r>
    </w:p>
    <w:p>
      <w:pPr>
        <w:pStyle w:val="Sansinterligne1"/>
        <w:jc w:val="both"/>
        <w:rPr>
          <w:rFonts w:ascii="Arial" w:hAnsi="Arial" w:cs="Arial"/>
          <w:i/>
          <w:sz w:val="16"/>
          <w:szCs w:val="16"/>
          <w:u w:val="single"/>
        </w:rPr>
      </w:pPr>
    </w:p>
    <w:p>
      <w:pPr>
        <w:pStyle w:val="Sansinterligne1"/>
        <w:jc w:val="both"/>
        <w:rPr>
          <w:rFonts w:ascii="Arial" w:hAnsi="Arial" w:cs="Arial"/>
          <w:b/>
          <w:sz w:val="20"/>
          <w:szCs w:val="20"/>
        </w:rPr>
      </w:pPr>
      <w:r>
        <w:rPr>
          <w:rFonts w:ascii="Arial" w:hAnsi="Arial" w:cs="Arial"/>
          <w:sz w:val="20"/>
          <w:szCs w:val="20"/>
        </w:rPr>
        <w:t>Signature du Pouvoir organisateur (OS–LS) ou du préfet/directeur coordonnateur de zone (WBE)</w:t>
      </w:r>
      <w:r>
        <w:rPr>
          <w:rStyle w:val="Appelnotedebasdep"/>
          <w:rFonts w:ascii="Arial" w:hAnsi="Arial" w:cs="Arial"/>
          <w:sz w:val="20"/>
          <w:szCs w:val="20"/>
        </w:rPr>
        <w:footnoteReference w:id="106"/>
      </w:r>
      <w:r>
        <w:rPr>
          <w:rFonts w:ascii="Arial" w:hAnsi="Arial" w:cs="Arial"/>
          <w:b/>
          <w:sz w:val="20"/>
          <w:szCs w:val="20"/>
        </w:rPr>
        <w:t> :</w:t>
      </w:r>
    </w:p>
    <w:p>
      <w:pPr>
        <w:pStyle w:val="Sansinterligne1"/>
        <w:jc w:val="both"/>
        <w:rPr>
          <w:rFonts w:ascii="Arial" w:hAnsi="Arial" w:cs="Arial"/>
          <w:b/>
          <w:sz w:val="16"/>
          <w:szCs w:val="16"/>
        </w:rPr>
      </w:pPr>
    </w:p>
    <w:tbl>
      <w:tblPr>
        <w:tblW w:w="0" w:type="auto"/>
        <w:tblBorders>
          <w:top w:val="single" w:sz="4" w:space="0" w:color="auto"/>
        </w:tblBorders>
        <w:tblLook w:val="01E0" w:firstRow="1" w:lastRow="1" w:firstColumn="1" w:lastColumn="1" w:noHBand="0" w:noVBand="0"/>
      </w:tblPr>
      <w:tblGrid>
        <w:gridCol w:w="4629"/>
        <w:gridCol w:w="4657"/>
      </w:tblGrid>
      <w:tr>
        <w:tc>
          <w:tcPr>
            <w:tcW w:w="4889" w:type="dxa"/>
            <w:shd w:val="clear" w:color="auto" w:fill="auto"/>
          </w:tcPr>
          <w:p>
            <w:pPr>
              <w:pStyle w:val="Sansinterligne1"/>
              <w:jc w:val="both"/>
              <w:rPr>
                <w:rFonts w:ascii="Arial" w:hAnsi="Arial" w:cs="Arial"/>
                <w:sz w:val="16"/>
                <w:szCs w:val="16"/>
              </w:rPr>
            </w:pPr>
          </w:p>
          <w:p>
            <w:pPr>
              <w:pStyle w:val="Sansinterligne1"/>
              <w:jc w:val="both"/>
              <w:rPr>
                <w:rFonts w:ascii="Arial" w:hAnsi="Arial" w:cs="Arial"/>
                <w:sz w:val="16"/>
                <w:szCs w:val="16"/>
              </w:rPr>
            </w:pPr>
          </w:p>
          <w:p>
            <w:pPr>
              <w:pStyle w:val="Sansinterligne1"/>
              <w:jc w:val="both"/>
              <w:rPr>
                <w:rFonts w:ascii="Arial" w:hAnsi="Arial" w:cs="Arial"/>
                <w:sz w:val="16"/>
                <w:szCs w:val="16"/>
              </w:rPr>
            </w:pPr>
          </w:p>
          <w:p>
            <w:pPr>
              <w:pStyle w:val="Sansinterligne1"/>
              <w:jc w:val="both"/>
              <w:rPr>
                <w:rFonts w:ascii="Arial" w:hAnsi="Arial" w:cs="Arial"/>
                <w:sz w:val="20"/>
                <w:szCs w:val="20"/>
              </w:rPr>
            </w:pPr>
            <w:r>
              <w:rPr>
                <w:rFonts w:ascii="Arial" w:hAnsi="Arial" w:cs="Arial"/>
                <w:sz w:val="20"/>
                <w:szCs w:val="20"/>
              </w:rPr>
              <w:t>Date :</w:t>
            </w:r>
          </w:p>
        </w:tc>
        <w:tc>
          <w:tcPr>
            <w:tcW w:w="4889" w:type="dxa"/>
            <w:shd w:val="clear" w:color="auto" w:fill="auto"/>
          </w:tcPr>
          <w:p>
            <w:pPr>
              <w:pStyle w:val="Sansinterligne1"/>
              <w:jc w:val="both"/>
              <w:rPr>
                <w:rFonts w:ascii="Arial" w:hAnsi="Arial" w:cs="Arial"/>
                <w:sz w:val="20"/>
                <w:szCs w:val="20"/>
              </w:rPr>
            </w:pPr>
            <w:r>
              <w:rPr>
                <w:rFonts w:ascii="Arial" w:hAnsi="Arial" w:cs="Arial"/>
                <w:sz w:val="20"/>
                <w:szCs w:val="20"/>
              </w:rPr>
              <w:t>Nom (en majuscule) et signature :</w:t>
            </w:r>
          </w:p>
        </w:tc>
      </w:tr>
    </w:tbl>
    <w:p>
      <w:pPr>
        <w:rPr>
          <w:rFonts w:cs="Arial"/>
          <w:b/>
          <w:i/>
          <w:szCs w:val="22"/>
        </w:rPr>
      </w:pPr>
      <w:r>
        <w:rPr>
          <w:rFonts w:cs="Arial"/>
          <w:b/>
          <w:i/>
          <w:color w:val="00B050"/>
          <w:szCs w:val="22"/>
        </w:rPr>
        <w:br w:type="page"/>
      </w:r>
    </w:p>
    <w:p>
      <w:pPr>
        <w:jc w:val="both"/>
        <w:rPr>
          <w:rFonts w:cs="Arial"/>
          <w:b/>
          <w:i/>
          <w:szCs w:val="22"/>
        </w:rPr>
      </w:pPr>
      <w:bookmarkStart w:id="2266" w:name="Annexe_43"/>
      <w:r>
        <w:rPr>
          <w:rFonts w:cs="Arial"/>
          <w:b/>
          <w:i/>
          <w:szCs w:val="22"/>
        </w:rPr>
        <w:t xml:space="preserve">Annexe 4.3. </w:t>
      </w:r>
      <w:bookmarkEnd w:id="2266"/>
      <w:r>
        <w:rPr>
          <w:b/>
          <w:i/>
        </w:rPr>
        <w:t>Déclaration relative au choix du cours de religion, du cours de morale non confessionnelle ou d’une 2</w:t>
      </w:r>
      <w:r>
        <w:rPr>
          <w:b/>
          <w:i/>
          <w:vertAlign w:val="superscript"/>
        </w:rPr>
        <w:t>e</w:t>
      </w:r>
      <w:r>
        <w:rPr>
          <w:b/>
          <w:i/>
        </w:rPr>
        <w:t xml:space="preserve"> période du cours de philosophie et de citoyenneté</w:t>
      </w:r>
    </w:p>
    <w:p>
      <w:pPr>
        <w:jc w:val="both"/>
        <w:rPr>
          <w:rFonts w:cs="Arial"/>
          <w:szCs w:val="22"/>
        </w:rPr>
      </w:pPr>
    </w:p>
    <w:p>
      <w:pPr>
        <w:pStyle w:val="NormalWeb"/>
        <w:pBdr>
          <w:top w:val="single" w:sz="4" w:space="1" w:color="auto"/>
          <w:left w:val="single" w:sz="4" w:space="4" w:color="auto"/>
          <w:bottom w:val="single" w:sz="4" w:space="1" w:color="auto"/>
          <w:right w:val="single" w:sz="4" w:space="4" w:color="auto"/>
        </w:pBdr>
        <w:spacing w:before="0"/>
        <w:jc w:val="center"/>
        <w:rPr>
          <w:rFonts w:ascii="Arial" w:hAnsi="Arial" w:cs="Arial"/>
          <w:b/>
          <w:color w:val="auto"/>
          <w:sz w:val="22"/>
          <w:szCs w:val="22"/>
        </w:rPr>
      </w:pPr>
      <w:r>
        <w:rPr>
          <w:rFonts w:ascii="Arial" w:hAnsi="Arial" w:cs="Arial"/>
          <w:b/>
          <w:color w:val="auto"/>
          <w:sz w:val="22"/>
          <w:szCs w:val="22"/>
        </w:rPr>
        <w:t>DECLARATION, à remettre au plus tard le 1</w:t>
      </w:r>
      <w:r>
        <w:rPr>
          <w:rFonts w:ascii="Arial" w:hAnsi="Arial" w:cs="Arial"/>
          <w:b/>
          <w:color w:val="auto"/>
          <w:sz w:val="22"/>
          <w:szCs w:val="22"/>
          <w:vertAlign w:val="superscript"/>
        </w:rPr>
        <w:t>er</w:t>
      </w:r>
      <w:r>
        <w:rPr>
          <w:rFonts w:ascii="Arial" w:hAnsi="Arial" w:cs="Arial"/>
          <w:b/>
          <w:color w:val="auto"/>
          <w:sz w:val="22"/>
          <w:szCs w:val="22"/>
        </w:rPr>
        <w:t xml:space="preserve"> juin,</w:t>
      </w:r>
    </w:p>
    <w:p>
      <w:pPr>
        <w:pStyle w:val="NormalWeb"/>
        <w:pBdr>
          <w:top w:val="single" w:sz="4" w:space="1" w:color="auto"/>
          <w:left w:val="single" w:sz="4" w:space="4" w:color="auto"/>
          <w:bottom w:val="single" w:sz="4" w:space="1" w:color="auto"/>
          <w:right w:val="single" w:sz="4" w:space="4" w:color="auto"/>
        </w:pBdr>
        <w:spacing w:before="0"/>
        <w:jc w:val="center"/>
        <w:rPr>
          <w:rFonts w:ascii="Arial" w:hAnsi="Arial" w:cs="Arial"/>
          <w:b/>
          <w:color w:val="auto"/>
          <w:sz w:val="22"/>
          <w:szCs w:val="22"/>
        </w:rPr>
      </w:pPr>
      <w:r>
        <w:rPr>
          <w:rFonts w:ascii="Arial" w:hAnsi="Arial" w:cs="Arial"/>
          <w:b/>
          <w:color w:val="auto"/>
          <w:sz w:val="22"/>
          <w:szCs w:val="22"/>
        </w:rPr>
        <w:t>relative au choix du cours de religion, du cours de morale non confessionnelle ou, en dispense du cours de religion ou de morale non confessionnelle, d’une 2</w:t>
      </w:r>
      <w:r>
        <w:rPr>
          <w:rFonts w:ascii="Arial" w:hAnsi="Arial" w:cs="Arial"/>
          <w:b/>
          <w:color w:val="auto"/>
          <w:sz w:val="22"/>
          <w:szCs w:val="22"/>
          <w:vertAlign w:val="superscript"/>
        </w:rPr>
        <w:t>ème</w:t>
      </w:r>
      <w:r>
        <w:rPr>
          <w:rFonts w:ascii="Arial" w:hAnsi="Arial" w:cs="Arial"/>
          <w:b/>
          <w:color w:val="auto"/>
          <w:sz w:val="22"/>
          <w:szCs w:val="22"/>
        </w:rPr>
        <w:t xml:space="preserve"> période du cours de philosophie et de citoyenneté </w:t>
      </w:r>
    </w:p>
    <w:p>
      <w:pPr>
        <w:pStyle w:val="NormalWeb"/>
        <w:spacing w:line="360" w:lineRule="auto"/>
        <w:rPr>
          <w:rFonts w:ascii="Arial" w:hAnsi="Arial" w:cs="Arial"/>
          <w:color w:val="auto"/>
          <w:sz w:val="22"/>
          <w:szCs w:val="22"/>
        </w:rPr>
      </w:pPr>
      <w:r>
        <w:rPr>
          <w:rFonts w:ascii="Arial" w:hAnsi="Arial" w:cs="Arial"/>
          <w:color w:val="auto"/>
          <w:sz w:val="22"/>
          <w:szCs w:val="22"/>
        </w:rPr>
        <w:t>Je soussigné(e).......................................................................................... parent, personne investie de l'autorité parentale à l'égard de   (1)........................................ ..........................................., élève de (2).............................................................. ....................................................</w:t>
      </w:r>
    </w:p>
    <w:p>
      <w:pPr>
        <w:pStyle w:val="NormalWeb"/>
        <w:spacing w:before="0" w:line="276" w:lineRule="auto"/>
        <w:rPr>
          <w:rFonts w:ascii="Arial" w:hAnsi="Arial" w:cs="Arial"/>
          <w:color w:val="auto"/>
          <w:sz w:val="22"/>
          <w:szCs w:val="22"/>
        </w:rPr>
      </w:pPr>
      <w:r>
        <w:rPr>
          <w:rStyle w:val="plist"/>
          <w:rFonts w:ascii="Arial" w:hAnsi="Arial" w:cs="Arial"/>
          <w:color w:val="auto"/>
          <w:sz w:val="22"/>
          <w:szCs w:val="22"/>
        </w:rPr>
        <w:t>déclare avoir pris connaissance de la page précédente et, conformément à la liberté que me confère la loi, avoir choisi pour l'élève précité :</w:t>
      </w:r>
    </w:p>
    <w:p>
      <w:pPr>
        <w:rPr>
          <w:rFonts w:cs="Arial"/>
          <w:szCs w:val="22"/>
        </w:rPr>
      </w:pPr>
    </w:p>
    <w:p>
      <w:pPr>
        <w:rPr>
          <w:rFonts w:cs="Arial"/>
          <w:szCs w:val="22"/>
        </w:rPr>
        <w:sectPr>
          <w:footerReference w:type="default" r:id="rId191"/>
          <w:type w:val="continuous"/>
          <w:pgSz w:w="11906" w:h="16838"/>
          <w:pgMar w:top="1418" w:right="1418" w:bottom="1134" w:left="1418" w:header="709" w:footer="709" w:gutter="0"/>
          <w:cols w:space="720"/>
        </w:sectPr>
      </w:pPr>
    </w:p>
    <w:p>
      <w:pPr>
        <w:pStyle w:val="NormalWeb"/>
        <w:pBdr>
          <w:top w:val="single" w:sz="4" w:space="1" w:color="auto"/>
          <w:left w:val="single" w:sz="4" w:space="4" w:color="auto"/>
          <w:bottom w:val="single" w:sz="4" w:space="1" w:color="auto"/>
          <w:right w:val="single" w:sz="4" w:space="0" w:color="auto"/>
        </w:pBdr>
        <w:spacing w:before="0" w:line="360" w:lineRule="auto"/>
        <w:rPr>
          <w:rFonts w:ascii="Arial" w:hAnsi="Arial" w:cs="Arial"/>
          <w:color w:val="auto"/>
          <w:sz w:val="22"/>
          <w:szCs w:val="22"/>
        </w:rPr>
      </w:pPr>
      <w:r>
        <w:rPr>
          <w:rFonts w:ascii="Arial" w:hAnsi="Arial" w:cs="Arial"/>
          <w:color w:val="auto"/>
          <w:sz w:val="22"/>
          <w:szCs w:val="22"/>
        </w:rPr>
        <w:t xml:space="preserve">Soit (3) : </w:t>
      </w:r>
    </w:p>
    <w:p>
      <w:pPr>
        <w:pStyle w:val="NormalWeb"/>
        <w:pBdr>
          <w:top w:val="single" w:sz="4" w:space="1" w:color="auto"/>
          <w:left w:val="single" w:sz="4" w:space="4" w:color="auto"/>
          <w:bottom w:val="single" w:sz="4" w:space="1" w:color="auto"/>
          <w:right w:val="single" w:sz="4" w:space="0" w:color="auto"/>
        </w:pBdr>
        <w:spacing w:before="0" w:line="360" w:lineRule="auto"/>
        <w:rPr>
          <w:rFonts w:ascii="Arial" w:hAnsi="Arial" w:cs="Arial"/>
          <w:color w:val="auto"/>
          <w:sz w:val="22"/>
          <w:szCs w:val="22"/>
        </w:rPr>
      </w:pPr>
      <w:r>
        <w:rPr>
          <w:rFonts w:ascii="Arial" w:hAnsi="Arial" w:cs="Arial"/>
          <w:color w:val="auto"/>
          <w:sz w:val="22"/>
          <w:szCs w:val="22"/>
        </w:rPr>
        <w:t>O Le cours de religion catholique</w:t>
      </w:r>
      <w:r>
        <w:rPr>
          <w:rFonts w:ascii="Arial" w:hAnsi="Arial" w:cs="Arial"/>
          <w:color w:val="auto"/>
          <w:sz w:val="22"/>
          <w:szCs w:val="22"/>
        </w:rPr>
        <w:tab/>
      </w:r>
    </w:p>
    <w:p>
      <w:pPr>
        <w:pStyle w:val="NormalWeb"/>
        <w:pBdr>
          <w:top w:val="single" w:sz="4" w:space="1" w:color="auto"/>
          <w:left w:val="single" w:sz="4" w:space="4" w:color="auto"/>
          <w:bottom w:val="single" w:sz="4" w:space="1" w:color="auto"/>
          <w:right w:val="single" w:sz="4" w:space="0" w:color="auto"/>
        </w:pBdr>
        <w:spacing w:before="0" w:line="360" w:lineRule="auto"/>
        <w:rPr>
          <w:rFonts w:ascii="Arial" w:hAnsi="Arial" w:cs="Arial"/>
          <w:color w:val="auto"/>
          <w:sz w:val="22"/>
          <w:szCs w:val="22"/>
        </w:rPr>
      </w:pPr>
      <w:r>
        <w:rPr>
          <w:rFonts w:ascii="Arial" w:hAnsi="Arial" w:cs="Arial"/>
          <w:color w:val="auto"/>
          <w:sz w:val="22"/>
          <w:szCs w:val="22"/>
        </w:rPr>
        <w:t xml:space="preserve">O Le cours de religion islamique </w:t>
      </w:r>
    </w:p>
    <w:p>
      <w:pPr>
        <w:pStyle w:val="NormalWeb"/>
        <w:pBdr>
          <w:top w:val="single" w:sz="4" w:space="1" w:color="auto"/>
          <w:left w:val="single" w:sz="4" w:space="4" w:color="auto"/>
          <w:bottom w:val="single" w:sz="4" w:space="1" w:color="auto"/>
          <w:right w:val="single" w:sz="4" w:space="0" w:color="auto"/>
        </w:pBdr>
        <w:spacing w:before="0" w:line="360" w:lineRule="auto"/>
        <w:rPr>
          <w:rFonts w:ascii="Arial" w:hAnsi="Arial" w:cs="Arial"/>
          <w:color w:val="auto"/>
          <w:sz w:val="22"/>
          <w:szCs w:val="22"/>
        </w:rPr>
      </w:pPr>
      <w:r>
        <w:rPr>
          <w:rFonts w:ascii="Arial" w:hAnsi="Arial" w:cs="Arial"/>
          <w:color w:val="auto"/>
          <w:sz w:val="22"/>
          <w:szCs w:val="22"/>
        </w:rPr>
        <w:t xml:space="preserve">O Le cours de religion israélite </w:t>
      </w:r>
    </w:p>
    <w:p>
      <w:pPr>
        <w:pStyle w:val="NormalWeb"/>
        <w:pBdr>
          <w:top w:val="single" w:sz="4" w:space="1" w:color="auto"/>
          <w:left w:val="single" w:sz="4" w:space="4" w:color="auto"/>
          <w:bottom w:val="single" w:sz="4" w:space="1" w:color="auto"/>
          <w:right w:val="single" w:sz="4" w:space="0" w:color="auto"/>
        </w:pBdr>
        <w:spacing w:before="0" w:line="360" w:lineRule="auto"/>
        <w:rPr>
          <w:rFonts w:ascii="Arial" w:hAnsi="Arial" w:cs="Arial"/>
          <w:color w:val="auto"/>
          <w:sz w:val="22"/>
          <w:szCs w:val="22"/>
        </w:rPr>
      </w:pPr>
      <w:r>
        <w:rPr>
          <w:rFonts w:ascii="Arial" w:hAnsi="Arial" w:cs="Arial"/>
          <w:color w:val="auto"/>
          <w:sz w:val="22"/>
          <w:szCs w:val="22"/>
        </w:rPr>
        <w:t xml:space="preserve">O Le cours de religion orthodoxe </w:t>
      </w:r>
    </w:p>
    <w:p>
      <w:pPr>
        <w:pStyle w:val="NormalWeb"/>
        <w:pBdr>
          <w:top w:val="single" w:sz="4" w:space="1" w:color="auto"/>
          <w:left w:val="single" w:sz="4" w:space="4" w:color="auto"/>
          <w:bottom w:val="single" w:sz="4" w:space="1" w:color="auto"/>
          <w:right w:val="single" w:sz="4" w:space="0" w:color="auto"/>
        </w:pBdr>
        <w:spacing w:before="0" w:line="360" w:lineRule="auto"/>
        <w:rPr>
          <w:rFonts w:ascii="Arial" w:hAnsi="Arial" w:cs="Arial"/>
          <w:color w:val="auto"/>
          <w:sz w:val="22"/>
          <w:szCs w:val="22"/>
        </w:rPr>
      </w:pPr>
      <w:r>
        <w:rPr>
          <w:rFonts w:ascii="Arial" w:hAnsi="Arial" w:cs="Arial"/>
          <w:color w:val="auto"/>
          <w:sz w:val="22"/>
          <w:szCs w:val="22"/>
        </w:rPr>
        <w:t xml:space="preserve">O Le cours de religion protestante </w:t>
      </w:r>
    </w:p>
    <w:p>
      <w:pPr>
        <w:pStyle w:val="NormalWeb"/>
        <w:pBdr>
          <w:top w:val="single" w:sz="4" w:space="1" w:color="auto"/>
          <w:left w:val="single" w:sz="4" w:space="4" w:color="auto"/>
          <w:bottom w:val="single" w:sz="4" w:space="1" w:color="auto"/>
          <w:right w:val="single" w:sz="4" w:space="0" w:color="auto"/>
        </w:pBdr>
        <w:spacing w:before="0" w:line="360" w:lineRule="auto"/>
        <w:rPr>
          <w:rFonts w:ascii="Arial" w:hAnsi="Arial" w:cs="Arial"/>
          <w:color w:val="auto"/>
          <w:sz w:val="22"/>
          <w:szCs w:val="22"/>
        </w:rPr>
      </w:pPr>
      <w:r>
        <w:rPr>
          <w:rFonts w:ascii="Arial" w:hAnsi="Arial" w:cs="Arial"/>
          <w:color w:val="auto"/>
          <w:sz w:val="22"/>
          <w:szCs w:val="22"/>
        </w:rPr>
        <w:t>O Le cours de morale non confessionnelle</w:t>
      </w:r>
    </w:p>
    <w:p>
      <w:pPr>
        <w:rPr>
          <w:rFonts w:cs="Arial"/>
          <w:szCs w:val="22"/>
        </w:rPr>
      </w:pPr>
    </w:p>
    <w:p>
      <w:pPr>
        <w:pStyle w:val="NormalWeb"/>
        <w:pBdr>
          <w:top w:val="single" w:sz="4" w:space="1" w:color="auto"/>
          <w:left w:val="single" w:sz="4" w:space="4" w:color="auto"/>
          <w:bottom w:val="single" w:sz="4" w:space="1" w:color="auto"/>
          <w:right w:val="single" w:sz="4" w:space="0" w:color="auto"/>
        </w:pBdr>
        <w:spacing w:before="0" w:line="360" w:lineRule="auto"/>
        <w:rPr>
          <w:rFonts w:ascii="Arial" w:hAnsi="Arial" w:cs="Arial"/>
          <w:color w:val="auto"/>
          <w:sz w:val="22"/>
          <w:szCs w:val="22"/>
        </w:rPr>
      </w:pPr>
      <w:r>
        <w:rPr>
          <w:rFonts w:ascii="Arial" w:hAnsi="Arial" w:cs="Arial"/>
          <w:color w:val="auto"/>
          <w:sz w:val="22"/>
          <w:szCs w:val="22"/>
        </w:rPr>
        <w:t xml:space="preserve">Soit (4) : </w:t>
      </w:r>
    </w:p>
    <w:p>
      <w:pPr>
        <w:pStyle w:val="NormalWeb"/>
        <w:pBdr>
          <w:top w:val="single" w:sz="4" w:space="1" w:color="auto"/>
          <w:left w:val="single" w:sz="4" w:space="4" w:color="auto"/>
          <w:bottom w:val="single" w:sz="4" w:space="1" w:color="auto"/>
          <w:right w:val="single" w:sz="4" w:space="0" w:color="auto"/>
        </w:pBdr>
        <w:spacing w:before="0" w:line="276" w:lineRule="auto"/>
        <w:ind w:left="284" w:hanging="284"/>
        <w:rPr>
          <w:rFonts w:ascii="Arial" w:hAnsi="Arial" w:cs="Arial"/>
          <w:color w:val="auto"/>
          <w:sz w:val="22"/>
          <w:szCs w:val="22"/>
        </w:rPr>
      </w:pPr>
      <w:r>
        <w:rPr>
          <w:rFonts w:ascii="Arial" w:hAnsi="Arial" w:cs="Arial"/>
          <w:color w:val="auto"/>
          <w:sz w:val="22"/>
          <w:szCs w:val="22"/>
        </w:rPr>
        <w:t>O En dispense du cours de religion ou de morale non confessionnelle, une 2</w:t>
      </w:r>
      <w:r>
        <w:rPr>
          <w:rFonts w:ascii="Arial" w:hAnsi="Arial" w:cs="Arial"/>
          <w:color w:val="auto"/>
          <w:sz w:val="22"/>
          <w:szCs w:val="22"/>
          <w:vertAlign w:val="superscript"/>
        </w:rPr>
        <w:t>ème</w:t>
      </w:r>
      <w:r>
        <w:rPr>
          <w:rFonts w:ascii="Arial" w:hAnsi="Arial" w:cs="Arial"/>
          <w:color w:val="auto"/>
          <w:sz w:val="22"/>
          <w:szCs w:val="22"/>
        </w:rPr>
        <w:t xml:space="preserve"> période de cours de philosophie et de citoyenneté. </w:t>
      </w:r>
    </w:p>
    <w:p>
      <w:pPr>
        <w:pStyle w:val="NormalWeb"/>
        <w:spacing w:before="0"/>
        <w:rPr>
          <w:rFonts w:ascii="Arial" w:hAnsi="Arial" w:cs="Arial"/>
          <w:color w:val="auto"/>
          <w:sz w:val="22"/>
          <w:szCs w:val="22"/>
        </w:rPr>
      </w:pPr>
    </w:p>
    <w:p>
      <w:pPr>
        <w:pStyle w:val="NormalWeb"/>
        <w:spacing w:before="0"/>
        <w:jc w:val="center"/>
        <w:rPr>
          <w:rFonts w:ascii="Arial" w:hAnsi="Arial" w:cs="Arial"/>
          <w:color w:val="auto"/>
          <w:sz w:val="22"/>
          <w:szCs w:val="22"/>
        </w:rPr>
      </w:pPr>
      <w:r>
        <w:rPr>
          <w:rFonts w:ascii="Arial" w:hAnsi="Arial" w:cs="Arial"/>
          <w:color w:val="auto"/>
          <w:sz w:val="22"/>
          <w:szCs w:val="22"/>
        </w:rPr>
        <w:t>Fait à ..............................................., le ...../...../........ (5)</w:t>
      </w: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jc w:val="center"/>
        <w:rPr>
          <w:rFonts w:ascii="Arial" w:hAnsi="Arial" w:cs="Arial"/>
          <w:color w:val="auto"/>
          <w:sz w:val="22"/>
          <w:szCs w:val="22"/>
        </w:rPr>
      </w:pPr>
      <w:r>
        <w:rPr>
          <w:rFonts w:ascii="Arial" w:hAnsi="Arial" w:cs="Arial"/>
          <w:color w:val="auto"/>
          <w:sz w:val="22"/>
          <w:szCs w:val="22"/>
        </w:rPr>
        <w:t>................................................(6)</w:t>
      </w: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22"/>
          <w:szCs w:val="22"/>
        </w:rPr>
      </w:pPr>
    </w:p>
    <w:p>
      <w:pPr>
        <w:pStyle w:val="NormalWeb"/>
        <w:spacing w:before="0"/>
        <w:rPr>
          <w:rFonts w:ascii="Arial" w:hAnsi="Arial" w:cs="Arial"/>
          <w:color w:val="auto"/>
          <w:sz w:val="18"/>
          <w:szCs w:val="22"/>
        </w:rPr>
      </w:pPr>
      <w:r>
        <w:rPr>
          <w:rFonts w:ascii="Arial" w:hAnsi="Arial" w:cs="Arial"/>
          <w:color w:val="auto"/>
          <w:sz w:val="22"/>
          <w:szCs w:val="22"/>
        </w:rPr>
        <w:t>(</w:t>
      </w:r>
      <w:r>
        <w:rPr>
          <w:rFonts w:ascii="Arial" w:hAnsi="Arial" w:cs="Arial"/>
          <w:color w:val="auto"/>
          <w:sz w:val="18"/>
          <w:szCs w:val="22"/>
        </w:rPr>
        <w:t xml:space="preserve">1) Nom et prénom de l'élève, le cas échéant </w:t>
      </w:r>
    </w:p>
    <w:p>
      <w:pPr>
        <w:pStyle w:val="NormalWeb"/>
        <w:spacing w:before="0"/>
        <w:rPr>
          <w:rFonts w:ascii="Arial" w:hAnsi="Arial" w:cs="Arial"/>
          <w:color w:val="auto"/>
          <w:sz w:val="18"/>
          <w:szCs w:val="22"/>
        </w:rPr>
      </w:pPr>
      <w:r>
        <w:rPr>
          <w:rFonts w:ascii="Arial" w:hAnsi="Arial" w:cs="Arial"/>
          <w:color w:val="auto"/>
          <w:sz w:val="18"/>
          <w:szCs w:val="22"/>
        </w:rPr>
        <w:t>(2) Classe fréquentée et désignation de l’établissement</w:t>
      </w:r>
    </w:p>
    <w:p>
      <w:pPr>
        <w:pStyle w:val="NormalWeb"/>
        <w:spacing w:before="0"/>
        <w:rPr>
          <w:rFonts w:ascii="Arial" w:hAnsi="Arial" w:cs="Arial"/>
          <w:color w:val="auto"/>
          <w:sz w:val="18"/>
          <w:szCs w:val="22"/>
        </w:rPr>
      </w:pPr>
      <w:r>
        <w:rPr>
          <w:rFonts w:ascii="Arial" w:hAnsi="Arial" w:cs="Arial"/>
          <w:color w:val="auto"/>
          <w:sz w:val="18"/>
          <w:szCs w:val="22"/>
        </w:rPr>
        <w:t xml:space="preserve">(3) Cocher, le cas échéant, le cours choisi </w:t>
      </w:r>
    </w:p>
    <w:p>
      <w:pPr>
        <w:pStyle w:val="NormalWeb"/>
        <w:spacing w:before="0"/>
        <w:ind w:left="284" w:hanging="284"/>
        <w:rPr>
          <w:rFonts w:ascii="Arial" w:hAnsi="Arial" w:cs="Arial"/>
          <w:color w:val="auto"/>
          <w:sz w:val="18"/>
          <w:szCs w:val="22"/>
        </w:rPr>
      </w:pPr>
      <w:r>
        <w:rPr>
          <w:rFonts w:ascii="Arial" w:hAnsi="Arial" w:cs="Arial"/>
          <w:color w:val="auto"/>
          <w:sz w:val="18"/>
          <w:szCs w:val="22"/>
        </w:rPr>
        <w:t xml:space="preserve">(4) Ne remplir cette mention que dans le cas où ni le cours de morale non confessionnelle ni un des cours de religion n'a été choisi </w:t>
      </w:r>
    </w:p>
    <w:p>
      <w:pPr>
        <w:pStyle w:val="NormalWeb"/>
        <w:spacing w:before="0"/>
        <w:rPr>
          <w:rFonts w:ascii="Arial" w:hAnsi="Arial" w:cs="Arial"/>
          <w:color w:val="auto"/>
          <w:sz w:val="18"/>
          <w:szCs w:val="22"/>
        </w:rPr>
      </w:pPr>
      <w:r>
        <w:rPr>
          <w:rFonts w:ascii="Arial" w:hAnsi="Arial" w:cs="Arial"/>
          <w:color w:val="auto"/>
          <w:sz w:val="18"/>
          <w:szCs w:val="22"/>
        </w:rPr>
        <w:t xml:space="preserve">(5) Lieu et date </w:t>
      </w:r>
    </w:p>
    <w:p>
      <w:pPr>
        <w:pStyle w:val="Sansinterligne1"/>
        <w:jc w:val="both"/>
        <w:rPr>
          <w:rFonts w:ascii="Arial" w:hAnsi="Arial" w:cs="Arial"/>
          <w:b/>
          <w:sz w:val="18"/>
        </w:rPr>
      </w:pPr>
      <w:r>
        <w:rPr>
          <w:rFonts w:ascii="Arial" w:hAnsi="Arial" w:cs="Arial"/>
          <w:sz w:val="18"/>
        </w:rPr>
        <w:t>(6) Signature</w:t>
      </w:r>
    </w:p>
    <w:p>
      <w:pPr>
        <w:pStyle w:val="annexe"/>
        <w:rPr>
          <w:iCs/>
        </w:rPr>
      </w:pPr>
      <w:r>
        <w:br w:type="page"/>
      </w:r>
      <w:bookmarkStart w:id="2267" w:name="_Annexe_4.4.A._"/>
      <w:bookmarkStart w:id="2268" w:name="Annexe_44A"/>
      <w:bookmarkStart w:id="2269" w:name="_Toc265141683"/>
      <w:bookmarkStart w:id="2270" w:name="_Toc295913890"/>
      <w:bookmarkStart w:id="2271" w:name="_Toc423420210"/>
      <w:bookmarkStart w:id="2272" w:name="_Toc450645459"/>
      <w:bookmarkStart w:id="2273" w:name="_Toc453942698"/>
      <w:bookmarkStart w:id="2274" w:name="_Toc454888314"/>
      <w:bookmarkStart w:id="2275" w:name="_Toc486241933"/>
      <w:bookmarkEnd w:id="2249"/>
      <w:bookmarkEnd w:id="2250"/>
      <w:bookmarkEnd w:id="2251"/>
      <w:bookmarkEnd w:id="2267"/>
      <w:bookmarkEnd w:id="2268"/>
      <w:r>
        <w:t xml:space="preserve">Annexe 4.4.A. Immersion - Enseignement organisé par </w:t>
      </w:r>
      <w:smartTag w:uri="urn:schemas-microsoft-com:office:smarttags" w:element="PersonName">
        <w:smartTagPr>
          <w:attr w:name="ProductID" w:val="la F￩d￩ration Wallonie-Bruxelles"/>
        </w:smartTagPr>
        <w:r>
          <w:t>la Fédération Wallonie-Bruxelles</w:t>
        </w:r>
      </w:smartTag>
      <w:bookmarkEnd w:id="2269"/>
      <w:bookmarkEnd w:id="2270"/>
      <w:bookmarkEnd w:id="2271"/>
      <w:bookmarkEnd w:id="2272"/>
      <w:bookmarkEnd w:id="2273"/>
      <w:bookmarkEnd w:id="2274"/>
      <w:bookmarkEnd w:id="2275"/>
    </w:p>
    <w:p>
      <w:pPr>
        <w:jc w:val="right"/>
        <w:rPr>
          <w:b/>
          <w:sz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70"/>
      </w:tblGrid>
      <w:tr>
        <w:trPr>
          <w:trHeight w:hRule="exact" w:val="671"/>
        </w:trPr>
        <w:tc>
          <w:tcPr>
            <w:tcW w:w="9970" w:type="dxa"/>
            <w:vAlign w:val="center"/>
          </w:tcPr>
          <w:p>
            <w:pPr>
              <w:jc w:val="center"/>
              <w:rPr>
                <w:b/>
                <w:sz w:val="16"/>
              </w:rPr>
            </w:pPr>
            <w:r>
              <w:rPr>
                <w:b/>
                <w:sz w:val="24"/>
              </w:rPr>
              <w:t>DEMANDE D’AUTORISATION D’ORGANISER UN APPRENTISSAGE PAR IMMERSION POUR UNE PERIODE DE 3 ANS</w:t>
            </w:r>
          </w:p>
        </w:tc>
      </w:tr>
    </w:tbl>
    <w:p>
      <w:pPr>
        <w:jc w:val="both"/>
        <w:rPr>
          <w:b/>
          <w:sz w:val="12"/>
          <w:szCs w:val="12"/>
        </w:rPr>
      </w:pPr>
    </w:p>
    <w:p>
      <w:pPr>
        <w:pStyle w:val="Corpsdetexte"/>
        <w:rPr>
          <w:rFonts w:cs="Times New Roman"/>
          <w:spacing w:val="-4"/>
        </w:rPr>
      </w:pPr>
      <w:r>
        <w:rPr>
          <w:rFonts w:cs="Times New Roman"/>
          <w:spacing w:val="-4"/>
        </w:rPr>
        <w:t>Je soussigné(e) …………………………………………………, chef d'établissement, sollicite l’autorisation d’organiser l'apprentissage par immersion dans l’école/l'implantation/les implantations ci-dessous:</w:t>
      </w:r>
    </w:p>
    <w:p>
      <w:pPr>
        <w:jc w:val="both"/>
        <w:rPr>
          <w:sz w:val="12"/>
        </w:rPr>
      </w:pPr>
    </w:p>
    <w:p>
      <w:pPr>
        <w:pStyle w:val="Corpsdetexte3"/>
        <w:rPr>
          <w:spacing w:val="0"/>
          <w:szCs w:val="24"/>
        </w:rPr>
      </w:pPr>
      <w:r>
        <w:rPr>
          <w:spacing w:val="0"/>
          <w:szCs w:val="24"/>
        </w:rPr>
        <w:t xml:space="preserve">N° FASE de l'école:  </w:t>
      </w:r>
    </w:p>
    <w:p>
      <w:pPr>
        <w:jc w:val="both"/>
        <w:rPr>
          <w:sz w:val="8"/>
          <w:szCs w:val="8"/>
        </w:rPr>
      </w:pPr>
    </w:p>
    <w:p>
      <w:pPr>
        <w:pStyle w:val="Corpsdetexte3"/>
        <w:rPr>
          <w:spacing w:val="0"/>
          <w:szCs w:val="24"/>
        </w:rPr>
      </w:pPr>
      <w:r>
        <w:rPr>
          <w:spacing w:val="0"/>
          <w:szCs w:val="24"/>
        </w:rPr>
        <w:t>Nom et adresse de l'école:</w:t>
      </w:r>
    </w:p>
    <w:p>
      <w:pPr>
        <w:pStyle w:val="ddxbook"/>
        <w:rPr>
          <w:rFonts w:ascii="Arial" w:hAnsi="Arial"/>
          <w:sz w:val="18"/>
          <w:szCs w:val="18"/>
          <w:lang w:val="fr-FR"/>
        </w:rPr>
      </w:pPr>
    </w:p>
    <w:p>
      <w:pPr>
        <w:jc w:val="both"/>
        <w:rPr>
          <w:sz w:val="18"/>
          <w:szCs w:val="18"/>
        </w:rPr>
      </w:pPr>
    </w:p>
    <w:p>
      <w:pPr>
        <w:jc w:val="both"/>
      </w:pPr>
      <w:r>
        <w:rPr>
          <w:b/>
          <w:bCs/>
        </w:rPr>
        <w:t>Date de la première ouverture de l'immersion:</w:t>
      </w:r>
      <w:r>
        <w:tab/>
        <w:t>…… / …… / …………</w:t>
      </w:r>
    </w:p>
    <w:p>
      <w:pPr>
        <w:jc w:val="both"/>
        <w:rPr>
          <w:sz w:val="8"/>
          <w:szCs w:val="8"/>
        </w:rPr>
      </w:pPr>
    </w:p>
    <w:p>
      <w:pPr>
        <w:pStyle w:val="Corpsdetexte3"/>
        <w:spacing w:after="60"/>
        <w:rPr>
          <w:spacing w:val="0"/>
          <w:szCs w:val="24"/>
        </w:rPr>
      </w:pPr>
      <w:r>
        <w:rPr>
          <w:spacing w:val="0"/>
          <w:szCs w:val="24"/>
        </w:rPr>
        <w:t>Implantations(s) concernées(s):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95"/>
      </w:tblGrid>
      <w:tr>
        <w:trPr>
          <w:trHeight w:hRule="exact" w:val="340"/>
        </w:trPr>
        <w:tc>
          <w:tcPr>
            <w:tcW w:w="430" w:type="dxa"/>
            <w:vAlign w:val="center"/>
          </w:tcPr>
          <w:p>
            <w:pPr>
              <w:jc w:val="both"/>
              <w:rPr>
                <w:sz w:val="20"/>
              </w:rPr>
            </w:pPr>
          </w:p>
        </w:tc>
        <w:tc>
          <w:tcPr>
            <w:tcW w:w="1080" w:type="dxa"/>
            <w:vAlign w:val="center"/>
          </w:tcPr>
          <w:p>
            <w:pPr>
              <w:jc w:val="both"/>
              <w:rPr>
                <w:sz w:val="20"/>
              </w:rPr>
            </w:pPr>
            <w:r>
              <w:rPr>
                <w:sz w:val="20"/>
              </w:rPr>
              <w:t>N° FASE</w:t>
            </w:r>
          </w:p>
        </w:tc>
        <w:tc>
          <w:tcPr>
            <w:tcW w:w="8495" w:type="dxa"/>
            <w:vAlign w:val="center"/>
          </w:tcPr>
          <w:p>
            <w:pPr>
              <w:jc w:val="both"/>
              <w:rPr>
                <w:sz w:val="20"/>
              </w:rPr>
            </w:pPr>
            <w:r>
              <w:rPr>
                <w:sz w:val="20"/>
              </w:rPr>
              <w:t>Adresse de l'implantation</w:t>
            </w:r>
          </w:p>
        </w:tc>
      </w:tr>
      <w:tr>
        <w:trPr>
          <w:trHeight w:hRule="exact" w:val="312"/>
        </w:trPr>
        <w:tc>
          <w:tcPr>
            <w:tcW w:w="430" w:type="dxa"/>
            <w:vAlign w:val="center"/>
          </w:tcPr>
          <w:p>
            <w:pPr>
              <w:jc w:val="both"/>
            </w:pPr>
            <w:r>
              <w:t xml:space="preserve"> </w:t>
            </w:r>
          </w:p>
        </w:tc>
        <w:tc>
          <w:tcPr>
            <w:tcW w:w="1080" w:type="dxa"/>
            <w:vAlign w:val="center"/>
          </w:tcPr>
          <w:p>
            <w:pPr>
              <w:jc w:val="both"/>
            </w:pPr>
          </w:p>
        </w:tc>
        <w:tc>
          <w:tcPr>
            <w:tcW w:w="8495" w:type="dxa"/>
            <w:vAlign w:val="center"/>
          </w:tcPr>
          <w:p>
            <w:pPr>
              <w:jc w:val="both"/>
            </w:pPr>
          </w:p>
        </w:tc>
      </w:tr>
      <w:tr>
        <w:trPr>
          <w:trHeight w:hRule="exact" w:val="312"/>
        </w:trPr>
        <w:tc>
          <w:tcPr>
            <w:tcW w:w="430" w:type="dxa"/>
            <w:vAlign w:val="center"/>
          </w:tcPr>
          <w:p>
            <w:pPr>
              <w:jc w:val="both"/>
            </w:pPr>
            <w:r>
              <w:t xml:space="preserve"> </w:t>
            </w:r>
          </w:p>
        </w:tc>
        <w:tc>
          <w:tcPr>
            <w:tcW w:w="1080" w:type="dxa"/>
            <w:vAlign w:val="center"/>
          </w:tcPr>
          <w:p>
            <w:pPr>
              <w:jc w:val="both"/>
            </w:pPr>
          </w:p>
        </w:tc>
        <w:tc>
          <w:tcPr>
            <w:tcW w:w="8495" w:type="dxa"/>
            <w:vAlign w:val="center"/>
          </w:tcPr>
          <w:p>
            <w:pPr>
              <w:jc w:val="both"/>
            </w:pPr>
          </w:p>
        </w:tc>
      </w:tr>
      <w:tr>
        <w:trPr>
          <w:trHeight w:hRule="exact" w:val="312"/>
        </w:trPr>
        <w:tc>
          <w:tcPr>
            <w:tcW w:w="430" w:type="dxa"/>
            <w:vAlign w:val="center"/>
          </w:tcPr>
          <w:p>
            <w:pPr>
              <w:jc w:val="both"/>
            </w:pPr>
            <w:r>
              <w:t xml:space="preserve"> </w:t>
            </w:r>
          </w:p>
        </w:tc>
        <w:tc>
          <w:tcPr>
            <w:tcW w:w="1080" w:type="dxa"/>
            <w:vAlign w:val="center"/>
          </w:tcPr>
          <w:p>
            <w:pPr>
              <w:jc w:val="both"/>
            </w:pPr>
          </w:p>
        </w:tc>
        <w:tc>
          <w:tcPr>
            <w:tcW w:w="8495" w:type="dxa"/>
            <w:vAlign w:val="center"/>
          </w:tcPr>
          <w:p>
            <w:pPr>
              <w:jc w:val="both"/>
            </w:pPr>
          </w:p>
        </w:tc>
      </w:tr>
      <w:tr>
        <w:trPr>
          <w:trHeight w:hRule="exact" w:val="312"/>
        </w:trPr>
        <w:tc>
          <w:tcPr>
            <w:tcW w:w="430" w:type="dxa"/>
            <w:vAlign w:val="center"/>
          </w:tcPr>
          <w:p>
            <w:pPr>
              <w:jc w:val="both"/>
            </w:pPr>
            <w:r>
              <w:t xml:space="preserve"> </w:t>
            </w:r>
          </w:p>
        </w:tc>
        <w:tc>
          <w:tcPr>
            <w:tcW w:w="1080" w:type="dxa"/>
            <w:vAlign w:val="center"/>
          </w:tcPr>
          <w:p>
            <w:pPr>
              <w:jc w:val="both"/>
            </w:pPr>
          </w:p>
        </w:tc>
        <w:tc>
          <w:tcPr>
            <w:tcW w:w="8495" w:type="dxa"/>
            <w:vAlign w:val="center"/>
          </w:tcPr>
          <w:p>
            <w:pPr>
              <w:jc w:val="both"/>
            </w:pPr>
          </w:p>
        </w:tc>
      </w:tr>
    </w:tbl>
    <w:p>
      <w:pPr>
        <w:pStyle w:val="Textedebulles"/>
        <w:rPr>
          <w:rFonts w:ascii="Arial" w:hAnsi="Arial" w:cs="Times New Roman"/>
          <w:szCs w:val="24"/>
        </w:rPr>
      </w:pPr>
    </w:p>
    <w:p>
      <w:pPr>
        <w:ind w:left="709" w:hanging="709"/>
        <w:rPr>
          <w:i/>
          <w:iCs/>
          <w:sz w:val="18"/>
        </w:rPr>
      </w:pPr>
      <w:r>
        <w:rPr>
          <w:b/>
        </w:rPr>
        <w:t>Langue(s) choisie(s):</w:t>
      </w:r>
      <w:r>
        <w:t xml:space="preserve"> néerlandais – allemand – anglais  </w:t>
      </w:r>
      <w:r>
        <w:rPr>
          <w:i/>
          <w:iCs/>
          <w:sz w:val="18"/>
        </w:rPr>
        <w:t>(maximum 2 langues - biffer les mentions inutiles)</w:t>
      </w:r>
    </w:p>
    <w:p>
      <w:pPr>
        <w:ind w:left="708" w:hanging="708"/>
        <w:rPr>
          <w:sz w:val="12"/>
          <w:szCs w:val="12"/>
        </w:rPr>
      </w:pPr>
    </w:p>
    <w:p>
      <w:pPr>
        <w:spacing w:after="80"/>
        <w:ind w:left="709" w:hanging="709"/>
        <w:rPr>
          <w:b/>
          <w:spacing w:val="-2"/>
        </w:rPr>
      </w:pPr>
      <w:r>
        <w:rPr>
          <w:b/>
          <w:spacing w:val="-2"/>
        </w:rPr>
        <w:t>Années d'études, périodes hebdomadaires, nombre de classes et nombres d'élèves concernés:</w:t>
      </w:r>
    </w:p>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3960"/>
        <w:gridCol w:w="510"/>
        <w:gridCol w:w="510"/>
        <w:gridCol w:w="510"/>
        <w:gridCol w:w="510"/>
        <w:gridCol w:w="510"/>
        <w:gridCol w:w="510"/>
        <w:gridCol w:w="510"/>
        <w:gridCol w:w="510"/>
        <w:gridCol w:w="510"/>
      </w:tblGrid>
      <w:tr>
        <w:trPr>
          <w:cantSplit/>
          <w:trHeight w:val="345"/>
        </w:trPr>
        <w:tc>
          <w:tcPr>
            <w:tcW w:w="1330" w:type="dxa"/>
            <w:vMerge w:val="restart"/>
            <w:tcBorders>
              <w:top w:val="single" w:sz="12" w:space="0" w:color="auto"/>
              <w:bottom w:val="single" w:sz="8" w:space="0" w:color="auto"/>
              <w:right w:val="single" w:sz="12" w:space="0" w:color="auto"/>
            </w:tcBorders>
            <w:vAlign w:val="center"/>
          </w:tcPr>
          <w:p>
            <w:pPr>
              <w:jc w:val="center"/>
              <w:rPr>
                <w:b/>
                <w:sz w:val="20"/>
              </w:rPr>
            </w:pPr>
            <w:r>
              <w:rPr>
                <w:b/>
                <w:sz w:val="20"/>
              </w:rPr>
              <w:t>Années d’études</w:t>
            </w:r>
          </w:p>
        </w:tc>
        <w:tc>
          <w:tcPr>
            <w:tcW w:w="3960" w:type="dxa"/>
            <w:vMerge w:val="restart"/>
            <w:tcBorders>
              <w:top w:val="single" w:sz="12" w:space="0" w:color="auto"/>
              <w:left w:val="single" w:sz="12" w:space="0" w:color="auto"/>
              <w:bottom w:val="single" w:sz="8" w:space="0" w:color="auto"/>
              <w:right w:val="single" w:sz="12" w:space="0" w:color="auto"/>
            </w:tcBorders>
            <w:vAlign w:val="center"/>
          </w:tcPr>
          <w:p>
            <w:pPr>
              <w:jc w:val="center"/>
              <w:rPr>
                <w:b/>
                <w:sz w:val="20"/>
              </w:rPr>
            </w:pPr>
            <w:r>
              <w:rPr>
                <w:b/>
                <w:sz w:val="20"/>
              </w:rPr>
              <w:t>Maximum et Minimum</w:t>
            </w:r>
          </w:p>
        </w:tc>
        <w:tc>
          <w:tcPr>
            <w:tcW w:w="1530" w:type="dxa"/>
            <w:gridSpan w:val="3"/>
            <w:tcBorders>
              <w:top w:val="single" w:sz="12" w:space="0" w:color="auto"/>
              <w:left w:val="single" w:sz="12" w:space="0" w:color="auto"/>
              <w:bottom w:val="single" w:sz="12" w:space="0" w:color="auto"/>
              <w:right w:val="single" w:sz="12" w:space="0" w:color="auto"/>
            </w:tcBorders>
            <w:vAlign w:val="center"/>
          </w:tcPr>
          <w:p>
            <w:pPr>
              <w:ind w:left="-70" w:right="-70"/>
              <w:jc w:val="center"/>
              <w:rPr>
                <w:b/>
                <w:sz w:val="20"/>
              </w:rPr>
            </w:pPr>
            <w:r>
              <w:rPr>
                <w:b/>
                <w:sz w:val="20"/>
              </w:rPr>
              <w:t>Nb de périodes</w:t>
            </w:r>
          </w:p>
          <w:p>
            <w:pPr>
              <w:ind w:left="-70" w:right="-70"/>
              <w:jc w:val="center"/>
              <w:rPr>
                <w:b/>
                <w:sz w:val="20"/>
              </w:rPr>
            </w:pPr>
            <w:r>
              <w:rPr>
                <w:b/>
                <w:sz w:val="20"/>
              </w:rPr>
              <w:t xml:space="preserve">hebdomadaires </w:t>
            </w:r>
            <w:r>
              <w:rPr>
                <w:b/>
                <w:sz w:val="20"/>
              </w:rPr>
              <w:br/>
              <w:t>en immersion</w:t>
            </w:r>
          </w:p>
        </w:tc>
        <w:tc>
          <w:tcPr>
            <w:tcW w:w="1530" w:type="dxa"/>
            <w:gridSpan w:val="3"/>
            <w:tcBorders>
              <w:top w:val="single" w:sz="12" w:space="0" w:color="auto"/>
              <w:left w:val="single" w:sz="12" w:space="0" w:color="auto"/>
              <w:bottom w:val="single" w:sz="12" w:space="0" w:color="auto"/>
              <w:right w:val="single" w:sz="12" w:space="0" w:color="auto"/>
            </w:tcBorders>
            <w:vAlign w:val="center"/>
          </w:tcPr>
          <w:p>
            <w:pPr>
              <w:ind w:left="-70" w:right="-70"/>
              <w:jc w:val="center"/>
              <w:rPr>
                <w:b/>
                <w:sz w:val="20"/>
              </w:rPr>
            </w:pPr>
            <w:r>
              <w:rPr>
                <w:b/>
                <w:sz w:val="20"/>
              </w:rPr>
              <w:t>Nombre de classes concernées</w:t>
            </w:r>
          </w:p>
        </w:tc>
        <w:tc>
          <w:tcPr>
            <w:tcW w:w="1530" w:type="dxa"/>
            <w:gridSpan w:val="3"/>
            <w:tcBorders>
              <w:top w:val="single" w:sz="12" w:space="0" w:color="auto"/>
              <w:left w:val="single" w:sz="12" w:space="0" w:color="auto"/>
              <w:bottom w:val="single" w:sz="12" w:space="0" w:color="auto"/>
            </w:tcBorders>
            <w:vAlign w:val="center"/>
          </w:tcPr>
          <w:p>
            <w:pPr>
              <w:ind w:left="-70" w:right="-70"/>
              <w:jc w:val="center"/>
              <w:rPr>
                <w:b/>
                <w:sz w:val="20"/>
              </w:rPr>
            </w:pPr>
            <w:r>
              <w:rPr>
                <w:b/>
                <w:sz w:val="20"/>
              </w:rPr>
              <w:t>Nombre d'élèves prévus</w:t>
            </w:r>
          </w:p>
        </w:tc>
      </w:tr>
      <w:tr>
        <w:trPr>
          <w:cantSplit/>
          <w:trHeight w:val="586"/>
        </w:trPr>
        <w:tc>
          <w:tcPr>
            <w:tcW w:w="1330" w:type="dxa"/>
            <w:vMerge/>
            <w:tcBorders>
              <w:top w:val="single" w:sz="8" w:space="0" w:color="auto"/>
              <w:bottom w:val="single" w:sz="12" w:space="0" w:color="auto"/>
              <w:right w:val="single" w:sz="12" w:space="0" w:color="auto"/>
            </w:tcBorders>
            <w:vAlign w:val="center"/>
          </w:tcPr>
          <w:p>
            <w:pPr>
              <w:jc w:val="center"/>
              <w:rPr>
                <w:b/>
                <w:sz w:val="20"/>
              </w:rPr>
            </w:pPr>
          </w:p>
        </w:tc>
        <w:tc>
          <w:tcPr>
            <w:tcW w:w="3960" w:type="dxa"/>
            <w:vMerge/>
            <w:tcBorders>
              <w:top w:val="single" w:sz="8" w:space="0" w:color="auto"/>
              <w:left w:val="single" w:sz="12" w:space="0" w:color="auto"/>
              <w:bottom w:val="single" w:sz="12" w:space="0" w:color="auto"/>
              <w:right w:val="single" w:sz="12" w:space="0" w:color="auto"/>
            </w:tcBorders>
            <w:vAlign w:val="center"/>
          </w:tcPr>
          <w:p>
            <w:pPr>
              <w:jc w:val="center"/>
              <w:rPr>
                <w:b/>
                <w:sz w:val="20"/>
              </w:rPr>
            </w:pP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2018</w:t>
            </w:r>
            <w:r>
              <w:rPr>
                <w:b/>
                <w:sz w:val="16"/>
                <w:szCs w:val="16"/>
              </w:rPr>
              <w:br/>
              <w:t xml:space="preserve">- </w:t>
            </w:r>
            <w:r>
              <w:rPr>
                <w:b/>
                <w:sz w:val="16"/>
                <w:szCs w:val="16"/>
              </w:rPr>
              <w:br/>
              <w:t>2019</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right w:val="single" w:sz="12" w:space="0" w:color="auto"/>
            </w:tcBorders>
            <w:vAlign w:val="center"/>
          </w:tcPr>
          <w:p>
            <w:pPr>
              <w:ind w:left="-70" w:right="-70"/>
              <w:jc w:val="center"/>
              <w:rPr>
                <w:b/>
                <w:sz w:val="16"/>
                <w:szCs w:val="16"/>
              </w:rPr>
            </w:pPr>
            <w:r>
              <w:rPr>
                <w:b/>
                <w:sz w:val="16"/>
                <w:szCs w:val="16"/>
              </w:rPr>
              <w:t>2020</w:t>
            </w:r>
          </w:p>
          <w:p>
            <w:pPr>
              <w:ind w:left="-70" w:right="-70"/>
              <w:jc w:val="center"/>
              <w:rPr>
                <w:b/>
                <w:sz w:val="16"/>
                <w:szCs w:val="16"/>
              </w:rPr>
            </w:pPr>
            <w:r>
              <w:rPr>
                <w:b/>
                <w:sz w:val="16"/>
                <w:szCs w:val="16"/>
              </w:rPr>
              <w:t>-</w:t>
            </w:r>
          </w:p>
          <w:p>
            <w:pPr>
              <w:ind w:left="-70" w:right="-70"/>
              <w:jc w:val="center"/>
              <w:rPr>
                <w:b/>
                <w:sz w:val="16"/>
                <w:szCs w:val="16"/>
              </w:rPr>
            </w:pPr>
            <w:r>
              <w:rPr>
                <w:b/>
                <w:sz w:val="16"/>
                <w:szCs w:val="16"/>
              </w:rPr>
              <w:t>2021</w:t>
            </w: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2018</w:t>
            </w:r>
            <w:r>
              <w:rPr>
                <w:b/>
                <w:sz w:val="16"/>
                <w:szCs w:val="16"/>
              </w:rPr>
              <w:br/>
              <w:t xml:space="preserve">- </w:t>
            </w:r>
            <w:r>
              <w:rPr>
                <w:b/>
                <w:sz w:val="16"/>
                <w:szCs w:val="16"/>
              </w:rPr>
              <w:br/>
              <w:t>2019</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right w:val="single" w:sz="12" w:space="0" w:color="auto"/>
            </w:tcBorders>
            <w:vAlign w:val="center"/>
          </w:tcPr>
          <w:p>
            <w:pPr>
              <w:ind w:left="-70" w:right="-70"/>
              <w:jc w:val="center"/>
              <w:rPr>
                <w:b/>
                <w:sz w:val="16"/>
                <w:szCs w:val="16"/>
              </w:rPr>
            </w:pPr>
            <w:r>
              <w:rPr>
                <w:b/>
                <w:sz w:val="16"/>
                <w:szCs w:val="16"/>
              </w:rPr>
              <w:t>2020</w:t>
            </w:r>
          </w:p>
          <w:p>
            <w:pPr>
              <w:ind w:left="-70" w:right="-70"/>
              <w:jc w:val="center"/>
              <w:rPr>
                <w:b/>
                <w:sz w:val="16"/>
                <w:szCs w:val="16"/>
              </w:rPr>
            </w:pPr>
            <w:r>
              <w:rPr>
                <w:b/>
                <w:sz w:val="16"/>
                <w:szCs w:val="16"/>
              </w:rPr>
              <w:t>-</w:t>
            </w:r>
          </w:p>
          <w:p>
            <w:pPr>
              <w:ind w:left="-70" w:right="-70"/>
              <w:jc w:val="center"/>
              <w:rPr>
                <w:b/>
                <w:sz w:val="16"/>
                <w:szCs w:val="16"/>
              </w:rPr>
            </w:pPr>
            <w:r>
              <w:rPr>
                <w:b/>
                <w:sz w:val="16"/>
                <w:szCs w:val="16"/>
              </w:rPr>
              <w:t>2021</w:t>
            </w: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2018</w:t>
            </w:r>
            <w:r>
              <w:rPr>
                <w:b/>
                <w:sz w:val="16"/>
                <w:szCs w:val="16"/>
              </w:rPr>
              <w:br/>
              <w:t xml:space="preserve">- </w:t>
            </w:r>
            <w:r>
              <w:rPr>
                <w:b/>
                <w:sz w:val="16"/>
                <w:szCs w:val="16"/>
              </w:rPr>
              <w:br/>
              <w:t>2019</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2020</w:t>
            </w:r>
          </w:p>
          <w:p>
            <w:pPr>
              <w:ind w:left="-70" w:right="-70"/>
              <w:jc w:val="center"/>
              <w:rPr>
                <w:b/>
                <w:sz w:val="16"/>
                <w:szCs w:val="16"/>
              </w:rPr>
            </w:pPr>
            <w:r>
              <w:rPr>
                <w:b/>
                <w:sz w:val="16"/>
                <w:szCs w:val="16"/>
              </w:rPr>
              <w:t>-</w:t>
            </w:r>
          </w:p>
          <w:p>
            <w:pPr>
              <w:ind w:left="-70" w:right="-70"/>
              <w:jc w:val="center"/>
              <w:rPr>
                <w:b/>
                <w:sz w:val="16"/>
                <w:szCs w:val="16"/>
              </w:rPr>
            </w:pPr>
            <w:r>
              <w:rPr>
                <w:b/>
                <w:sz w:val="16"/>
                <w:szCs w:val="16"/>
              </w:rPr>
              <w:t>2021</w:t>
            </w:r>
          </w:p>
        </w:tc>
      </w:tr>
      <w:tr>
        <w:tc>
          <w:tcPr>
            <w:tcW w:w="1330" w:type="dxa"/>
            <w:tcBorders>
              <w:top w:val="single" w:sz="12" w:space="0" w:color="auto"/>
              <w:right w:val="single" w:sz="12" w:space="0" w:color="auto"/>
            </w:tcBorders>
            <w:vAlign w:val="center"/>
          </w:tcPr>
          <w:p>
            <w:pPr>
              <w:ind w:right="-70"/>
              <w:rPr>
                <w:sz w:val="20"/>
              </w:rPr>
            </w:pPr>
            <w:r>
              <w:rPr>
                <w:sz w:val="20"/>
              </w:rPr>
              <w:t>3</w:t>
            </w:r>
            <w:r>
              <w:rPr>
                <w:sz w:val="20"/>
                <w:vertAlign w:val="superscript"/>
              </w:rPr>
              <w:t>e</w:t>
            </w:r>
            <w:r>
              <w:rPr>
                <w:sz w:val="20"/>
              </w:rPr>
              <w:t xml:space="preserve"> maternelle</w:t>
            </w:r>
          </w:p>
        </w:tc>
        <w:tc>
          <w:tcPr>
            <w:tcW w:w="3960" w:type="dxa"/>
            <w:tcBorders>
              <w:top w:val="single" w:sz="12" w:space="0" w:color="auto"/>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right w:val="single" w:sz="12" w:space="0" w:color="auto"/>
            </w:tcBorders>
            <w:vAlign w:val="center"/>
          </w:tcPr>
          <w:p>
            <w:pPr>
              <w:jc w:val="center"/>
              <w:rPr>
                <w:sz w:val="20"/>
              </w:rPr>
            </w:pP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right w:val="single" w:sz="12" w:space="0" w:color="auto"/>
            </w:tcBorders>
            <w:vAlign w:val="center"/>
          </w:tcPr>
          <w:p>
            <w:pPr>
              <w:jc w:val="center"/>
              <w:rPr>
                <w:sz w:val="20"/>
              </w:rPr>
            </w:pP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1</w:t>
            </w:r>
            <w:r>
              <w:rPr>
                <w:sz w:val="20"/>
                <w:vertAlign w:val="superscript"/>
              </w:rPr>
              <w:t>re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2</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3</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4</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5</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bottom w:val="single" w:sz="12" w:space="0" w:color="auto"/>
              <w:right w:val="single" w:sz="12" w:space="0" w:color="auto"/>
            </w:tcBorders>
            <w:vAlign w:val="center"/>
          </w:tcPr>
          <w:p>
            <w:pPr>
              <w:ind w:right="-70"/>
              <w:rPr>
                <w:sz w:val="20"/>
              </w:rPr>
            </w:pPr>
            <w:r>
              <w:rPr>
                <w:sz w:val="20"/>
              </w:rPr>
              <w:t>6</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bottom w:val="single" w:sz="12" w:space="0" w:color="auto"/>
            </w:tcBorders>
            <w:vAlign w:val="center"/>
          </w:tcPr>
          <w:p>
            <w:pPr>
              <w:jc w:val="center"/>
              <w:rPr>
                <w:sz w:val="20"/>
              </w:rPr>
            </w:pPr>
          </w:p>
        </w:tc>
        <w:tc>
          <w:tcPr>
            <w:tcW w:w="510" w:type="dxa"/>
            <w:tcBorders>
              <w:bottom w:val="single" w:sz="12" w:space="0" w:color="auto"/>
            </w:tcBorders>
            <w:vAlign w:val="center"/>
          </w:tcPr>
          <w:p>
            <w:pPr>
              <w:jc w:val="center"/>
              <w:rPr>
                <w:sz w:val="20"/>
              </w:rPr>
            </w:pPr>
          </w:p>
        </w:tc>
        <w:tc>
          <w:tcPr>
            <w:tcW w:w="510" w:type="dxa"/>
            <w:tcBorders>
              <w:bottom w:val="single" w:sz="12" w:space="0" w:color="auto"/>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bottom w:val="single" w:sz="12" w:space="0" w:color="auto"/>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bl>
    <w:p>
      <w:pPr>
        <w:pStyle w:val="Corpsdetexte"/>
        <w:rPr>
          <w:spacing w:val="-2"/>
          <w:sz w:val="8"/>
          <w:szCs w:val="8"/>
        </w:rPr>
      </w:pPr>
    </w:p>
    <w:p>
      <w:pPr>
        <w:pStyle w:val="Corpsdetexte"/>
        <w:rPr>
          <w:spacing w:val="-2"/>
        </w:rPr>
      </w:pPr>
      <w:r>
        <w:rPr>
          <w:spacing w:val="-2"/>
        </w:rPr>
        <w:t xml:space="preserve">J’ai pris connaissance des conditions prescrites par le Décret du 11/05/2007 relatif à l'apprentissage par immersion linguistique, telles qu'énoncées à la section 4.4.3. de </w:t>
      </w:r>
      <w:smartTag w:uri="urn:schemas-microsoft-com:office:smarttags" w:element="PersonName">
        <w:smartTagPr>
          <w:attr w:name="ProductID" w:val="la Circulaire"/>
        </w:smartTagPr>
        <w:r>
          <w:rPr>
            <w:spacing w:val="-2"/>
          </w:rPr>
          <w:t>la Circulaire</w:t>
        </w:r>
      </w:smartTag>
      <w:r>
        <w:rPr>
          <w:spacing w:val="-2"/>
        </w:rPr>
        <w:t xml:space="preserve"> « Organisation de l’enseignement maternel et primaire ordinaire ».</w:t>
      </w:r>
    </w:p>
    <w:p>
      <w:pPr>
        <w:ind w:left="708" w:hanging="708"/>
        <w:jc w:val="both"/>
        <w:rPr>
          <w:sz w:val="12"/>
        </w:rPr>
      </w:pPr>
    </w:p>
    <w:p>
      <w:pPr>
        <w:spacing w:after="60"/>
        <w:ind w:left="709" w:hanging="709"/>
        <w:jc w:val="both"/>
      </w:pPr>
      <w:r>
        <w:t>Je certifie que:</w:t>
      </w:r>
    </w:p>
    <w:p>
      <w:pPr>
        <w:numPr>
          <w:ilvl w:val="0"/>
          <w:numId w:val="92"/>
        </w:numPr>
        <w:spacing w:after="40"/>
        <w:ind w:left="357" w:hanging="357"/>
        <w:jc w:val="both"/>
      </w:pPr>
      <w:r>
        <w:t>Le Conseil de Participation a été consulté et a remis un avis en date du ……………….;</w:t>
      </w:r>
    </w:p>
    <w:p>
      <w:pPr>
        <w:numPr>
          <w:ilvl w:val="0"/>
          <w:numId w:val="92"/>
        </w:numPr>
        <w:spacing w:after="40"/>
        <w:ind w:left="357" w:hanging="357"/>
        <w:jc w:val="both"/>
      </w:pPr>
      <w:r>
        <w:t>Le Comité de Concertation de Base a été consulté et a remis un avis en date du ……………….;</w:t>
      </w:r>
    </w:p>
    <w:p>
      <w:pPr>
        <w:numPr>
          <w:ilvl w:val="0"/>
          <w:numId w:val="92"/>
        </w:numPr>
        <w:jc w:val="both"/>
      </w:pPr>
      <w:r>
        <w:t xml:space="preserve">Cet apprentissage par immersion est intégré au projet de l’établissement;  </w:t>
      </w:r>
    </w:p>
    <w:p>
      <w:pPr>
        <w:jc w:val="both"/>
        <w:rPr>
          <w:sz w:val="12"/>
        </w:rPr>
      </w:pPr>
    </w:p>
    <w:p>
      <w:pPr>
        <w:pStyle w:val="Corpsdetexte"/>
        <w:rPr>
          <w:rFonts w:cs="Times New Roman"/>
          <w:spacing w:val="-4"/>
        </w:rPr>
      </w:pPr>
      <w:r>
        <w:rPr>
          <w:rFonts w:cs="Times New Roman"/>
          <w:spacing w:val="-4"/>
        </w:rPr>
        <w:t>Le descriptif complet du projet et les 2 avis susmentionnés sont joints en annexe.</w:t>
      </w:r>
    </w:p>
    <w:p>
      <w:pPr>
        <w:pStyle w:val="Textedebulles"/>
        <w:rPr>
          <w:rFonts w:ascii="Arial" w:hAnsi="Arial" w:cs="Times New Roman"/>
          <w:sz w:val="12"/>
          <w:szCs w:val="12"/>
        </w:rPr>
      </w:pPr>
    </w:p>
    <w:p>
      <w:r>
        <w:t xml:space="preserve">Date et signature, </w:t>
      </w:r>
    </w:p>
    <w:p>
      <w:pPr>
        <w:pStyle w:val="annexe"/>
        <w:rPr>
          <w:iCs/>
        </w:rPr>
      </w:pPr>
      <w:bookmarkStart w:id="2276" w:name="_Annexe_4.4.B."/>
      <w:bookmarkStart w:id="2277" w:name="_Annexe_4.4.B._"/>
      <w:bookmarkStart w:id="2278" w:name="_Toc265141684"/>
      <w:bookmarkStart w:id="2279" w:name="_Toc295913891"/>
      <w:bookmarkEnd w:id="2276"/>
      <w:bookmarkEnd w:id="2277"/>
      <w:r>
        <w:br w:type="page"/>
      </w:r>
      <w:bookmarkStart w:id="2280" w:name="Annexe_44B"/>
      <w:bookmarkStart w:id="2281" w:name="_Toc423420211"/>
      <w:bookmarkStart w:id="2282" w:name="_Toc450645460"/>
      <w:bookmarkStart w:id="2283" w:name="_Toc453942699"/>
      <w:bookmarkStart w:id="2284" w:name="_Toc454888315"/>
      <w:bookmarkStart w:id="2285" w:name="_Toc486241934"/>
      <w:r>
        <w:t>Annexe 4.4.B.</w:t>
      </w:r>
      <w:bookmarkEnd w:id="2280"/>
      <w:r>
        <w:rPr>
          <w:iCs/>
        </w:rPr>
        <w:t xml:space="preserve">  Immersion - </w:t>
      </w:r>
      <w:r>
        <w:t xml:space="preserve">Enseignement subventionné par </w:t>
      </w:r>
      <w:smartTag w:uri="urn:schemas-microsoft-com:office:smarttags" w:element="PersonName">
        <w:smartTagPr>
          <w:attr w:name="ProductID" w:val="la F￩d￩ration Wallonie-Bruxelles"/>
        </w:smartTagPr>
        <w:r>
          <w:t>la Fédération Wallonie-Bruxelles</w:t>
        </w:r>
      </w:smartTag>
      <w:bookmarkEnd w:id="2278"/>
      <w:bookmarkEnd w:id="2279"/>
      <w:bookmarkEnd w:id="2281"/>
      <w:bookmarkEnd w:id="2282"/>
      <w:bookmarkEnd w:id="2283"/>
      <w:bookmarkEnd w:id="2284"/>
      <w:bookmarkEnd w:id="2285"/>
    </w:p>
    <w:p>
      <w:pPr>
        <w:jc w:val="right"/>
        <w:rPr>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trPr>
          <w:trHeight w:hRule="exact" w:val="629"/>
        </w:trPr>
        <w:tc>
          <w:tcPr>
            <w:tcW w:w="9212" w:type="dxa"/>
            <w:vAlign w:val="center"/>
          </w:tcPr>
          <w:p>
            <w:pPr>
              <w:jc w:val="center"/>
              <w:rPr>
                <w:b/>
                <w:sz w:val="24"/>
              </w:rPr>
            </w:pPr>
            <w:r>
              <w:rPr>
                <w:b/>
                <w:sz w:val="24"/>
              </w:rPr>
              <w:t xml:space="preserve">DECLARATION D'ORGANISATION D'UN APPRENTISSAGE  PAR IMMERSION POUR UNE PERIODE DE 3 ANS </w:t>
            </w:r>
          </w:p>
        </w:tc>
      </w:tr>
    </w:tbl>
    <w:p>
      <w:pPr>
        <w:jc w:val="both"/>
        <w:rPr>
          <w:b/>
          <w:sz w:val="12"/>
          <w:szCs w:val="12"/>
        </w:rPr>
      </w:pPr>
    </w:p>
    <w:p>
      <w:pPr>
        <w:pStyle w:val="Corpsdetexte"/>
        <w:rPr>
          <w:rFonts w:cs="Times New Roman"/>
          <w:spacing w:val="-4"/>
        </w:rPr>
      </w:pPr>
      <w:r>
        <w:rPr>
          <w:rFonts w:cs="Times New Roman"/>
          <w:spacing w:val="-4"/>
        </w:rPr>
        <w:t>Je soussigné(e) ……………………………………………………… représentant du Pouvoir organisateur, déclare organiser un apprentissage par immersion dans l’école/l'implantation/les implantations ci-dessous:</w:t>
      </w:r>
    </w:p>
    <w:p>
      <w:pPr>
        <w:jc w:val="both"/>
        <w:rPr>
          <w:sz w:val="8"/>
          <w:szCs w:val="8"/>
        </w:rPr>
      </w:pPr>
    </w:p>
    <w:p>
      <w:pPr>
        <w:ind w:left="374" w:hanging="374"/>
      </w:pPr>
      <w:r>
        <w:rPr>
          <w:b/>
          <w:bCs/>
          <w:spacing w:val="-6"/>
        </w:rPr>
        <w:t>Réseau:</w:t>
      </w:r>
      <w:r>
        <w:rPr>
          <w:spacing w:val="-6"/>
        </w:rPr>
        <w:t xml:space="preserve">  </w:t>
      </w:r>
      <w:r>
        <w:t xml:space="preserve">Officiel subventionné  –  Libre confessionnel  –  Libre non confessionnel </w:t>
      </w:r>
    </w:p>
    <w:p>
      <w:pPr>
        <w:jc w:val="both"/>
        <w:rPr>
          <w:sz w:val="8"/>
          <w:szCs w:val="8"/>
        </w:rPr>
      </w:pPr>
    </w:p>
    <w:p>
      <w:pPr>
        <w:pStyle w:val="Corpsdetexte3"/>
        <w:rPr>
          <w:spacing w:val="0"/>
          <w:szCs w:val="24"/>
        </w:rPr>
      </w:pPr>
      <w:r>
        <w:rPr>
          <w:spacing w:val="0"/>
          <w:szCs w:val="24"/>
        </w:rPr>
        <w:t xml:space="preserve">N° FASE de l'école:  </w:t>
      </w:r>
    </w:p>
    <w:p>
      <w:pPr>
        <w:jc w:val="both"/>
        <w:rPr>
          <w:sz w:val="8"/>
          <w:szCs w:val="8"/>
        </w:rPr>
      </w:pPr>
    </w:p>
    <w:p>
      <w:pPr>
        <w:pStyle w:val="Corpsdetexte3"/>
        <w:rPr>
          <w:spacing w:val="0"/>
          <w:szCs w:val="24"/>
        </w:rPr>
      </w:pPr>
      <w:r>
        <w:rPr>
          <w:spacing w:val="0"/>
          <w:szCs w:val="24"/>
        </w:rPr>
        <w:t>Nom et adresse de l'école:</w:t>
      </w:r>
    </w:p>
    <w:p>
      <w:pPr>
        <w:jc w:val="both"/>
        <w:rPr>
          <w:sz w:val="16"/>
          <w:szCs w:val="16"/>
        </w:rPr>
      </w:pPr>
    </w:p>
    <w:p>
      <w:pPr>
        <w:jc w:val="both"/>
      </w:pPr>
      <w:r>
        <w:rPr>
          <w:b/>
          <w:bCs/>
        </w:rPr>
        <w:t>Date de la première ouverture de l'immersion:</w:t>
      </w:r>
      <w:r>
        <w:tab/>
        <w:t>…… / …… / …………</w:t>
      </w:r>
    </w:p>
    <w:p>
      <w:pPr>
        <w:spacing w:line="120" w:lineRule="auto"/>
        <w:jc w:val="both"/>
        <w:rPr>
          <w:sz w:val="16"/>
        </w:rPr>
      </w:pPr>
    </w:p>
    <w:p>
      <w:pPr>
        <w:pStyle w:val="Corpsdetexte3"/>
        <w:spacing w:after="60"/>
        <w:rPr>
          <w:spacing w:val="0"/>
          <w:szCs w:val="24"/>
        </w:rPr>
      </w:pPr>
      <w:r>
        <w:rPr>
          <w:spacing w:val="0"/>
          <w:szCs w:val="24"/>
        </w:rPr>
        <w:t>Implantations(s) concernées(s):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8460"/>
      </w:tblGrid>
      <w:tr>
        <w:trPr>
          <w:trHeight w:hRule="exact" w:val="312"/>
        </w:trPr>
        <w:tc>
          <w:tcPr>
            <w:tcW w:w="430" w:type="dxa"/>
            <w:vAlign w:val="center"/>
          </w:tcPr>
          <w:p>
            <w:pPr>
              <w:jc w:val="both"/>
              <w:rPr>
                <w:sz w:val="20"/>
              </w:rPr>
            </w:pPr>
          </w:p>
        </w:tc>
        <w:tc>
          <w:tcPr>
            <w:tcW w:w="1080" w:type="dxa"/>
            <w:vAlign w:val="center"/>
          </w:tcPr>
          <w:p>
            <w:pPr>
              <w:jc w:val="both"/>
              <w:rPr>
                <w:sz w:val="20"/>
              </w:rPr>
            </w:pPr>
            <w:r>
              <w:rPr>
                <w:sz w:val="20"/>
              </w:rPr>
              <w:t>N° FASE</w:t>
            </w:r>
          </w:p>
        </w:tc>
        <w:tc>
          <w:tcPr>
            <w:tcW w:w="8460" w:type="dxa"/>
            <w:vAlign w:val="center"/>
          </w:tcPr>
          <w:p>
            <w:pPr>
              <w:jc w:val="both"/>
              <w:rPr>
                <w:sz w:val="20"/>
              </w:rPr>
            </w:pPr>
            <w:r>
              <w:rPr>
                <w:sz w:val="20"/>
              </w:rPr>
              <w:t>Adresse de l'implantation</w:t>
            </w:r>
          </w:p>
        </w:tc>
      </w:tr>
      <w:tr>
        <w:trPr>
          <w:trHeight w:hRule="exact" w:val="312"/>
        </w:trPr>
        <w:tc>
          <w:tcPr>
            <w:tcW w:w="430" w:type="dxa"/>
            <w:vAlign w:val="center"/>
          </w:tcPr>
          <w:p>
            <w:pPr>
              <w:jc w:val="both"/>
            </w:pPr>
          </w:p>
        </w:tc>
        <w:tc>
          <w:tcPr>
            <w:tcW w:w="1080" w:type="dxa"/>
            <w:vAlign w:val="center"/>
          </w:tcPr>
          <w:p>
            <w:pPr>
              <w:jc w:val="both"/>
            </w:pPr>
          </w:p>
        </w:tc>
        <w:tc>
          <w:tcPr>
            <w:tcW w:w="8460" w:type="dxa"/>
            <w:vAlign w:val="center"/>
          </w:tcPr>
          <w:p>
            <w:pPr>
              <w:jc w:val="both"/>
            </w:pPr>
          </w:p>
        </w:tc>
      </w:tr>
      <w:tr>
        <w:trPr>
          <w:trHeight w:hRule="exact" w:val="312"/>
        </w:trPr>
        <w:tc>
          <w:tcPr>
            <w:tcW w:w="430" w:type="dxa"/>
            <w:vAlign w:val="center"/>
          </w:tcPr>
          <w:p>
            <w:pPr>
              <w:jc w:val="both"/>
            </w:pPr>
          </w:p>
        </w:tc>
        <w:tc>
          <w:tcPr>
            <w:tcW w:w="1080" w:type="dxa"/>
            <w:vAlign w:val="center"/>
          </w:tcPr>
          <w:p>
            <w:pPr>
              <w:jc w:val="both"/>
            </w:pPr>
          </w:p>
        </w:tc>
        <w:tc>
          <w:tcPr>
            <w:tcW w:w="8460" w:type="dxa"/>
            <w:vAlign w:val="center"/>
          </w:tcPr>
          <w:p>
            <w:pPr>
              <w:jc w:val="both"/>
            </w:pPr>
          </w:p>
        </w:tc>
      </w:tr>
      <w:tr>
        <w:trPr>
          <w:trHeight w:hRule="exact" w:val="312"/>
        </w:trPr>
        <w:tc>
          <w:tcPr>
            <w:tcW w:w="430" w:type="dxa"/>
            <w:vAlign w:val="center"/>
          </w:tcPr>
          <w:p>
            <w:pPr>
              <w:jc w:val="both"/>
            </w:pPr>
          </w:p>
        </w:tc>
        <w:tc>
          <w:tcPr>
            <w:tcW w:w="1080" w:type="dxa"/>
            <w:vAlign w:val="center"/>
          </w:tcPr>
          <w:p>
            <w:pPr>
              <w:jc w:val="both"/>
            </w:pPr>
          </w:p>
        </w:tc>
        <w:tc>
          <w:tcPr>
            <w:tcW w:w="8460" w:type="dxa"/>
            <w:vAlign w:val="center"/>
          </w:tcPr>
          <w:p>
            <w:pPr>
              <w:jc w:val="both"/>
            </w:pPr>
          </w:p>
        </w:tc>
      </w:tr>
      <w:tr>
        <w:trPr>
          <w:trHeight w:hRule="exact" w:val="312"/>
        </w:trPr>
        <w:tc>
          <w:tcPr>
            <w:tcW w:w="430" w:type="dxa"/>
            <w:vAlign w:val="center"/>
          </w:tcPr>
          <w:p>
            <w:pPr>
              <w:jc w:val="both"/>
            </w:pPr>
          </w:p>
        </w:tc>
        <w:tc>
          <w:tcPr>
            <w:tcW w:w="1080" w:type="dxa"/>
            <w:vAlign w:val="center"/>
          </w:tcPr>
          <w:p>
            <w:pPr>
              <w:jc w:val="both"/>
            </w:pPr>
          </w:p>
        </w:tc>
        <w:tc>
          <w:tcPr>
            <w:tcW w:w="8460" w:type="dxa"/>
            <w:vAlign w:val="center"/>
          </w:tcPr>
          <w:p>
            <w:pPr>
              <w:jc w:val="both"/>
            </w:pPr>
          </w:p>
        </w:tc>
      </w:tr>
    </w:tbl>
    <w:p>
      <w:pPr>
        <w:ind w:left="708" w:hanging="708"/>
        <w:jc w:val="both"/>
        <w:rPr>
          <w:sz w:val="8"/>
          <w:szCs w:val="8"/>
        </w:rPr>
      </w:pPr>
    </w:p>
    <w:p>
      <w:pPr>
        <w:ind w:left="708" w:hanging="708"/>
        <w:rPr>
          <w:i/>
          <w:iCs/>
          <w:sz w:val="18"/>
        </w:rPr>
      </w:pPr>
      <w:r>
        <w:rPr>
          <w:b/>
        </w:rPr>
        <w:t>Langue(s) choisie(s):</w:t>
      </w:r>
      <w:r>
        <w:t xml:space="preserve"> néerlandais – allemand – anglais    </w:t>
      </w:r>
      <w:r>
        <w:rPr>
          <w:i/>
          <w:iCs/>
          <w:sz w:val="18"/>
        </w:rPr>
        <w:t>(maximum 2 langues - biffer les mentions inutiles)</w:t>
      </w:r>
    </w:p>
    <w:p>
      <w:pPr>
        <w:ind w:left="708" w:hanging="708"/>
        <w:jc w:val="center"/>
        <w:rPr>
          <w:sz w:val="12"/>
        </w:rPr>
      </w:pPr>
    </w:p>
    <w:p>
      <w:pPr>
        <w:spacing w:after="80"/>
        <w:ind w:left="709" w:hanging="709"/>
        <w:rPr>
          <w:b/>
          <w:spacing w:val="-2"/>
        </w:rPr>
      </w:pPr>
      <w:r>
        <w:rPr>
          <w:b/>
          <w:spacing w:val="-2"/>
        </w:rPr>
        <w:t>Années d'études, périodes hebdomadaires, nombre de classes et nombres d'élèves concernés:</w:t>
      </w:r>
    </w:p>
    <w:tbl>
      <w:tblPr>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330"/>
        <w:gridCol w:w="3960"/>
        <w:gridCol w:w="510"/>
        <w:gridCol w:w="510"/>
        <w:gridCol w:w="510"/>
        <w:gridCol w:w="510"/>
        <w:gridCol w:w="510"/>
        <w:gridCol w:w="510"/>
        <w:gridCol w:w="510"/>
        <w:gridCol w:w="510"/>
        <w:gridCol w:w="510"/>
      </w:tblGrid>
      <w:tr>
        <w:trPr>
          <w:cantSplit/>
          <w:trHeight w:val="345"/>
        </w:trPr>
        <w:tc>
          <w:tcPr>
            <w:tcW w:w="1330" w:type="dxa"/>
            <w:vMerge w:val="restart"/>
            <w:tcBorders>
              <w:top w:val="single" w:sz="12" w:space="0" w:color="auto"/>
              <w:bottom w:val="single" w:sz="8" w:space="0" w:color="auto"/>
              <w:right w:val="single" w:sz="12" w:space="0" w:color="auto"/>
            </w:tcBorders>
            <w:vAlign w:val="center"/>
          </w:tcPr>
          <w:p>
            <w:pPr>
              <w:jc w:val="center"/>
              <w:rPr>
                <w:b/>
                <w:sz w:val="20"/>
              </w:rPr>
            </w:pPr>
            <w:r>
              <w:rPr>
                <w:b/>
                <w:sz w:val="20"/>
              </w:rPr>
              <w:t>Années d’études</w:t>
            </w:r>
          </w:p>
        </w:tc>
        <w:tc>
          <w:tcPr>
            <w:tcW w:w="3960" w:type="dxa"/>
            <w:vMerge w:val="restart"/>
            <w:tcBorders>
              <w:top w:val="single" w:sz="12" w:space="0" w:color="auto"/>
              <w:left w:val="single" w:sz="12" w:space="0" w:color="auto"/>
              <w:bottom w:val="single" w:sz="8" w:space="0" w:color="auto"/>
              <w:right w:val="single" w:sz="12" w:space="0" w:color="auto"/>
            </w:tcBorders>
            <w:vAlign w:val="center"/>
          </w:tcPr>
          <w:p>
            <w:pPr>
              <w:jc w:val="center"/>
              <w:rPr>
                <w:b/>
                <w:sz w:val="20"/>
              </w:rPr>
            </w:pPr>
            <w:r>
              <w:rPr>
                <w:b/>
                <w:sz w:val="20"/>
              </w:rPr>
              <w:t>Maximum et Minimum</w:t>
            </w:r>
          </w:p>
        </w:tc>
        <w:tc>
          <w:tcPr>
            <w:tcW w:w="1530" w:type="dxa"/>
            <w:gridSpan w:val="3"/>
            <w:tcBorders>
              <w:top w:val="single" w:sz="12" w:space="0" w:color="auto"/>
              <w:left w:val="single" w:sz="12" w:space="0" w:color="auto"/>
              <w:bottom w:val="single" w:sz="12" w:space="0" w:color="auto"/>
              <w:right w:val="single" w:sz="12" w:space="0" w:color="auto"/>
            </w:tcBorders>
            <w:vAlign w:val="center"/>
          </w:tcPr>
          <w:p>
            <w:pPr>
              <w:ind w:left="-70" w:right="-70"/>
              <w:jc w:val="center"/>
              <w:rPr>
                <w:b/>
                <w:sz w:val="20"/>
              </w:rPr>
            </w:pPr>
            <w:r>
              <w:rPr>
                <w:b/>
                <w:sz w:val="20"/>
              </w:rPr>
              <w:t>Nb de périodes</w:t>
            </w:r>
          </w:p>
          <w:p>
            <w:pPr>
              <w:ind w:left="-70" w:right="-70"/>
              <w:jc w:val="center"/>
              <w:rPr>
                <w:b/>
                <w:sz w:val="20"/>
              </w:rPr>
            </w:pPr>
            <w:r>
              <w:rPr>
                <w:b/>
                <w:sz w:val="20"/>
              </w:rPr>
              <w:t xml:space="preserve">hebdomadaires </w:t>
            </w:r>
            <w:r>
              <w:rPr>
                <w:b/>
                <w:sz w:val="20"/>
              </w:rPr>
              <w:br/>
              <w:t>en immersion</w:t>
            </w:r>
          </w:p>
        </w:tc>
        <w:tc>
          <w:tcPr>
            <w:tcW w:w="1530" w:type="dxa"/>
            <w:gridSpan w:val="3"/>
            <w:tcBorders>
              <w:top w:val="single" w:sz="12" w:space="0" w:color="auto"/>
              <w:left w:val="single" w:sz="12" w:space="0" w:color="auto"/>
              <w:bottom w:val="single" w:sz="12" w:space="0" w:color="auto"/>
              <w:right w:val="single" w:sz="12" w:space="0" w:color="auto"/>
            </w:tcBorders>
            <w:vAlign w:val="center"/>
          </w:tcPr>
          <w:p>
            <w:pPr>
              <w:ind w:left="-70" w:right="-70"/>
              <w:jc w:val="center"/>
              <w:rPr>
                <w:b/>
                <w:sz w:val="20"/>
              </w:rPr>
            </w:pPr>
            <w:r>
              <w:rPr>
                <w:b/>
                <w:sz w:val="20"/>
              </w:rPr>
              <w:t>Nombre de classes concernées</w:t>
            </w:r>
          </w:p>
        </w:tc>
        <w:tc>
          <w:tcPr>
            <w:tcW w:w="1530" w:type="dxa"/>
            <w:gridSpan w:val="3"/>
            <w:tcBorders>
              <w:top w:val="single" w:sz="12" w:space="0" w:color="auto"/>
              <w:left w:val="single" w:sz="12" w:space="0" w:color="auto"/>
              <w:bottom w:val="single" w:sz="12" w:space="0" w:color="auto"/>
            </w:tcBorders>
            <w:vAlign w:val="center"/>
          </w:tcPr>
          <w:p>
            <w:pPr>
              <w:ind w:left="-70" w:right="-70"/>
              <w:jc w:val="center"/>
              <w:rPr>
                <w:b/>
                <w:sz w:val="20"/>
              </w:rPr>
            </w:pPr>
            <w:r>
              <w:rPr>
                <w:b/>
                <w:sz w:val="20"/>
              </w:rPr>
              <w:t>Nombre d'élèves prévus</w:t>
            </w:r>
          </w:p>
        </w:tc>
      </w:tr>
      <w:tr>
        <w:trPr>
          <w:cantSplit/>
          <w:trHeight w:val="586"/>
        </w:trPr>
        <w:tc>
          <w:tcPr>
            <w:tcW w:w="1330" w:type="dxa"/>
            <w:vMerge/>
            <w:tcBorders>
              <w:top w:val="single" w:sz="8" w:space="0" w:color="auto"/>
              <w:bottom w:val="single" w:sz="12" w:space="0" w:color="auto"/>
              <w:right w:val="single" w:sz="12" w:space="0" w:color="auto"/>
            </w:tcBorders>
            <w:vAlign w:val="center"/>
          </w:tcPr>
          <w:p>
            <w:pPr>
              <w:jc w:val="center"/>
              <w:rPr>
                <w:b/>
                <w:sz w:val="20"/>
              </w:rPr>
            </w:pPr>
          </w:p>
        </w:tc>
        <w:tc>
          <w:tcPr>
            <w:tcW w:w="3960" w:type="dxa"/>
            <w:vMerge/>
            <w:tcBorders>
              <w:top w:val="single" w:sz="8" w:space="0" w:color="auto"/>
              <w:left w:val="single" w:sz="12" w:space="0" w:color="auto"/>
              <w:bottom w:val="single" w:sz="12" w:space="0" w:color="auto"/>
              <w:right w:val="single" w:sz="12" w:space="0" w:color="auto"/>
            </w:tcBorders>
            <w:vAlign w:val="center"/>
          </w:tcPr>
          <w:p>
            <w:pPr>
              <w:jc w:val="center"/>
              <w:rPr>
                <w:b/>
                <w:sz w:val="20"/>
              </w:rPr>
            </w:pP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2018</w:t>
            </w:r>
            <w:r>
              <w:rPr>
                <w:b/>
                <w:sz w:val="16"/>
                <w:szCs w:val="16"/>
              </w:rPr>
              <w:br/>
              <w:t xml:space="preserve">- </w:t>
            </w:r>
            <w:r>
              <w:rPr>
                <w:b/>
                <w:sz w:val="16"/>
                <w:szCs w:val="16"/>
              </w:rPr>
              <w:br/>
              <w:t>2019</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right w:val="single" w:sz="12" w:space="0" w:color="auto"/>
            </w:tcBorders>
            <w:vAlign w:val="center"/>
          </w:tcPr>
          <w:p>
            <w:pPr>
              <w:ind w:left="-70" w:right="-70"/>
              <w:jc w:val="center"/>
              <w:rPr>
                <w:b/>
                <w:sz w:val="16"/>
                <w:szCs w:val="16"/>
              </w:rPr>
            </w:pPr>
            <w:r>
              <w:rPr>
                <w:b/>
                <w:sz w:val="16"/>
                <w:szCs w:val="16"/>
              </w:rPr>
              <w:t>2020</w:t>
            </w:r>
          </w:p>
          <w:p>
            <w:pPr>
              <w:ind w:left="-70" w:right="-70"/>
              <w:jc w:val="center"/>
              <w:rPr>
                <w:b/>
                <w:sz w:val="16"/>
                <w:szCs w:val="16"/>
              </w:rPr>
            </w:pPr>
            <w:r>
              <w:rPr>
                <w:b/>
                <w:sz w:val="16"/>
                <w:szCs w:val="16"/>
              </w:rPr>
              <w:t>-</w:t>
            </w:r>
          </w:p>
          <w:p>
            <w:pPr>
              <w:ind w:left="-70" w:right="-70"/>
              <w:jc w:val="center"/>
              <w:rPr>
                <w:b/>
                <w:sz w:val="16"/>
                <w:szCs w:val="16"/>
              </w:rPr>
            </w:pPr>
            <w:r>
              <w:rPr>
                <w:b/>
                <w:sz w:val="16"/>
                <w:szCs w:val="16"/>
              </w:rPr>
              <w:t>2021</w:t>
            </w: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2018</w:t>
            </w:r>
            <w:r>
              <w:rPr>
                <w:b/>
                <w:sz w:val="16"/>
                <w:szCs w:val="16"/>
              </w:rPr>
              <w:br/>
              <w:t xml:space="preserve">- </w:t>
            </w:r>
            <w:r>
              <w:rPr>
                <w:b/>
                <w:sz w:val="16"/>
                <w:szCs w:val="16"/>
              </w:rPr>
              <w:br/>
              <w:t>2019</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right w:val="single" w:sz="12" w:space="0" w:color="auto"/>
            </w:tcBorders>
            <w:vAlign w:val="center"/>
          </w:tcPr>
          <w:p>
            <w:pPr>
              <w:ind w:left="-70" w:right="-70"/>
              <w:jc w:val="center"/>
              <w:rPr>
                <w:b/>
                <w:sz w:val="16"/>
                <w:szCs w:val="16"/>
              </w:rPr>
            </w:pPr>
            <w:r>
              <w:rPr>
                <w:b/>
                <w:sz w:val="16"/>
                <w:szCs w:val="16"/>
              </w:rPr>
              <w:t>2020</w:t>
            </w:r>
          </w:p>
          <w:p>
            <w:pPr>
              <w:ind w:left="-70" w:right="-70"/>
              <w:jc w:val="center"/>
              <w:rPr>
                <w:b/>
                <w:sz w:val="16"/>
                <w:szCs w:val="16"/>
              </w:rPr>
            </w:pPr>
            <w:r>
              <w:rPr>
                <w:b/>
                <w:sz w:val="16"/>
                <w:szCs w:val="16"/>
              </w:rPr>
              <w:t>-</w:t>
            </w:r>
          </w:p>
          <w:p>
            <w:pPr>
              <w:ind w:left="-70" w:right="-70"/>
              <w:jc w:val="center"/>
              <w:rPr>
                <w:b/>
                <w:sz w:val="16"/>
                <w:szCs w:val="16"/>
              </w:rPr>
            </w:pPr>
            <w:r>
              <w:rPr>
                <w:b/>
                <w:sz w:val="16"/>
                <w:szCs w:val="16"/>
              </w:rPr>
              <w:t>2021</w:t>
            </w:r>
          </w:p>
        </w:tc>
        <w:tc>
          <w:tcPr>
            <w:tcW w:w="510" w:type="dxa"/>
            <w:tcBorders>
              <w:top w:val="single" w:sz="12" w:space="0" w:color="auto"/>
              <w:left w:val="single" w:sz="12" w:space="0" w:color="auto"/>
              <w:bottom w:val="single" w:sz="12" w:space="0" w:color="auto"/>
            </w:tcBorders>
            <w:vAlign w:val="center"/>
          </w:tcPr>
          <w:p>
            <w:pPr>
              <w:ind w:left="-70" w:right="-70"/>
              <w:jc w:val="center"/>
              <w:rPr>
                <w:b/>
                <w:sz w:val="16"/>
                <w:szCs w:val="16"/>
              </w:rPr>
            </w:pPr>
            <w:r>
              <w:rPr>
                <w:b/>
                <w:sz w:val="16"/>
                <w:szCs w:val="16"/>
              </w:rPr>
              <w:t>2018</w:t>
            </w:r>
            <w:r>
              <w:rPr>
                <w:b/>
                <w:sz w:val="16"/>
                <w:szCs w:val="16"/>
              </w:rPr>
              <w:br/>
              <w:t xml:space="preserve">- </w:t>
            </w:r>
            <w:r>
              <w:rPr>
                <w:b/>
                <w:sz w:val="16"/>
                <w:szCs w:val="16"/>
              </w:rPr>
              <w:br/>
              <w:t>2019</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2019</w:t>
            </w:r>
            <w:r>
              <w:rPr>
                <w:b/>
                <w:sz w:val="16"/>
                <w:szCs w:val="16"/>
              </w:rPr>
              <w:br/>
              <w:t xml:space="preserve">- </w:t>
            </w:r>
            <w:r>
              <w:rPr>
                <w:b/>
                <w:sz w:val="16"/>
                <w:szCs w:val="16"/>
              </w:rPr>
              <w:br/>
              <w:t>2020</w:t>
            </w:r>
          </w:p>
        </w:tc>
        <w:tc>
          <w:tcPr>
            <w:tcW w:w="510" w:type="dxa"/>
            <w:tcBorders>
              <w:top w:val="single" w:sz="12" w:space="0" w:color="auto"/>
              <w:bottom w:val="single" w:sz="12" w:space="0" w:color="auto"/>
            </w:tcBorders>
            <w:vAlign w:val="center"/>
          </w:tcPr>
          <w:p>
            <w:pPr>
              <w:ind w:left="-70" w:right="-70"/>
              <w:jc w:val="center"/>
              <w:rPr>
                <w:b/>
                <w:sz w:val="16"/>
                <w:szCs w:val="16"/>
              </w:rPr>
            </w:pPr>
            <w:r>
              <w:rPr>
                <w:b/>
                <w:sz w:val="16"/>
                <w:szCs w:val="16"/>
              </w:rPr>
              <w:t>2020</w:t>
            </w:r>
          </w:p>
          <w:p>
            <w:pPr>
              <w:ind w:left="-70" w:right="-70"/>
              <w:jc w:val="center"/>
              <w:rPr>
                <w:b/>
                <w:sz w:val="16"/>
                <w:szCs w:val="16"/>
              </w:rPr>
            </w:pPr>
            <w:r>
              <w:rPr>
                <w:b/>
                <w:sz w:val="16"/>
                <w:szCs w:val="16"/>
              </w:rPr>
              <w:t>-</w:t>
            </w:r>
          </w:p>
          <w:p>
            <w:pPr>
              <w:ind w:left="-70" w:right="-70"/>
              <w:jc w:val="center"/>
              <w:rPr>
                <w:b/>
                <w:sz w:val="16"/>
                <w:szCs w:val="16"/>
              </w:rPr>
            </w:pPr>
            <w:r>
              <w:rPr>
                <w:b/>
                <w:sz w:val="16"/>
                <w:szCs w:val="16"/>
              </w:rPr>
              <w:t>2021</w:t>
            </w:r>
          </w:p>
        </w:tc>
      </w:tr>
      <w:tr>
        <w:tc>
          <w:tcPr>
            <w:tcW w:w="1330" w:type="dxa"/>
            <w:tcBorders>
              <w:top w:val="single" w:sz="12" w:space="0" w:color="auto"/>
              <w:right w:val="single" w:sz="12" w:space="0" w:color="auto"/>
            </w:tcBorders>
            <w:vAlign w:val="center"/>
          </w:tcPr>
          <w:p>
            <w:pPr>
              <w:ind w:right="-70"/>
              <w:rPr>
                <w:sz w:val="20"/>
              </w:rPr>
            </w:pPr>
            <w:r>
              <w:rPr>
                <w:sz w:val="20"/>
              </w:rPr>
              <w:t>3</w:t>
            </w:r>
            <w:r>
              <w:rPr>
                <w:sz w:val="20"/>
                <w:vertAlign w:val="superscript"/>
              </w:rPr>
              <w:t>e</w:t>
            </w:r>
            <w:r>
              <w:rPr>
                <w:sz w:val="20"/>
              </w:rPr>
              <w:t xml:space="preserve"> maternelle</w:t>
            </w:r>
          </w:p>
        </w:tc>
        <w:tc>
          <w:tcPr>
            <w:tcW w:w="3960" w:type="dxa"/>
            <w:tcBorders>
              <w:top w:val="single" w:sz="12" w:space="0" w:color="auto"/>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right w:val="single" w:sz="12" w:space="0" w:color="auto"/>
            </w:tcBorders>
            <w:vAlign w:val="center"/>
          </w:tcPr>
          <w:p>
            <w:pPr>
              <w:jc w:val="center"/>
              <w:rPr>
                <w:sz w:val="20"/>
              </w:rPr>
            </w:pP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right w:val="single" w:sz="12" w:space="0" w:color="auto"/>
            </w:tcBorders>
            <w:vAlign w:val="center"/>
          </w:tcPr>
          <w:p>
            <w:pPr>
              <w:jc w:val="center"/>
              <w:rPr>
                <w:sz w:val="20"/>
              </w:rPr>
            </w:pPr>
          </w:p>
        </w:tc>
        <w:tc>
          <w:tcPr>
            <w:tcW w:w="510" w:type="dxa"/>
            <w:tcBorders>
              <w:top w:val="single" w:sz="12" w:space="0" w:color="auto"/>
              <w:left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c>
          <w:tcPr>
            <w:tcW w:w="510" w:type="dxa"/>
            <w:tcBorders>
              <w:top w:val="single" w:sz="12" w:space="0" w:color="auto"/>
            </w:tcBorders>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1</w:t>
            </w:r>
            <w:r>
              <w:rPr>
                <w:sz w:val="20"/>
                <w:vertAlign w:val="superscript"/>
              </w:rPr>
              <w:t>re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2</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21 périodes</w:t>
            </w:r>
          </w:p>
          <w:p>
            <w:pPr>
              <w:ind w:right="-70"/>
              <w:rPr>
                <w:sz w:val="20"/>
              </w:rPr>
            </w:pPr>
            <w:r>
              <w:rPr>
                <w:sz w:val="20"/>
              </w:rPr>
              <w:t xml:space="preserve">Minimum 8 périodes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3</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4</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right w:val="single" w:sz="12" w:space="0" w:color="auto"/>
            </w:tcBorders>
            <w:vAlign w:val="center"/>
          </w:tcPr>
          <w:p>
            <w:pPr>
              <w:ind w:right="-70"/>
              <w:rPr>
                <w:sz w:val="20"/>
              </w:rPr>
            </w:pPr>
            <w:r>
              <w:rPr>
                <w:sz w:val="20"/>
              </w:rPr>
              <w:t>5</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r>
        <w:tc>
          <w:tcPr>
            <w:tcW w:w="1330" w:type="dxa"/>
            <w:tcBorders>
              <w:bottom w:val="single" w:sz="12" w:space="0" w:color="auto"/>
              <w:right w:val="single" w:sz="12" w:space="0" w:color="auto"/>
            </w:tcBorders>
            <w:vAlign w:val="center"/>
          </w:tcPr>
          <w:p>
            <w:pPr>
              <w:ind w:right="-70"/>
              <w:rPr>
                <w:sz w:val="20"/>
              </w:rPr>
            </w:pPr>
            <w:r>
              <w:rPr>
                <w:sz w:val="20"/>
              </w:rPr>
              <w:t>6</w:t>
            </w:r>
            <w:r>
              <w:rPr>
                <w:sz w:val="20"/>
                <w:vertAlign w:val="superscript"/>
              </w:rPr>
              <w:t>e</w:t>
            </w:r>
            <w:r>
              <w:rPr>
                <w:sz w:val="20"/>
              </w:rPr>
              <w:t xml:space="preserve"> primaire</w:t>
            </w:r>
          </w:p>
        </w:tc>
        <w:tc>
          <w:tcPr>
            <w:tcW w:w="3960" w:type="dxa"/>
            <w:tcBorders>
              <w:left w:val="single" w:sz="12" w:space="0" w:color="auto"/>
              <w:right w:val="single" w:sz="12" w:space="0" w:color="auto"/>
            </w:tcBorders>
            <w:vAlign w:val="center"/>
          </w:tcPr>
          <w:p>
            <w:pPr>
              <w:ind w:right="-70"/>
              <w:rPr>
                <w:sz w:val="20"/>
              </w:rPr>
            </w:pPr>
            <w:r>
              <w:rPr>
                <w:sz w:val="20"/>
              </w:rPr>
              <w:t>Maximum 18 périodes</w:t>
            </w:r>
          </w:p>
          <w:p>
            <w:pPr>
              <w:ind w:right="-70"/>
              <w:rPr>
                <w:sz w:val="20"/>
              </w:rPr>
            </w:pPr>
            <w:r>
              <w:rPr>
                <w:sz w:val="20"/>
              </w:rPr>
              <w:t>Minimum 8 périodes si début en M3 ou P1</w:t>
            </w:r>
          </w:p>
          <w:p>
            <w:pPr>
              <w:ind w:right="-70"/>
              <w:rPr>
                <w:sz w:val="20"/>
              </w:rPr>
            </w:pPr>
            <w:r>
              <w:rPr>
                <w:sz w:val="20"/>
              </w:rPr>
              <w:t xml:space="preserve">Minimum 12 périodes si début en P3 </w:t>
            </w:r>
          </w:p>
        </w:tc>
        <w:tc>
          <w:tcPr>
            <w:tcW w:w="510" w:type="dxa"/>
            <w:tcBorders>
              <w:left w:val="single" w:sz="12" w:space="0" w:color="auto"/>
              <w:bottom w:val="single" w:sz="12" w:space="0" w:color="auto"/>
            </w:tcBorders>
            <w:vAlign w:val="center"/>
          </w:tcPr>
          <w:p>
            <w:pPr>
              <w:jc w:val="center"/>
              <w:rPr>
                <w:sz w:val="20"/>
              </w:rPr>
            </w:pPr>
          </w:p>
        </w:tc>
        <w:tc>
          <w:tcPr>
            <w:tcW w:w="510" w:type="dxa"/>
            <w:tcBorders>
              <w:bottom w:val="single" w:sz="12" w:space="0" w:color="auto"/>
            </w:tcBorders>
            <w:vAlign w:val="center"/>
          </w:tcPr>
          <w:p>
            <w:pPr>
              <w:jc w:val="center"/>
              <w:rPr>
                <w:sz w:val="20"/>
              </w:rPr>
            </w:pPr>
          </w:p>
        </w:tc>
        <w:tc>
          <w:tcPr>
            <w:tcW w:w="510" w:type="dxa"/>
            <w:tcBorders>
              <w:bottom w:val="single" w:sz="12" w:space="0" w:color="auto"/>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tcBorders>
              <w:bottom w:val="single" w:sz="12" w:space="0" w:color="auto"/>
              <w:right w:val="single" w:sz="12" w:space="0" w:color="auto"/>
            </w:tcBorders>
            <w:vAlign w:val="center"/>
          </w:tcPr>
          <w:p>
            <w:pPr>
              <w:jc w:val="center"/>
              <w:rPr>
                <w:sz w:val="20"/>
              </w:rPr>
            </w:pPr>
          </w:p>
        </w:tc>
        <w:tc>
          <w:tcPr>
            <w:tcW w:w="510" w:type="dxa"/>
            <w:tcBorders>
              <w:left w:val="single" w:sz="12" w:space="0" w:color="auto"/>
            </w:tcBorders>
            <w:vAlign w:val="center"/>
          </w:tcPr>
          <w:p>
            <w:pPr>
              <w:jc w:val="center"/>
              <w:rPr>
                <w:sz w:val="20"/>
              </w:rPr>
            </w:pPr>
          </w:p>
        </w:tc>
        <w:tc>
          <w:tcPr>
            <w:tcW w:w="510" w:type="dxa"/>
            <w:vAlign w:val="center"/>
          </w:tcPr>
          <w:p>
            <w:pPr>
              <w:jc w:val="center"/>
              <w:rPr>
                <w:sz w:val="20"/>
              </w:rPr>
            </w:pPr>
          </w:p>
        </w:tc>
        <w:tc>
          <w:tcPr>
            <w:tcW w:w="510" w:type="dxa"/>
            <w:vAlign w:val="center"/>
          </w:tcPr>
          <w:p>
            <w:pPr>
              <w:jc w:val="center"/>
              <w:rPr>
                <w:sz w:val="20"/>
              </w:rPr>
            </w:pPr>
          </w:p>
        </w:tc>
      </w:tr>
    </w:tbl>
    <w:p>
      <w:pPr>
        <w:pStyle w:val="Corpsdetexte"/>
        <w:rPr>
          <w:spacing w:val="-2"/>
        </w:rPr>
      </w:pPr>
      <w:r>
        <w:rPr>
          <w:spacing w:val="-2"/>
        </w:rPr>
        <w:t xml:space="preserve">J’ai pris connaissance des conditions prescrites par le Décret du 11/05/2007 relatif à l'apprentissage par immersion linguistique, telles qu'énoncées à la section 4.4.3. de </w:t>
      </w:r>
      <w:smartTag w:uri="urn:schemas-microsoft-com:office:smarttags" w:element="PersonName">
        <w:smartTagPr>
          <w:attr w:name="ProductID" w:val="la Circulaire"/>
        </w:smartTagPr>
        <w:r>
          <w:rPr>
            <w:spacing w:val="-2"/>
          </w:rPr>
          <w:t>la Circulaire</w:t>
        </w:r>
      </w:smartTag>
      <w:r>
        <w:rPr>
          <w:spacing w:val="-2"/>
        </w:rPr>
        <w:t xml:space="preserve"> « Organisation de l’enseignement maternel et primaire ordinaire ».</w:t>
      </w:r>
    </w:p>
    <w:p>
      <w:pPr>
        <w:spacing w:after="60"/>
        <w:ind w:left="709" w:hanging="709"/>
        <w:jc w:val="both"/>
      </w:pPr>
      <w:r>
        <w:t>Je certifie que:</w:t>
      </w:r>
    </w:p>
    <w:p>
      <w:pPr>
        <w:numPr>
          <w:ilvl w:val="0"/>
          <w:numId w:val="117"/>
        </w:numPr>
        <w:spacing w:after="40"/>
        <w:jc w:val="both"/>
      </w:pPr>
      <w:r>
        <w:t>Le Conseil de Participation a été consulté et a remis un avis en date du ……………….;</w:t>
      </w:r>
    </w:p>
    <w:p>
      <w:pPr>
        <w:numPr>
          <w:ilvl w:val="0"/>
          <w:numId w:val="117"/>
        </w:numPr>
        <w:spacing w:after="40"/>
        <w:ind w:left="357" w:hanging="357"/>
      </w:pPr>
      <w:r>
        <w:t xml:space="preserve">Selon le cas, </w:t>
      </w:r>
      <w:smartTag w:uri="urn:schemas-microsoft-com:office:smarttags" w:element="PersonName">
        <w:smartTagPr>
          <w:attr w:name="ProductID" w:val="la CoPaLoc"/>
        </w:smartTagPr>
        <w:r>
          <w:t>la CoPaLoc</w:t>
        </w:r>
      </w:smartTag>
      <w:r>
        <w:t>, l’ICL, du Conseil d'entreprise ou de la délégation syndicale  a été consulté et a remis un avis en date du ……………….;</w:t>
      </w:r>
    </w:p>
    <w:p>
      <w:pPr>
        <w:pStyle w:val="Corpsdetexte"/>
        <w:spacing w:after="120"/>
      </w:pPr>
      <w:r>
        <w:t xml:space="preserve">Le descriptif complet du projet, accompagné des avis susvisés seront communiqués au début du mois d'octobre, en même temps que les documents d'encadrement et de demande de subventionnement. </w:t>
      </w:r>
    </w:p>
    <w:p>
      <w:pPr>
        <w:pStyle w:val="Corpsdetexte"/>
        <w:rPr>
          <w:spacing w:val="0"/>
        </w:rPr>
      </w:pPr>
      <w:r>
        <w:t>Date et signature,</w:t>
      </w:r>
      <w:bookmarkStart w:id="2286" w:name="_Annexe_4.3"/>
      <w:bookmarkStart w:id="2287" w:name="_Annexe_4.4.C"/>
      <w:bookmarkStart w:id="2288" w:name="_Annexe_4.4.C._Attestation"/>
      <w:bookmarkStart w:id="2289" w:name="_Toc265141685"/>
      <w:bookmarkStart w:id="2290" w:name="_Toc295913892"/>
      <w:bookmarkEnd w:id="2286"/>
      <w:bookmarkEnd w:id="2287"/>
      <w:bookmarkEnd w:id="2288"/>
    </w:p>
    <w:p>
      <w:pPr>
        <w:pStyle w:val="annexe"/>
      </w:pPr>
      <w:r>
        <w:br w:type="page"/>
      </w:r>
      <w:bookmarkStart w:id="2291" w:name="Annexe_44C"/>
      <w:bookmarkStart w:id="2292" w:name="_Toc423420212"/>
      <w:bookmarkStart w:id="2293" w:name="_Toc450645461"/>
      <w:bookmarkStart w:id="2294" w:name="_Toc453942700"/>
      <w:bookmarkStart w:id="2295" w:name="_Toc454888316"/>
      <w:bookmarkStart w:id="2296" w:name="_Toc486241935"/>
      <w:r>
        <w:t>Annexe 4.4.C</w:t>
      </w:r>
      <w:bookmarkEnd w:id="2289"/>
      <w:bookmarkEnd w:id="2291"/>
      <w:r>
        <w:t>. Attestation médicale – Classes bilingues Français - Langue des signes</w:t>
      </w:r>
      <w:bookmarkEnd w:id="2290"/>
      <w:bookmarkEnd w:id="2292"/>
      <w:bookmarkEnd w:id="2293"/>
      <w:bookmarkEnd w:id="2294"/>
      <w:bookmarkEnd w:id="2295"/>
      <w:bookmarkEnd w:id="2296"/>
    </w:p>
    <w:p/>
    <w:p/>
    <w:p>
      <w:pPr>
        <w:jc w:val="center"/>
        <w:rPr>
          <w:b/>
          <w:sz w:val="28"/>
          <w:szCs w:val="28"/>
        </w:rPr>
      </w:pPr>
      <w:r>
        <w:rPr>
          <w:b/>
          <w:sz w:val="28"/>
          <w:szCs w:val="28"/>
          <w:bdr w:val="single" w:sz="4" w:space="0" w:color="auto"/>
        </w:rPr>
        <w:t>ATTESTATION MEDICALE</w:t>
      </w:r>
    </w:p>
    <w:p>
      <w:pPr>
        <w:jc w:val="center"/>
      </w:pPr>
    </w:p>
    <w:p>
      <w:pPr>
        <w:jc w:val="center"/>
      </w:pPr>
    </w:p>
    <w:p/>
    <w:p>
      <w:r>
        <w:t xml:space="preserve">Le soussigné </w:t>
      </w:r>
      <w:r>
        <w:rPr>
          <w:rStyle w:val="Appelnotedebasdep"/>
        </w:rPr>
        <w:footnoteReference w:id="107"/>
      </w:r>
      <w:r>
        <w:t xml:space="preserve"> …………………………………………………………………………………………………………...…………</w:t>
      </w:r>
    </w:p>
    <w:p/>
    <w:p>
      <w:r>
        <w:t>Médecin spécialiste en oto-rhino-laryngologie,</w:t>
      </w:r>
    </w:p>
    <w:p/>
    <w:p/>
    <w:p>
      <w:pPr>
        <w:tabs>
          <w:tab w:val="left" w:pos="1260"/>
        </w:tabs>
      </w:pPr>
      <w:r>
        <w:t xml:space="preserve">certifie que </w:t>
      </w:r>
      <w:r>
        <w:tab/>
        <w:t>l’élève</w:t>
      </w:r>
      <w:r>
        <w:rPr>
          <w:rStyle w:val="Appelnotedebasdep"/>
        </w:rPr>
        <w:footnoteReference w:id="108"/>
      </w:r>
      <w:r>
        <w:t xml:space="preserve"> ………………………………………………………………………………………………………...……………</w:t>
      </w:r>
    </w:p>
    <w:p>
      <w:pPr>
        <w:tabs>
          <w:tab w:val="left" w:pos="1260"/>
        </w:tabs>
      </w:pPr>
    </w:p>
    <w:p>
      <w:pPr>
        <w:tabs>
          <w:tab w:val="left" w:pos="1260"/>
        </w:tabs>
      </w:pPr>
      <w:r>
        <w:t>né (e) le</w:t>
      </w:r>
      <w:r>
        <w:rPr>
          <w:rStyle w:val="Appelnotedebasdep"/>
        </w:rPr>
        <w:footnoteReference w:id="109"/>
      </w:r>
      <w:r>
        <w:t xml:space="preserve"> ……………………………….…… à</w:t>
      </w:r>
      <w:r>
        <w:rPr>
          <w:rStyle w:val="Appelnotedebasdep"/>
        </w:rPr>
        <w:footnoteReference w:id="110"/>
      </w:r>
      <w:r>
        <w:t xml:space="preserve"> ………………………………………………………………</w:t>
      </w:r>
    </w:p>
    <w:p>
      <w:pPr>
        <w:tabs>
          <w:tab w:val="left" w:pos="1260"/>
        </w:tabs>
      </w:pPr>
    </w:p>
    <w:p>
      <w:pPr>
        <w:tabs>
          <w:tab w:val="left" w:pos="1260"/>
        </w:tabs>
      </w:pPr>
    </w:p>
    <w:p>
      <w:pPr>
        <w:tabs>
          <w:tab w:val="left" w:pos="1260"/>
        </w:tabs>
      </w:pPr>
      <w:r>
        <w:t>Est atteint de surdité.</w:t>
      </w:r>
    </w:p>
    <w:p>
      <w:pPr>
        <w:tabs>
          <w:tab w:val="left" w:pos="1260"/>
        </w:tabs>
      </w:pPr>
    </w:p>
    <w:p>
      <w:pPr>
        <w:tabs>
          <w:tab w:val="left" w:pos="1260"/>
        </w:tabs>
      </w:pPr>
    </w:p>
    <w:p>
      <w:pPr>
        <w:tabs>
          <w:tab w:val="left" w:pos="1260"/>
        </w:tabs>
      </w:pPr>
    </w:p>
    <w:p>
      <w:pPr>
        <w:tabs>
          <w:tab w:val="left" w:pos="1260"/>
        </w:tabs>
        <w:ind w:right="249"/>
        <w:jc w:val="right"/>
      </w:pPr>
      <w:r>
        <w:t>A ……………………………. le ……………………20……..</w:t>
      </w:r>
    </w:p>
    <w:p>
      <w:pPr>
        <w:tabs>
          <w:tab w:val="left" w:pos="1260"/>
        </w:tabs>
      </w:pPr>
    </w:p>
    <w:p>
      <w:pPr>
        <w:tabs>
          <w:tab w:val="left" w:pos="1260"/>
        </w:tabs>
      </w:pPr>
    </w:p>
    <w:p>
      <w:pPr>
        <w:tabs>
          <w:tab w:val="left" w:pos="1260"/>
        </w:tabs>
      </w:pPr>
    </w:p>
    <w:p>
      <w:pPr>
        <w:tabs>
          <w:tab w:val="left" w:pos="1260"/>
        </w:tabs>
      </w:pPr>
    </w:p>
    <w:p>
      <w:pPr>
        <w:ind w:left="5040" w:right="252" w:hanging="5040"/>
      </w:pPr>
      <w:r>
        <w:t>Cachet du médecin spécialiste ORL</w:t>
      </w:r>
      <w:r>
        <w:tab/>
        <w:t>Signature du médecin spécialiste ORL</w:t>
      </w: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left="5040" w:right="252" w:hanging="5040"/>
      </w:pPr>
    </w:p>
    <w:p>
      <w:pPr>
        <w:ind w:right="252"/>
        <w:rPr>
          <w:i/>
        </w:rPr>
      </w:pPr>
      <w:r>
        <w:rPr>
          <w:i/>
        </w:rPr>
        <w:t>La présente attestation est délivrée à des fins purement administratives et a une durée de validité indéterminée à partir de la date de signature du médecin ORL</w:t>
      </w:r>
    </w:p>
    <w:p>
      <w:pPr>
        <w:pStyle w:val="annexe"/>
      </w:pPr>
      <w:bookmarkStart w:id="2297" w:name="_Annexe_4.4.D"/>
      <w:bookmarkStart w:id="2298" w:name="_Annexe_4.4.D._Attestation"/>
      <w:bookmarkEnd w:id="2297"/>
      <w:bookmarkEnd w:id="2298"/>
      <w:r>
        <w:br w:type="page"/>
      </w:r>
      <w:bookmarkStart w:id="2299" w:name="Annexe_44D"/>
      <w:bookmarkStart w:id="2300" w:name="_Toc265141686"/>
      <w:bookmarkStart w:id="2301" w:name="_Toc295913893"/>
      <w:bookmarkStart w:id="2302" w:name="_Toc423420213"/>
      <w:bookmarkStart w:id="2303" w:name="_Toc450645462"/>
      <w:bookmarkStart w:id="2304" w:name="_Toc453942701"/>
      <w:bookmarkStart w:id="2305" w:name="_Toc454888317"/>
      <w:bookmarkStart w:id="2306" w:name="_Toc486241936"/>
      <w:bookmarkEnd w:id="2299"/>
      <w:r>
        <w:t>Annexe 4.4.D</w:t>
      </w:r>
      <w:bookmarkEnd w:id="2300"/>
      <w:r>
        <w:t>. Attestation d’inscription - Classes bilingues Français - Langue des signes</w:t>
      </w:r>
      <w:bookmarkEnd w:id="2301"/>
      <w:bookmarkEnd w:id="2302"/>
      <w:bookmarkEnd w:id="2303"/>
      <w:bookmarkEnd w:id="2304"/>
      <w:bookmarkEnd w:id="2305"/>
      <w:bookmarkEnd w:id="2306"/>
    </w:p>
    <w:p>
      <w:pPr>
        <w:pStyle w:val="Titre5"/>
        <w:rPr>
          <w:color w:val="auto"/>
        </w:rPr>
      </w:pPr>
    </w:p>
    <w:p/>
    <w:p>
      <w:pPr>
        <w:jc w:val="center"/>
        <w:rPr>
          <w:b/>
          <w:sz w:val="28"/>
          <w:szCs w:val="28"/>
        </w:rPr>
      </w:pPr>
      <w:r>
        <w:rPr>
          <w:b/>
          <w:sz w:val="28"/>
          <w:szCs w:val="28"/>
        </w:rPr>
        <w:t>CLASSES BILINGUES FRANÇAIS-LANGUE DES SIGNES</w:t>
      </w:r>
    </w:p>
    <w:p>
      <w:pPr>
        <w:rPr>
          <w:b/>
          <w:sz w:val="28"/>
          <w:szCs w:val="28"/>
        </w:rPr>
      </w:pPr>
    </w:p>
    <w:p>
      <w:pPr>
        <w:jc w:val="center"/>
        <w:rPr>
          <w:b/>
          <w:sz w:val="28"/>
          <w:szCs w:val="28"/>
        </w:rPr>
      </w:pPr>
      <w:r>
        <w:rPr>
          <w:b/>
          <w:sz w:val="28"/>
          <w:szCs w:val="28"/>
          <w:bdr w:val="single" w:sz="4" w:space="0" w:color="auto"/>
        </w:rPr>
        <w:t>ATTESTATION D’INSCRIPTION</w:t>
      </w:r>
    </w:p>
    <w:p>
      <w:pPr>
        <w:jc w:val="center"/>
      </w:pPr>
    </w:p>
    <w:p>
      <w:pPr>
        <w:jc w:val="center"/>
      </w:pPr>
    </w:p>
    <w:p/>
    <w:p>
      <w:r>
        <w:t xml:space="preserve">Le soussigné </w:t>
      </w:r>
      <w:r>
        <w:rPr>
          <w:rStyle w:val="Appelnotedebasdep"/>
        </w:rPr>
        <w:footnoteReference w:id="111"/>
      </w:r>
      <w:r>
        <w:t xml:space="preserve"> ………………………………………………………………………………………………………………</w:t>
      </w:r>
    </w:p>
    <w:p/>
    <w:p>
      <w:r>
        <w:t>Père / Mère / Personne investie de l’autorité parentale</w:t>
      </w:r>
      <w:r>
        <w:rPr>
          <w:rStyle w:val="Appelnotedebasdep"/>
        </w:rPr>
        <w:footnoteReference w:id="112"/>
      </w:r>
      <w:r>
        <w:t>,</w:t>
      </w:r>
    </w:p>
    <w:p/>
    <w:p/>
    <w:p>
      <w:pPr>
        <w:tabs>
          <w:tab w:val="left" w:pos="1260"/>
        </w:tabs>
      </w:pPr>
      <w:r>
        <w:t>De l’enfant</w:t>
      </w:r>
      <w:r>
        <w:rPr>
          <w:rStyle w:val="Appelnotedebasdep"/>
        </w:rPr>
        <w:footnoteReference w:id="113"/>
      </w:r>
      <w:r>
        <w:t xml:space="preserve"> ………………………………………………………………………………………………………,</w:t>
      </w:r>
    </w:p>
    <w:p>
      <w:pPr>
        <w:tabs>
          <w:tab w:val="left" w:pos="1260"/>
        </w:tabs>
      </w:pPr>
    </w:p>
    <w:p>
      <w:pPr>
        <w:tabs>
          <w:tab w:val="left" w:pos="1260"/>
        </w:tabs>
      </w:pPr>
      <w:r>
        <w:t>né (e) le</w:t>
      </w:r>
      <w:r>
        <w:rPr>
          <w:rStyle w:val="Appelnotedebasdep"/>
        </w:rPr>
        <w:footnoteReference w:id="114"/>
      </w:r>
      <w:r>
        <w:t xml:space="preserve"> ……………………………….…… à</w:t>
      </w:r>
      <w:r>
        <w:rPr>
          <w:rStyle w:val="Appelnotedebasdep"/>
        </w:rPr>
        <w:footnoteReference w:id="115"/>
      </w:r>
      <w:r>
        <w:t xml:space="preserve"> ………………………………………………………</w:t>
      </w:r>
    </w:p>
    <w:p>
      <w:pPr>
        <w:tabs>
          <w:tab w:val="left" w:pos="1260"/>
        </w:tabs>
      </w:pPr>
    </w:p>
    <w:p>
      <w:pPr>
        <w:tabs>
          <w:tab w:val="left" w:pos="1260"/>
        </w:tabs>
      </w:pPr>
    </w:p>
    <w:p>
      <w:pPr>
        <w:tabs>
          <w:tab w:val="left" w:pos="1260"/>
        </w:tabs>
      </w:pPr>
      <w:r>
        <w:t>Inscrit l’enfant précité, atteint de surdité, en immersion en langue des signes en classe bilingue français – langue des signes.</w:t>
      </w:r>
    </w:p>
    <w:p>
      <w:pPr>
        <w:tabs>
          <w:tab w:val="left" w:pos="1260"/>
        </w:tabs>
      </w:pPr>
    </w:p>
    <w:p>
      <w:pPr>
        <w:tabs>
          <w:tab w:val="left" w:pos="1260"/>
        </w:tabs>
      </w:pPr>
      <w:r>
        <w:t>Le soussigné adhère au projet qui prévoit que l’apprentissage débute en première maternelle (sauf dérogation) et que l’horaire hebdomadaire, pour les élèves sourds, comprenne 2 périodes supplémentaires réservées au cours de langue des signes et de culture des sourds.</w:t>
      </w:r>
    </w:p>
    <w:p>
      <w:pPr>
        <w:tabs>
          <w:tab w:val="left" w:pos="1260"/>
        </w:tabs>
      </w:pPr>
    </w:p>
    <w:p>
      <w:pPr>
        <w:tabs>
          <w:tab w:val="left" w:pos="1260"/>
        </w:tabs>
      </w:pPr>
    </w:p>
    <w:p>
      <w:pPr>
        <w:tabs>
          <w:tab w:val="left" w:pos="1260"/>
        </w:tabs>
      </w:pPr>
    </w:p>
    <w:p>
      <w:pPr>
        <w:tabs>
          <w:tab w:val="left" w:pos="1260"/>
        </w:tabs>
      </w:pPr>
    </w:p>
    <w:p>
      <w:pPr>
        <w:tabs>
          <w:tab w:val="left" w:pos="1260"/>
        </w:tabs>
        <w:ind w:right="249"/>
        <w:jc w:val="right"/>
      </w:pPr>
      <w:r>
        <w:t>A ……………………………. le ……………………20….</w:t>
      </w:r>
    </w:p>
    <w:p>
      <w:pPr>
        <w:tabs>
          <w:tab w:val="left" w:pos="1260"/>
        </w:tabs>
      </w:pPr>
    </w:p>
    <w:p>
      <w:pPr>
        <w:tabs>
          <w:tab w:val="left" w:pos="1260"/>
        </w:tabs>
      </w:pPr>
    </w:p>
    <w:p>
      <w:pPr>
        <w:tabs>
          <w:tab w:val="left" w:pos="1260"/>
        </w:tabs>
      </w:pPr>
    </w:p>
    <w:p>
      <w:pPr>
        <w:tabs>
          <w:tab w:val="left" w:pos="1260"/>
        </w:tabs>
      </w:pPr>
    </w:p>
    <w:p>
      <w:pPr>
        <w:ind w:left="5040" w:right="252" w:hanging="5040"/>
      </w:pPr>
      <w:r>
        <w:t xml:space="preserve">Signature du Père / de </w:t>
      </w:r>
      <w:smartTag w:uri="urn:schemas-microsoft-com:office:smarttags" w:element="PersonName">
        <w:smartTagPr>
          <w:attr w:name="ProductID" w:val="la M￨re"/>
        </w:smartTagPr>
        <w:r>
          <w:t>la Mère</w:t>
        </w:r>
      </w:smartTag>
      <w:r>
        <w:t xml:space="preserve"> / de </w:t>
      </w:r>
      <w:smartTag w:uri="urn:schemas-microsoft-com:office:smarttags" w:element="PersonName">
        <w:smartTagPr>
          <w:attr w:name="ProductID" w:val="la Personne"/>
        </w:smartTagPr>
        <w:r>
          <w:t>la Personne</w:t>
        </w:r>
      </w:smartTag>
      <w:r>
        <w:t xml:space="preserve"> investie de l’autorité parentale</w:t>
      </w:r>
      <w:r>
        <w:rPr>
          <w:rStyle w:val="Appelnotedebasdep"/>
        </w:rPr>
        <w:footnoteReference w:id="116"/>
      </w:r>
      <w:r>
        <w:t>:</w:t>
      </w:r>
    </w:p>
    <w:p>
      <w:pPr>
        <w:pStyle w:val="annexe"/>
      </w:pPr>
      <w:r>
        <w:br w:type="page"/>
      </w:r>
      <w:bookmarkStart w:id="2307" w:name="_Annexe_4.4.A."/>
      <w:bookmarkStart w:id="2308" w:name="_Annexe_5.A."/>
      <w:bookmarkStart w:id="2309" w:name="_Annexe_6.2.A."/>
      <w:bookmarkStart w:id="2310" w:name="Annexe_62A"/>
      <w:bookmarkStart w:id="2311" w:name="_Toc165786205"/>
      <w:bookmarkStart w:id="2312" w:name="_Toc265141687"/>
      <w:bookmarkStart w:id="2313" w:name="_Toc295913894"/>
      <w:bookmarkStart w:id="2314" w:name="_Toc423420214"/>
      <w:bookmarkStart w:id="2315" w:name="_Toc450645463"/>
      <w:bookmarkStart w:id="2316" w:name="_Toc453942702"/>
      <w:bookmarkStart w:id="2317" w:name="_Toc454888318"/>
      <w:bookmarkStart w:id="2318" w:name="_Toc486241937"/>
      <w:bookmarkEnd w:id="2307"/>
      <w:bookmarkEnd w:id="2308"/>
      <w:bookmarkEnd w:id="2309"/>
      <w:bookmarkEnd w:id="2310"/>
      <w:r>
        <w:t>Annexe 6.2.A.</w:t>
      </w:r>
      <w:bookmarkEnd w:id="2311"/>
      <w:bookmarkEnd w:id="2312"/>
      <w:r>
        <w:t xml:space="preserve"> Attestation de placement</w:t>
      </w:r>
      <w:bookmarkEnd w:id="2313"/>
      <w:bookmarkEnd w:id="2314"/>
      <w:bookmarkEnd w:id="2315"/>
      <w:bookmarkEnd w:id="2316"/>
      <w:bookmarkEnd w:id="2317"/>
      <w:bookmarkEnd w:id="2318"/>
    </w:p>
    <w:p>
      <w:pPr>
        <w:pStyle w:val="Corpsdetexte"/>
      </w:pPr>
    </w:p>
    <w:p/>
    <w:tbl>
      <w:tblPr>
        <w:tblStyle w:val="Grilledutableau"/>
        <w:tblW w:w="0" w:type="auto"/>
        <w:tblLook w:val="04A0" w:firstRow="1" w:lastRow="0" w:firstColumn="1" w:lastColumn="0" w:noHBand="0" w:noVBand="1"/>
      </w:tblPr>
      <w:tblGrid>
        <w:gridCol w:w="9855"/>
      </w:tblGrid>
      <w:tr>
        <w:tc>
          <w:tcPr>
            <w:tcW w:w="9855" w:type="dxa"/>
            <w:tcBorders>
              <w:top w:val="single" w:sz="12" w:space="0" w:color="auto"/>
              <w:left w:val="single" w:sz="12" w:space="0" w:color="auto"/>
              <w:bottom w:val="single" w:sz="12" w:space="0" w:color="auto"/>
              <w:right w:val="single" w:sz="12" w:space="0" w:color="auto"/>
            </w:tcBorders>
          </w:tcPr>
          <w:p>
            <w:pPr>
              <w:jc w:val="center"/>
              <w:rPr>
                <w:b/>
              </w:rPr>
            </w:pPr>
            <w:r>
              <w:rPr>
                <w:b/>
              </w:rPr>
              <w:t>Attestation de placement délivrée en vertu des articles 29, § 2 et 41, § 2 du décret du 13 juillet 1998 portant organisation de l’enseignement maternel et primaire ordinaire et modifiant la réglementation de l’enseignement</w:t>
            </w:r>
          </w:p>
        </w:tc>
      </w:tr>
    </w:tbl>
    <w:p/>
    <w:p/>
    <w:p>
      <w:pPr>
        <w:jc w:val="both"/>
      </w:pPr>
      <w:r>
        <w:t xml:space="preserve">Les enfants qui font l’objet de mesures de placement fondées sur la Loi relative à la protection de la jeunesse du 8 avril 1965, sur le Décret du 4 mars 1991 relatif à l’aide à la jeunesse ou sur </w:t>
      </w:r>
      <w:r>
        <w:rPr>
          <w:lang w:val="fr-BE"/>
        </w:rPr>
        <w:t>l’Ordonnance du 29 avril 2004 de la Commission communautaire de la Région de Bruxelles-Capitale relatif à l’Aide à la Jeunesse</w:t>
      </w:r>
      <w:r>
        <w:t xml:space="preserve"> génèrent, vu leur situation, un coefficient préférentiel (1,5) pour l’encadrement en maternel et en primaire. </w:t>
      </w:r>
    </w:p>
    <w:p/>
    <w:p/>
    <w:p>
      <w:r>
        <w:t>Je soussigné (e)……………………………………………………………………</w:t>
      </w:r>
    </w:p>
    <w:p>
      <w:pPr>
        <w:numPr>
          <w:ilvl w:val="0"/>
          <w:numId w:val="46"/>
        </w:numPr>
        <w:tabs>
          <w:tab w:val="num" w:pos="1275"/>
        </w:tabs>
        <w:ind w:left="405"/>
      </w:pPr>
      <w:r>
        <w:t>directeur du ……….</w:t>
      </w:r>
    </w:p>
    <w:p>
      <w:pPr>
        <w:numPr>
          <w:ilvl w:val="0"/>
          <w:numId w:val="45"/>
        </w:numPr>
        <w:tabs>
          <w:tab w:val="num" w:pos="720"/>
        </w:tabs>
        <w:ind w:left="405"/>
      </w:pPr>
      <w:r>
        <w:t>famille d’accueil</w:t>
      </w:r>
    </w:p>
    <w:p/>
    <w:p>
      <w:r>
        <w:t>Atteste que (nom et prénom de l’élève) ………………………………….. né(e) le……………………</w:t>
      </w:r>
    </w:p>
    <w:p/>
    <w:p>
      <w:pPr>
        <w:ind w:left="1980" w:hanging="1980"/>
      </w:pPr>
      <w:r>
        <w:t>a été placé(e) par</w:t>
      </w:r>
      <w:r>
        <w:tab/>
      </w:r>
      <w:r>
        <w:sym w:font="Wingdings" w:char="F071"/>
      </w:r>
      <w:r>
        <w:t xml:space="preserve"> un conseiller d’aide à la jeunesse relevant d’une instance belge</w:t>
      </w:r>
    </w:p>
    <w:p>
      <w:pPr>
        <w:ind w:left="1980" w:hanging="1980"/>
      </w:pPr>
      <w:r>
        <w:tab/>
      </w:r>
      <w:r>
        <w:sym w:font="Wingdings" w:char="F071"/>
      </w:r>
      <w:r>
        <w:t xml:space="preserve"> un directeur de l’aide à la jeunesse relevant d’une instance belge</w:t>
      </w:r>
    </w:p>
    <w:p>
      <w:pPr>
        <w:ind w:left="1980" w:hanging="1980"/>
      </w:pPr>
      <w:r>
        <w:tab/>
      </w:r>
      <w:r>
        <w:sym w:font="Wingdings" w:char="F071"/>
      </w:r>
      <w:r>
        <w:t xml:space="preserve"> un juge de la jeunesse relevant d’une instance belge</w:t>
      </w:r>
    </w:p>
    <w:p>
      <w:pPr>
        <w:ind w:left="1980" w:hanging="1980"/>
      </w:pPr>
    </w:p>
    <w:p>
      <w:pPr>
        <w:ind w:left="1980" w:hanging="1980"/>
      </w:pPr>
    </w:p>
    <w:p>
      <w:pPr>
        <w:ind w:left="1980" w:hanging="1980"/>
      </w:pPr>
      <w:r>
        <w:t>Date de début de placement : …..…/……../………..</w:t>
      </w:r>
    </w:p>
    <w:p>
      <w:r>
        <w:t>Date de fin de placement (si connue) : …..…/……../………..</w:t>
      </w:r>
    </w:p>
    <w:p/>
    <w:p/>
    <w:p/>
    <w:p>
      <w:r>
        <w:tab/>
      </w:r>
      <w:r>
        <w:tab/>
      </w:r>
      <w:r>
        <w:tab/>
      </w:r>
      <w:r>
        <w:tab/>
      </w:r>
      <w:r>
        <w:tab/>
      </w:r>
      <w:r>
        <w:tab/>
      </w:r>
      <w:r>
        <w:tab/>
        <w:t>Fait le …………………..à…………………..,</w:t>
      </w:r>
    </w:p>
    <w:p/>
    <w:p/>
    <w:p/>
    <w:p>
      <w:r>
        <w:tab/>
      </w:r>
      <w:r>
        <w:tab/>
      </w:r>
      <w:r>
        <w:tab/>
      </w:r>
      <w:r>
        <w:tab/>
      </w:r>
      <w:r>
        <w:tab/>
      </w:r>
      <w:r>
        <w:tab/>
      </w:r>
      <w:r>
        <w:tab/>
        <w:t>Signature.</w:t>
      </w:r>
    </w:p>
    <w:p/>
    <w:p/>
    <w:p/>
    <w:p/>
    <w:p/>
    <w:p/>
    <w:p/>
    <w:p>
      <w:r>
        <w:t>Cette attestation doit figurer dans le dossier de l’élève, accompagnée de l’annexe 6.2.B. dûment complétée.</w:t>
      </w:r>
    </w:p>
    <w:p>
      <w:pPr>
        <w:tabs>
          <w:tab w:val="left" w:pos="900"/>
        </w:tabs>
        <w:autoSpaceDE w:val="0"/>
        <w:autoSpaceDN w:val="0"/>
        <w:adjustRightInd w:val="0"/>
        <w:ind w:left="544"/>
        <w:jc w:val="both"/>
        <w:rPr>
          <w:szCs w:val="16"/>
        </w:rPr>
      </w:pPr>
      <w:bookmarkStart w:id="2319" w:name="_Annexe_6.2.B."/>
      <w:bookmarkEnd w:id="2319"/>
    </w:p>
    <w:p>
      <w:pPr>
        <w:pStyle w:val="annexe"/>
      </w:pPr>
      <w:bookmarkStart w:id="2320" w:name="_Annexe_6.2.B._"/>
      <w:bookmarkEnd w:id="2320"/>
      <w:r>
        <w:br w:type="page"/>
      </w:r>
      <w:bookmarkStart w:id="2321" w:name="Annexe_62B"/>
      <w:bookmarkStart w:id="2322" w:name="_Toc165786206"/>
      <w:bookmarkStart w:id="2323" w:name="_Toc265141688"/>
      <w:bookmarkStart w:id="2324" w:name="_Toc295913895"/>
      <w:bookmarkStart w:id="2325" w:name="_Toc423420215"/>
      <w:bookmarkStart w:id="2326" w:name="_Toc450645464"/>
      <w:bookmarkStart w:id="2327" w:name="_Toc453942703"/>
      <w:bookmarkStart w:id="2328" w:name="_Toc454888319"/>
      <w:bookmarkStart w:id="2329" w:name="_Toc486241938"/>
      <w:bookmarkEnd w:id="2321"/>
      <w:r>
        <w:t>Annexe 6.2.B.</w:t>
      </w:r>
      <w:bookmarkEnd w:id="2322"/>
      <w:bookmarkEnd w:id="2323"/>
      <w:r>
        <w:t xml:space="preserve"> Attestation délivrée par le conseiller ou le directeur de l’Aide à </w:t>
      </w:r>
      <w:smartTag w:uri="urn:schemas-microsoft-com:office:smarttags" w:element="PersonName">
        <w:smartTagPr>
          <w:attr w:name="ProductID" w:val="la Jeunesse"/>
        </w:smartTagPr>
        <w:r>
          <w:t>la Jeunesse</w:t>
        </w:r>
      </w:smartTag>
      <w:bookmarkEnd w:id="2324"/>
      <w:bookmarkEnd w:id="2325"/>
      <w:bookmarkEnd w:id="2326"/>
      <w:bookmarkEnd w:id="2327"/>
      <w:bookmarkEnd w:id="2328"/>
      <w:bookmarkEnd w:id="2329"/>
    </w:p>
    <w:p>
      <w:pPr>
        <w:tabs>
          <w:tab w:val="left" w:pos="900"/>
        </w:tabs>
        <w:autoSpaceDE w:val="0"/>
        <w:autoSpaceDN w:val="0"/>
        <w:adjustRightInd w:val="0"/>
        <w:ind w:left="544"/>
        <w:jc w:val="both"/>
        <w:rPr>
          <w:szCs w:val="16"/>
        </w:rPr>
      </w:pPr>
    </w:p>
    <w:p>
      <w:pPr>
        <w:rPr>
          <w:sz w:val="28"/>
        </w:rPr>
      </w:pPr>
    </w:p>
    <w:p>
      <w:pPr>
        <w:rPr>
          <w:sz w:val="24"/>
        </w:rPr>
      </w:pPr>
      <w:r>
        <w:rPr>
          <w:noProof/>
          <w:lang w:val="fr-BE" w:eastAsia="fr-BE"/>
        </w:rPr>
        <mc:AlternateContent>
          <mc:Choice Requires="wps">
            <w:drawing>
              <wp:anchor distT="0" distB="0" distL="114300" distR="114300" simplePos="0" relativeHeight="251654144" behindDoc="0" locked="0" layoutInCell="0" allowOverlap="1">
                <wp:simplePos x="0" y="0"/>
                <wp:positionH relativeFrom="column">
                  <wp:posOffset>0</wp:posOffset>
                </wp:positionH>
                <wp:positionV relativeFrom="paragraph">
                  <wp:posOffset>139700</wp:posOffset>
                </wp:positionV>
                <wp:extent cx="3200400" cy="1406525"/>
                <wp:effectExtent l="5715" t="7620" r="13335" b="5080"/>
                <wp:wrapNone/>
                <wp:docPr id="25"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14065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pPr>
                              <w:pStyle w:val="Corpsdetexte"/>
                              <w:jc w:val="center"/>
                            </w:pPr>
                            <w:r>
                              <w:t>Service de l’aide à la jeunesse</w:t>
                            </w:r>
                          </w:p>
                          <w:p>
                            <w:pPr>
                              <w:jc w:val="center"/>
                            </w:pPr>
                            <w:r>
                              <w:t>ou</w:t>
                            </w:r>
                          </w:p>
                          <w:p>
                            <w:pPr>
                              <w:jc w:val="center"/>
                            </w:pPr>
                            <w:r>
                              <w:t>Service de protection judiciaire</w:t>
                            </w:r>
                          </w:p>
                          <w:p>
                            <w:pPr>
                              <w:jc w:val="center"/>
                            </w:pPr>
                          </w:p>
                          <w:p>
                            <w:pPr>
                              <w:jc w:val="center"/>
                              <w:rPr>
                                <w:b/>
                              </w:rPr>
                            </w:pPr>
                            <w:r>
                              <w:rPr>
                                <w:b/>
                              </w:rPr>
                              <w:t>EN BELGIQUE UNIQUEMENT</w:t>
                            </w:r>
                          </w:p>
                          <w:p>
                            <w:pPr>
                              <w:rPr>
                                <w:b/>
                              </w:rPr>
                            </w:pP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59" style="position:absolute;margin-left:0;margin-top:11pt;width:252pt;height:110.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" o:allowincell="f" filled="f">
                <v:textbox>
                  <w:txbxContent>
                    <w:p>
                      <w:pPr>
                        <w:pStyle w:val="Corpsdetexte"/>
                        <w:jc w:val="center"/>
                      </w:pPr>
                      <w:r>
                        <w:t>Service de l’aide à la jeunesse</w:t>
                      </w:r>
                    </w:p>
                    <w:p>
                      <w:pPr>
                        <w:jc w:val="center"/>
                      </w:pPr>
                      <w:r>
                        <w:t>ou</w:t>
                      </w:r>
                    </w:p>
                    <w:p>
                      <w:pPr>
                        <w:jc w:val="center"/>
                      </w:pPr>
                      <w:r>
                        <w:t>Service de protection judiciaire</w:t>
                      </w:r>
                    </w:p>
                    <w:p>
                      <w:pPr>
                        <w:jc w:val="center"/>
                      </w:pPr>
                    </w:p>
                    <w:p>
                      <w:pPr>
                        <w:jc w:val="center"/>
                        <w:rPr>
                          <w:b/>
                        </w:rPr>
                      </w:pPr>
                      <w:r>
                        <w:rPr>
                          <w:b/>
                        </w:rPr>
                        <w:t>EN BELGIQUE UNIQUEMENT</w:t>
                      </w:r>
                    </w:p>
                    <w:p>
                      <w:pPr>
                        <w:rPr>
                          <w:b/>
                        </w:rPr>
                      </w:pPr>
                      <w:r>
                        <w:t>……………………………………..…………………………………………………………………….</w:t>
                      </w:r>
                    </w:p>
                  </w:txbxContent>
                </v:textbox>
              </v:rect>
            </w:pict>
          </mc:Fallback>
        </mc:AlternateContent>
      </w:r>
    </w:p>
    <w:p>
      <w:pPr>
        <w:rPr>
          <w:sz w:val="24"/>
        </w:rPr>
      </w:pPr>
    </w:p>
    <w:p>
      <w:pPr>
        <w:rPr>
          <w:sz w:val="24"/>
        </w:rPr>
      </w:pPr>
    </w:p>
    <w:p>
      <w:pPr>
        <w:rPr>
          <w:sz w:val="24"/>
        </w:rPr>
      </w:pPr>
    </w:p>
    <w:p>
      <w:pPr>
        <w:rPr>
          <w:sz w:val="24"/>
        </w:rPr>
      </w:pPr>
    </w:p>
    <w:p>
      <w:pPr>
        <w:rPr>
          <w:sz w:val="24"/>
        </w:rPr>
      </w:pPr>
    </w:p>
    <w:p>
      <w:pPr>
        <w:rPr>
          <w:sz w:val="24"/>
        </w:rPr>
      </w:pPr>
    </w:p>
    <w:p>
      <w:pPr>
        <w:spacing w:line="201" w:lineRule="exact"/>
        <w:rPr>
          <w:rFonts w:ascii="Courier New" w:hAnsi="Courier New"/>
          <w:sz w:val="24"/>
        </w:rPr>
      </w:pPr>
      <w:r>
        <w:rPr>
          <w:rFonts w:ascii="Courier New" w:hAnsi="Courier New"/>
          <w:sz w:val="24"/>
        </w:rPr>
        <w:t xml:space="preserve"> </w:t>
      </w:r>
    </w:p>
    <w:p>
      <w:pPr>
        <w:spacing w:line="201" w:lineRule="exact"/>
        <w:rPr>
          <w:rFonts w:ascii="Courier New" w:hAnsi="Courier New"/>
          <w:sz w:val="24"/>
        </w:rPr>
      </w:pPr>
    </w:p>
    <w:p>
      <w:pPr>
        <w:spacing w:line="302" w:lineRule="exact"/>
        <w:rPr>
          <w:i/>
          <w:sz w:val="24"/>
        </w:rPr>
      </w:pPr>
      <w:r>
        <w:rPr>
          <w:i/>
          <w:sz w:val="24"/>
        </w:rPr>
        <w:t xml:space="preserve"> </w:t>
      </w:r>
    </w:p>
    <w:p>
      <w:pPr>
        <w:spacing w:line="302" w:lineRule="exact"/>
        <w:rPr>
          <w:sz w:val="24"/>
        </w:rPr>
      </w:pPr>
    </w:p>
    <w:p>
      <w:pPr>
        <w:spacing w:line="240" w:lineRule="exact"/>
        <w:rPr>
          <w:sz w:val="24"/>
        </w:rPr>
      </w:pPr>
    </w:p>
    <w:p>
      <w:pPr>
        <w:spacing w:line="240" w:lineRule="exact"/>
        <w:rPr>
          <w:sz w:val="24"/>
        </w:rPr>
      </w:pPr>
    </w:p>
    <w:p>
      <w:pPr>
        <w:spacing w:line="240" w:lineRule="exact"/>
      </w:pPr>
      <w:r>
        <w:t xml:space="preserve">Madame, Monsieur, </w:t>
      </w:r>
    </w:p>
    <w:p>
      <w:pPr>
        <w:spacing w:line="240" w:lineRule="exact"/>
      </w:pPr>
    </w:p>
    <w:p>
      <w:pPr>
        <w:pStyle w:val="Retraitcorpsdetexte"/>
        <w:ind w:left="0"/>
      </w:pPr>
      <w:r>
        <w:t xml:space="preserve">J'ai l'honneur de porter à votre connaissance, qu'en application du Décret de </w:t>
      </w:r>
      <w:smartTag w:uri="urn:schemas-microsoft-com:office:smarttags" w:element="PersonName">
        <w:smartTagPr>
          <w:attr w:name="ProductID" w:val="la Communaut￩"/>
        </w:smartTagPr>
        <w:r>
          <w:t>la Communauté</w:t>
        </w:r>
      </w:smartTag>
      <w:r>
        <w:t xml:space="preserve"> française du 4 mars 1991 relatif à l'Aide à </w:t>
      </w:r>
      <w:smartTag w:uri="urn:schemas-microsoft-com:office:smarttags" w:element="PersonName">
        <w:smartTagPr>
          <w:attr w:name="ProductID" w:val="la Jeunesse"/>
        </w:smartTagPr>
        <w:r>
          <w:t>la Jeunesse</w:t>
        </w:r>
      </w:smartTag>
      <w:r>
        <w:t xml:space="preserve">, de </w:t>
      </w:r>
      <w:smartTag w:uri="urn:schemas-microsoft-com:office:smarttags" w:element="PersonName">
        <w:smartTagPr>
          <w:attr w:name="ProductID" w:val="la Loi"/>
        </w:smartTagPr>
        <w:r>
          <w:t>la Loi</w:t>
        </w:r>
      </w:smartTag>
      <w:r>
        <w:t xml:space="preserve"> relative à la protection de la jeunesse du 8 avril 1965 ou de </w:t>
      </w:r>
      <w:r>
        <w:rPr>
          <w:lang w:val="fr-BE"/>
        </w:rPr>
        <w:t xml:space="preserve">l’Ordonnance du 29 avril 2004 de </w:t>
      </w:r>
      <w:smartTag w:uri="urn:schemas-microsoft-com:office:smarttags" w:element="PersonName">
        <w:smartTagPr>
          <w:attr w:name="ProductID" w:val="la Commission"/>
        </w:smartTagPr>
        <w:r>
          <w:rPr>
            <w:lang w:val="fr-BE"/>
          </w:rPr>
          <w:t>la Commission</w:t>
        </w:r>
      </w:smartTag>
      <w:r>
        <w:rPr>
          <w:lang w:val="fr-BE"/>
        </w:rPr>
        <w:t xml:space="preserve"> communautaire de </w:t>
      </w:r>
      <w:smartTag w:uri="urn:schemas-microsoft-com:office:smarttags" w:element="PersonName">
        <w:smartTagPr>
          <w:attr w:name="ProductID" w:val="la R￩gion"/>
        </w:smartTagPr>
        <w:r>
          <w:rPr>
            <w:lang w:val="fr-BE"/>
          </w:rPr>
          <w:t>la Région</w:t>
        </w:r>
      </w:smartTag>
      <w:r>
        <w:rPr>
          <w:lang w:val="fr-BE"/>
        </w:rPr>
        <w:t xml:space="preserve"> de Bruxelles-Capitale relatif à l’Aide à </w:t>
      </w:r>
      <w:smartTag w:uri="urn:schemas-microsoft-com:office:smarttags" w:element="PersonName">
        <w:smartTagPr>
          <w:attr w:name="ProductID" w:val="la Jeunesse"/>
        </w:smartTagPr>
        <w:r>
          <w:rPr>
            <w:lang w:val="fr-BE"/>
          </w:rPr>
          <w:t>la Jeunesse</w:t>
        </w:r>
      </w:smartTag>
      <w:r>
        <w:t xml:space="preserve">, j'ai décidé de placer le(la) jeune : </w:t>
      </w:r>
    </w:p>
    <w:p>
      <w:pPr>
        <w:spacing w:line="244" w:lineRule="exact"/>
      </w:pPr>
    </w:p>
    <w:p>
      <w:pPr>
        <w:spacing w:line="244" w:lineRule="exact"/>
      </w:pPr>
      <w:r>
        <w:t>………………………………………………………………………………………………………………………………………….……………………………………………………………………………………………</w:t>
      </w:r>
    </w:p>
    <w:p>
      <w:pPr>
        <w:spacing w:line="244" w:lineRule="exact"/>
      </w:pPr>
    </w:p>
    <w:p>
      <w:pPr>
        <w:spacing w:line="240" w:lineRule="exact"/>
      </w:pPr>
      <w:r>
        <w:t>A :</w:t>
      </w:r>
    </w:p>
    <w:p>
      <w:pPr>
        <w:spacing w:line="240" w:lineRule="exact"/>
      </w:pPr>
    </w:p>
    <w:p>
      <w:pPr>
        <w:ind w:left="1980" w:hanging="1980"/>
      </w:pPr>
      <w:r>
        <w:t>Date de début de placement : …..…/……../………..</w:t>
      </w:r>
    </w:p>
    <w:p>
      <w:pPr>
        <w:spacing w:line="240" w:lineRule="exact"/>
      </w:pPr>
      <w:r>
        <w:t>Date de fin de placement (si connue) : …..…/……../………..</w:t>
      </w:r>
    </w:p>
    <w:p>
      <w:pPr>
        <w:spacing w:line="240" w:lineRule="exact"/>
      </w:pPr>
    </w:p>
    <w:p>
      <w:pPr>
        <w:spacing w:line="240" w:lineRule="exact"/>
      </w:pPr>
    </w:p>
    <w:p>
      <w:pPr>
        <w:spacing w:line="244" w:lineRule="exact"/>
      </w:pPr>
      <w:r>
        <w:t xml:space="preserve">La présente attestation vaut pour les actes administratifs nécessaires à la régularisation de la situation de l'intéressé(e). </w:t>
      </w:r>
    </w:p>
    <w:p>
      <w:pPr>
        <w:spacing w:line="244" w:lineRule="exact"/>
      </w:pPr>
    </w:p>
    <w:p>
      <w:pPr>
        <w:spacing w:line="220" w:lineRule="exact"/>
      </w:pPr>
      <w:r>
        <w:t xml:space="preserve">Je vous prie d'agréer, Monsieur, Madame, l'assurance de ma considération distinguée. </w:t>
      </w:r>
    </w:p>
    <w:p>
      <w:pPr>
        <w:spacing w:line="220" w:lineRule="exact"/>
      </w:pPr>
    </w:p>
    <w:p>
      <w:pPr>
        <w:spacing w:line="220" w:lineRule="exact"/>
      </w:pPr>
    </w:p>
    <w:p>
      <w:pPr>
        <w:spacing w:line="220" w:lineRule="exact"/>
      </w:pPr>
    </w:p>
    <w:p>
      <w:pPr>
        <w:spacing w:line="220" w:lineRule="exact"/>
        <w:rPr>
          <w:rFonts w:ascii="Courier New" w:hAnsi="Courier New"/>
        </w:rPr>
      </w:pPr>
      <w:r>
        <w:t>Fait à …………………………..                             le</w:t>
      </w:r>
      <w:r>
        <w:rPr>
          <w:rFonts w:ascii="Courier New" w:hAnsi="Courier New"/>
        </w:rPr>
        <w:t xml:space="preserve"> ……………………………………</w:t>
      </w:r>
    </w:p>
    <w:p>
      <w:pPr>
        <w:spacing w:line="158" w:lineRule="exact"/>
        <w:rPr>
          <w:rFonts w:ascii="Courier New" w:hAnsi="Courier New"/>
        </w:rPr>
      </w:pPr>
    </w:p>
    <w:p>
      <w:pPr>
        <w:spacing w:line="240" w:lineRule="exact"/>
      </w:pPr>
    </w:p>
    <w:p>
      <w:pPr>
        <w:spacing w:line="240" w:lineRule="exact"/>
      </w:pPr>
    </w:p>
    <w:p>
      <w:pPr>
        <w:spacing w:line="240" w:lineRule="exact"/>
      </w:pPr>
    </w:p>
    <w:p>
      <w:pPr>
        <w:spacing w:line="240" w:lineRule="exact"/>
      </w:pPr>
      <w:r>
        <w:t xml:space="preserve">Nom, Prénom, Signature. </w:t>
      </w:r>
    </w:p>
    <w:p>
      <w:pPr>
        <w:spacing w:line="240" w:lineRule="exact"/>
      </w:pPr>
    </w:p>
    <w:p>
      <w:pPr>
        <w:spacing w:line="240" w:lineRule="exact"/>
      </w:pPr>
    </w:p>
    <w:p>
      <w:pPr>
        <w:spacing w:line="240" w:lineRule="exact"/>
      </w:pPr>
    </w:p>
    <w:p>
      <w:pPr>
        <w:spacing w:line="240" w:lineRule="exact"/>
      </w:pPr>
    </w:p>
    <w:p>
      <w:pPr>
        <w:spacing w:line="240" w:lineRule="exact"/>
      </w:pPr>
    </w:p>
    <w:p>
      <w:pPr>
        <w:spacing w:line="240" w:lineRule="exact"/>
      </w:pPr>
      <w:r>
        <w:t>Cette attestation doit figurer dans le dossier de l’élève, accompagnée de l’annexe 6.2.A. dûment complétée.</w:t>
      </w:r>
    </w:p>
    <w:p>
      <w:pPr>
        <w:spacing w:line="240" w:lineRule="exact"/>
      </w:pPr>
    </w:p>
    <w:p>
      <w:pPr>
        <w:spacing w:line="240" w:lineRule="exact"/>
      </w:pPr>
    </w:p>
    <w:p>
      <w:pPr>
        <w:pStyle w:val="annexe"/>
      </w:pPr>
      <w:bookmarkStart w:id="2330" w:name="_Annexe_6.2.C."/>
      <w:bookmarkEnd w:id="2330"/>
      <w:r>
        <w:br w:type="page"/>
      </w:r>
      <w:bookmarkStart w:id="2331" w:name="Annexe_62C"/>
      <w:bookmarkStart w:id="2332" w:name="_Toc165786207"/>
      <w:bookmarkStart w:id="2333" w:name="_Toc265141689"/>
      <w:bookmarkStart w:id="2334" w:name="_Toc295913896"/>
      <w:bookmarkStart w:id="2335" w:name="_Toc423420216"/>
      <w:bookmarkStart w:id="2336" w:name="_Toc450645465"/>
      <w:bookmarkStart w:id="2337" w:name="_Toc453942704"/>
      <w:bookmarkStart w:id="2338" w:name="_Toc454888320"/>
      <w:bookmarkStart w:id="2339" w:name="_Toc486241939"/>
      <w:bookmarkEnd w:id="2331"/>
      <w:r>
        <w:t>Annexe 6.2.C.</w:t>
      </w:r>
      <w:bookmarkEnd w:id="2332"/>
      <w:bookmarkEnd w:id="2333"/>
      <w:r>
        <w:t xml:space="preserve"> Attestation du directeur d’un internat pour enfants dont les parents n’ont pas de résidence fixe</w:t>
      </w:r>
      <w:bookmarkEnd w:id="2334"/>
      <w:bookmarkEnd w:id="2335"/>
      <w:bookmarkEnd w:id="2336"/>
      <w:bookmarkEnd w:id="2337"/>
      <w:bookmarkEnd w:id="2338"/>
      <w:bookmarkEnd w:id="2339"/>
    </w:p>
    <w:p>
      <w:pPr>
        <w:pStyle w:val="Corpsdetexte"/>
        <w:rPr>
          <w:i/>
        </w:rPr>
      </w:pPr>
    </w:p>
    <w:p>
      <w:pPr>
        <w:pStyle w:val="Corpsdetexte"/>
      </w:pPr>
    </w:p>
    <w:tbl>
      <w:tblPr>
        <w:tblStyle w:val="Grilledutableau"/>
        <w:tblW w:w="0" w:type="auto"/>
        <w:tblLook w:val="04A0" w:firstRow="1" w:lastRow="0" w:firstColumn="1" w:lastColumn="0" w:noHBand="0" w:noVBand="1"/>
      </w:tblPr>
      <w:tblGrid>
        <w:gridCol w:w="9855"/>
      </w:tblGrid>
      <w:tr>
        <w:tc>
          <w:tcPr>
            <w:tcW w:w="9855" w:type="dxa"/>
            <w:tcBorders>
              <w:top w:val="single" w:sz="12" w:space="0" w:color="auto"/>
              <w:left w:val="single" w:sz="12" w:space="0" w:color="auto"/>
              <w:bottom w:val="single" w:sz="12" w:space="0" w:color="auto"/>
              <w:right w:val="single" w:sz="12" w:space="0" w:color="auto"/>
            </w:tcBorders>
          </w:tcPr>
          <w:p>
            <w:pPr>
              <w:jc w:val="center"/>
              <w:rPr>
                <w:b/>
              </w:rPr>
            </w:pPr>
            <w:r>
              <w:rPr>
                <w:b/>
              </w:rPr>
              <w:t>Attestation du directeur d’un internat pour enfants dont les parents n’ont pas de résidence fixe délivrée en vertu des articles 29, § 2 et 41, § 2 du décret du 13 juillet 1998 portant organisation de l’enseignement maternel et primaire ordinaire et modifiant la réglementation de l’enseignement</w:t>
            </w:r>
          </w:p>
        </w:tc>
      </w:tr>
    </w:tbl>
    <w:p/>
    <w:p/>
    <w:p/>
    <w:p/>
    <w:p/>
    <w:p/>
    <w:p/>
    <w:p/>
    <w:p>
      <w:pPr>
        <w:numPr>
          <w:ilvl w:val="0"/>
          <w:numId w:val="46"/>
        </w:numPr>
        <w:tabs>
          <w:tab w:val="num" w:pos="1275"/>
        </w:tabs>
        <w:ind w:left="405"/>
      </w:pPr>
      <w:r>
        <w:t>Je soussigné (e )  ………………………………., directeur (trice) de l’internat d’Antoing</w:t>
      </w:r>
    </w:p>
    <w:p/>
    <w:p/>
    <w:p/>
    <w:p>
      <w:r>
        <w:t>Atteste que (nom et prénom de l’élève)………………………………….. né(e) le……………………</w:t>
      </w:r>
    </w:p>
    <w:p/>
    <w:p/>
    <w:p>
      <w:r>
        <w:t>est inscrit(e) à l’internat d’Antoing.</w:t>
      </w:r>
    </w:p>
    <w:p>
      <w:r>
        <w:tab/>
      </w:r>
    </w:p>
    <w:p/>
    <w:p/>
    <w:p/>
    <w:p>
      <w:r>
        <w:tab/>
      </w:r>
      <w:r>
        <w:tab/>
      </w:r>
      <w:r>
        <w:tab/>
      </w:r>
      <w:r>
        <w:tab/>
      </w:r>
      <w:r>
        <w:tab/>
      </w:r>
      <w:r>
        <w:tab/>
      </w:r>
      <w:r>
        <w:tab/>
        <w:t>Fait le …………………..à…………………..,</w:t>
      </w:r>
    </w:p>
    <w:p/>
    <w:p/>
    <w:p/>
    <w:p>
      <w:r>
        <w:tab/>
      </w:r>
      <w:r>
        <w:tab/>
      </w:r>
      <w:r>
        <w:tab/>
      </w:r>
      <w:r>
        <w:tab/>
      </w:r>
      <w:r>
        <w:tab/>
      </w:r>
      <w:r>
        <w:tab/>
      </w:r>
      <w:r>
        <w:tab/>
        <w:t>Signature.</w:t>
      </w:r>
    </w:p>
    <w:p/>
    <w:p/>
    <w:p/>
    <w:p/>
    <w:p/>
    <w:p/>
    <w:p>
      <w:r>
        <w:t>Cette attestation complétée devra être remise au chef d’établissement.</w:t>
      </w:r>
    </w:p>
    <w:p>
      <w:pPr>
        <w:pStyle w:val="annexe"/>
      </w:pPr>
      <w:bookmarkStart w:id="2340" w:name="_Annexe_6.2.D."/>
      <w:bookmarkEnd w:id="2340"/>
      <w:r>
        <w:br w:type="page"/>
      </w:r>
      <w:bookmarkStart w:id="2341" w:name="Annexe_62D"/>
      <w:bookmarkStart w:id="2342" w:name="_Toc165786208"/>
      <w:bookmarkStart w:id="2343" w:name="_Toc265141690"/>
      <w:bookmarkStart w:id="2344" w:name="_Toc295913897"/>
      <w:bookmarkStart w:id="2345" w:name="_Toc423420217"/>
      <w:bookmarkStart w:id="2346" w:name="_Toc450645466"/>
      <w:bookmarkStart w:id="2347" w:name="_Toc453942705"/>
      <w:bookmarkStart w:id="2348" w:name="_Toc454888321"/>
      <w:bookmarkStart w:id="2349" w:name="_Toc486241940"/>
      <w:bookmarkEnd w:id="2341"/>
      <w:r>
        <w:t>Annexe 6.2.D.</w:t>
      </w:r>
      <w:bookmarkEnd w:id="2342"/>
      <w:bookmarkEnd w:id="2343"/>
      <w:r>
        <w:t xml:space="preserve"> Attestation du directeur d’un service d’accueil spécialisé</w:t>
      </w:r>
      <w:bookmarkEnd w:id="2344"/>
      <w:bookmarkEnd w:id="2345"/>
      <w:bookmarkEnd w:id="2346"/>
      <w:bookmarkEnd w:id="2347"/>
      <w:bookmarkEnd w:id="2348"/>
      <w:bookmarkEnd w:id="2349"/>
    </w:p>
    <w:p>
      <w:pPr>
        <w:pStyle w:val="Corpsdetexte"/>
      </w:pPr>
    </w:p>
    <w:tbl>
      <w:tblPr>
        <w:tblStyle w:val="Grilledutableau"/>
        <w:tblW w:w="0" w:type="auto"/>
        <w:tblLook w:val="04A0" w:firstRow="1" w:lastRow="0" w:firstColumn="1" w:lastColumn="0" w:noHBand="0" w:noVBand="1"/>
      </w:tblPr>
      <w:tblGrid>
        <w:gridCol w:w="9855"/>
      </w:tblGrid>
      <w:tr>
        <w:tc>
          <w:tcPr>
            <w:tcW w:w="9855" w:type="dxa"/>
            <w:tcBorders>
              <w:top w:val="single" w:sz="12" w:space="0" w:color="auto"/>
              <w:left w:val="single" w:sz="12" w:space="0" w:color="auto"/>
              <w:bottom w:val="single" w:sz="12" w:space="0" w:color="auto"/>
              <w:right w:val="single" w:sz="12" w:space="0" w:color="auto"/>
            </w:tcBorders>
          </w:tcPr>
          <w:p>
            <w:pPr>
              <w:jc w:val="center"/>
              <w:rPr>
                <w:b/>
              </w:rPr>
            </w:pPr>
            <w:r>
              <w:rPr>
                <w:b/>
              </w:rPr>
              <w:t>Attestation du directeur d’un service d’accueil spécialisé en vertu des articles 29, § 2 et 41, § 2 du décret du 13 juillet 1998 portant organisation de l’enseignement maternel et primaire ordinaire et modifiant la réglementation de l’enseignement</w:t>
            </w:r>
          </w:p>
        </w:tc>
      </w:tr>
    </w:tbl>
    <w:p/>
    <w:p/>
    <w:p/>
    <w:p>
      <w:r>
        <w:t>Je soussigné (e)………………………………………directeur du………………………………………</w:t>
      </w:r>
    </w:p>
    <w:p/>
    <w:p>
      <w:r>
        <w:t>Atteste que (nom et prénom de l’élève) ……………………………..…………………………………..</w:t>
      </w:r>
    </w:p>
    <w:p>
      <w:pPr>
        <w:ind w:left="2832"/>
      </w:pPr>
      <w:r>
        <w:t xml:space="preserve">   </w:t>
      </w:r>
    </w:p>
    <w:p>
      <w:pPr>
        <w:ind w:left="2832"/>
      </w:pPr>
      <w:r>
        <w:t>né(e) le……………………………</w:t>
      </w:r>
    </w:p>
    <w:p>
      <w:pPr>
        <w:pStyle w:val="Notedebasdepage"/>
        <w:rPr>
          <w:sz w:val="22"/>
        </w:rPr>
      </w:pPr>
    </w:p>
    <w:p>
      <w:pPr>
        <w:pStyle w:val="Notedebasdepage"/>
        <w:rPr>
          <w:sz w:val="22"/>
        </w:rPr>
      </w:pPr>
      <w:r>
        <w:rPr>
          <w:sz w:val="22"/>
        </w:rPr>
        <w:t>est inscrit(e)</w:t>
      </w:r>
      <w:r>
        <w:rPr>
          <w:sz w:val="22"/>
        </w:rPr>
        <w:tab/>
      </w:r>
    </w:p>
    <w:p>
      <w:pPr>
        <w:pStyle w:val="Notedebasdepage"/>
        <w:rPr>
          <w:sz w:val="22"/>
        </w:rPr>
      </w:pPr>
    </w:p>
    <w:p>
      <w:pPr>
        <w:pStyle w:val="Notedebasdepage"/>
        <w:numPr>
          <w:ilvl w:val="0"/>
          <w:numId w:val="47"/>
        </w:numPr>
        <w:tabs>
          <w:tab w:val="clear" w:pos="720"/>
          <w:tab w:val="left" w:pos="1080"/>
          <w:tab w:val="left" w:pos="7380"/>
        </w:tabs>
        <w:ind w:left="1080"/>
        <w:rPr>
          <w:sz w:val="22"/>
        </w:rPr>
      </w:pPr>
      <w:r>
        <w:rPr>
          <w:sz w:val="22"/>
        </w:rPr>
        <w:t xml:space="preserve">Au service d’accueil spécialisé « Les cerfs-volants » </w:t>
      </w:r>
      <w:r>
        <w:rPr>
          <w:sz w:val="22"/>
        </w:rPr>
        <w:tab/>
        <w:t>1030 Schaerbeek</w:t>
      </w:r>
    </w:p>
    <w:p>
      <w:pPr>
        <w:numPr>
          <w:ilvl w:val="0"/>
          <w:numId w:val="47"/>
        </w:numPr>
        <w:tabs>
          <w:tab w:val="clear" w:pos="720"/>
          <w:tab w:val="left" w:pos="1080"/>
          <w:tab w:val="num" w:pos="1776"/>
          <w:tab w:val="left" w:pos="7380"/>
        </w:tabs>
        <w:ind w:left="1080"/>
      </w:pPr>
      <w:r>
        <w:t xml:space="preserve">Au service d’accueil spécialisé « Juliette Herman » </w:t>
      </w:r>
      <w:r>
        <w:tab/>
        <w:t>1000 Bruxelles</w:t>
      </w:r>
    </w:p>
    <w:p>
      <w:pPr>
        <w:numPr>
          <w:ilvl w:val="0"/>
          <w:numId w:val="47"/>
        </w:numPr>
        <w:tabs>
          <w:tab w:val="clear" w:pos="720"/>
          <w:tab w:val="left" w:pos="1080"/>
          <w:tab w:val="num" w:pos="1776"/>
          <w:tab w:val="left" w:pos="7380"/>
        </w:tabs>
        <w:ind w:left="1080"/>
      </w:pPr>
      <w:r>
        <w:t xml:space="preserve">Au service d’accueil spécialisé « Saint-Raphaël » </w:t>
      </w:r>
      <w:r>
        <w:tab/>
        <w:t>4000 Rocourt</w:t>
      </w:r>
    </w:p>
    <w:p>
      <w:pPr>
        <w:numPr>
          <w:ilvl w:val="0"/>
          <w:numId w:val="47"/>
        </w:numPr>
        <w:tabs>
          <w:tab w:val="clear" w:pos="720"/>
          <w:tab w:val="left" w:pos="1080"/>
          <w:tab w:val="num" w:pos="1776"/>
          <w:tab w:val="left" w:pos="7380"/>
        </w:tabs>
        <w:ind w:left="1080"/>
      </w:pPr>
      <w:r>
        <w:t xml:space="preserve">Au service d’accueil spécialisé « Les Bouts de Choux » </w:t>
      </w:r>
      <w:r>
        <w:tab/>
        <w:t>5000 Namur</w:t>
      </w:r>
    </w:p>
    <w:p>
      <w:pPr>
        <w:numPr>
          <w:ilvl w:val="0"/>
          <w:numId w:val="47"/>
        </w:numPr>
        <w:tabs>
          <w:tab w:val="clear" w:pos="720"/>
          <w:tab w:val="left" w:pos="1080"/>
          <w:tab w:val="num" w:pos="1776"/>
          <w:tab w:val="left" w:pos="7380"/>
        </w:tabs>
        <w:ind w:left="1080"/>
      </w:pPr>
      <w:r>
        <w:t xml:space="preserve">Au service d’accueil spécialisé « Paul Henricot » </w:t>
      </w:r>
      <w:r>
        <w:tab/>
        <w:t>1490 Court-St-Etienne</w:t>
      </w:r>
    </w:p>
    <w:p>
      <w:pPr>
        <w:numPr>
          <w:ilvl w:val="0"/>
          <w:numId w:val="47"/>
        </w:numPr>
        <w:tabs>
          <w:tab w:val="clear" w:pos="720"/>
          <w:tab w:val="left" w:pos="1080"/>
          <w:tab w:val="num" w:pos="1776"/>
          <w:tab w:val="left" w:pos="7380"/>
        </w:tabs>
        <w:ind w:left="1080"/>
      </w:pPr>
      <w:r>
        <w:t xml:space="preserve">Au service d’accueil spécialisé « L’Auberge du Maréchal Ney » </w:t>
      </w:r>
      <w:r>
        <w:tab/>
        <w:t>6220 Fleurus</w:t>
      </w:r>
    </w:p>
    <w:p>
      <w:pPr>
        <w:numPr>
          <w:ilvl w:val="0"/>
          <w:numId w:val="47"/>
        </w:numPr>
        <w:tabs>
          <w:tab w:val="clear" w:pos="720"/>
          <w:tab w:val="left" w:pos="1080"/>
          <w:tab w:val="num" w:pos="1776"/>
          <w:tab w:val="left" w:pos="7380"/>
        </w:tabs>
        <w:ind w:left="1080"/>
      </w:pPr>
      <w:r>
        <w:t xml:space="preserve">Au service d’accueil spécialisé de la rue de l’Yser, n°60 </w:t>
      </w:r>
      <w:r>
        <w:tab/>
        <w:t>4430 Ans</w:t>
      </w:r>
    </w:p>
    <w:p>
      <w:pPr>
        <w:numPr>
          <w:ilvl w:val="0"/>
          <w:numId w:val="47"/>
        </w:numPr>
        <w:tabs>
          <w:tab w:val="clear" w:pos="720"/>
          <w:tab w:val="left" w:pos="1080"/>
          <w:tab w:val="num" w:pos="1776"/>
          <w:tab w:val="left" w:pos="7380"/>
        </w:tabs>
        <w:ind w:left="1080"/>
      </w:pPr>
      <w:r>
        <w:t xml:space="preserve">Au service d’accueil spécialisé « Saint-Aubain » </w:t>
      </w:r>
      <w:r>
        <w:tab/>
        <w:t>6720 Habay-la-Neuve</w:t>
      </w:r>
    </w:p>
    <w:p>
      <w:pPr>
        <w:numPr>
          <w:ilvl w:val="0"/>
          <w:numId w:val="47"/>
        </w:numPr>
        <w:tabs>
          <w:tab w:val="clear" w:pos="720"/>
          <w:tab w:val="left" w:pos="1080"/>
          <w:tab w:val="num" w:pos="1776"/>
          <w:tab w:val="left" w:pos="7380"/>
        </w:tabs>
        <w:ind w:left="1080"/>
      </w:pPr>
      <w:r>
        <w:t xml:space="preserve">Au service d’accueil spécialisé « Marie-Henriette » </w:t>
      </w:r>
      <w:r>
        <w:tab/>
        <w:t>1000 Bruxelles</w:t>
      </w:r>
    </w:p>
    <w:p>
      <w:pPr>
        <w:numPr>
          <w:ilvl w:val="0"/>
          <w:numId w:val="47"/>
        </w:numPr>
        <w:tabs>
          <w:tab w:val="clear" w:pos="720"/>
          <w:tab w:val="left" w:pos="1080"/>
          <w:tab w:val="num" w:pos="1776"/>
          <w:tab w:val="left" w:pos="7380"/>
        </w:tabs>
        <w:ind w:left="1080"/>
      </w:pPr>
      <w:r>
        <w:t xml:space="preserve">Au service d’accueil spécialisé « Notre Abri » </w:t>
      </w:r>
      <w:r>
        <w:tab/>
        <w:t>1180 Uccle</w:t>
      </w:r>
    </w:p>
    <w:p>
      <w:pPr>
        <w:numPr>
          <w:ilvl w:val="0"/>
          <w:numId w:val="47"/>
        </w:numPr>
        <w:tabs>
          <w:tab w:val="clear" w:pos="720"/>
          <w:tab w:val="left" w:pos="1080"/>
          <w:tab w:val="num" w:pos="1776"/>
          <w:tab w:val="left" w:pos="7380"/>
        </w:tabs>
        <w:ind w:left="1080"/>
      </w:pPr>
      <w:r>
        <w:t xml:space="preserve">Au service d’accueil spécialisé « Sainte-Adeline » </w:t>
      </w:r>
      <w:r>
        <w:tab/>
        <w:t>4000 Liège</w:t>
      </w:r>
    </w:p>
    <w:p>
      <w:pPr>
        <w:numPr>
          <w:ilvl w:val="0"/>
          <w:numId w:val="47"/>
        </w:numPr>
        <w:tabs>
          <w:tab w:val="clear" w:pos="720"/>
          <w:tab w:val="left" w:pos="1080"/>
          <w:tab w:val="num" w:pos="1776"/>
          <w:tab w:val="left" w:pos="7380"/>
        </w:tabs>
        <w:ind w:left="1080"/>
      </w:pPr>
      <w:r>
        <w:t>Au service d’accueil spécialisé « </w:t>
      </w:r>
      <w:smartTag w:uri="urn:schemas-microsoft-com:office:smarttags" w:element="PersonName">
        <w:smartTagPr>
          <w:attr w:name="ProductID" w:val="La Farandole"/>
        </w:smartTagPr>
        <w:r>
          <w:t>La Farandole</w:t>
        </w:r>
      </w:smartTag>
      <w:r>
        <w:t xml:space="preserve"> » </w:t>
      </w:r>
      <w:r>
        <w:tab/>
        <w:t>7700 Mouscron</w:t>
      </w:r>
    </w:p>
    <w:p>
      <w:pPr>
        <w:pStyle w:val="Notedebasdepage"/>
        <w:numPr>
          <w:ilvl w:val="0"/>
          <w:numId w:val="47"/>
        </w:numPr>
        <w:tabs>
          <w:tab w:val="clear" w:pos="720"/>
          <w:tab w:val="left" w:pos="1080"/>
          <w:tab w:val="num" w:pos="1776"/>
          <w:tab w:val="left" w:pos="7380"/>
        </w:tabs>
        <w:ind w:left="1080"/>
        <w:rPr>
          <w:sz w:val="22"/>
        </w:rPr>
      </w:pPr>
      <w:r>
        <w:rPr>
          <w:sz w:val="22"/>
        </w:rPr>
        <w:t xml:space="preserve">Au service d’accueil spécialisé « Les Glaïeuls » </w:t>
      </w:r>
      <w:r>
        <w:rPr>
          <w:sz w:val="22"/>
        </w:rPr>
        <w:tab/>
        <w:t>6852 Opont-Paliseul</w:t>
      </w:r>
    </w:p>
    <w:p>
      <w:pPr>
        <w:numPr>
          <w:ilvl w:val="0"/>
          <w:numId w:val="47"/>
        </w:numPr>
        <w:tabs>
          <w:tab w:val="clear" w:pos="720"/>
          <w:tab w:val="left" w:pos="1080"/>
          <w:tab w:val="num" w:pos="1776"/>
          <w:tab w:val="left" w:pos="7380"/>
        </w:tabs>
        <w:ind w:left="1080"/>
        <w:rPr>
          <w:i/>
        </w:rPr>
      </w:pPr>
      <w:r>
        <w:t xml:space="preserve">Au service d’accueil spécialisé « L'Accueil » </w:t>
      </w:r>
      <w:r>
        <w:tab/>
        <w:t>6041 Gosselies</w:t>
      </w:r>
    </w:p>
    <w:p>
      <w:pPr>
        <w:numPr>
          <w:ilvl w:val="0"/>
          <w:numId w:val="47"/>
        </w:numPr>
        <w:tabs>
          <w:tab w:val="clear" w:pos="720"/>
          <w:tab w:val="left" w:pos="1080"/>
          <w:tab w:val="num" w:pos="1776"/>
          <w:tab w:val="left" w:pos="7380"/>
        </w:tabs>
        <w:ind w:left="1080"/>
        <w:rPr>
          <w:i/>
        </w:rPr>
      </w:pPr>
      <w:r>
        <w:t xml:space="preserve">Au service d’accueil spécialisé « Maison Heureuse » </w:t>
      </w:r>
      <w:r>
        <w:tab/>
        <w:t>5590 Ciney</w:t>
      </w:r>
    </w:p>
    <w:p>
      <w:pPr>
        <w:numPr>
          <w:ilvl w:val="0"/>
          <w:numId w:val="47"/>
        </w:numPr>
        <w:tabs>
          <w:tab w:val="clear" w:pos="720"/>
          <w:tab w:val="left" w:pos="1080"/>
          <w:tab w:val="num" w:pos="1776"/>
          <w:tab w:val="left" w:pos="7380"/>
        </w:tabs>
        <w:ind w:left="1080"/>
        <w:rPr>
          <w:i/>
        </w:rPr>
      </w:pPr>
      <w:r>
        <w:t xml:space="preserve">Au service d’accueil spécialisé « Home Reine Astrid » </w:t>
      </w:r>
      <w:r>
        <w:tab/>
        <w:t xml:space="preserve">1310  </w:t>
      </w:r>
      <w:smartTag w:uri="urn:schemas-microsoft-com:office:smarttags" w:element="PersonName">
        <w:smartTagPr>
          <w:attr w:name="ProductID" w:val="La Hulpe"/>
        </w:smartTagPr>
        <w:r>
          <w:t>La Hulpe</w:t>
        </w:r>
      </w:smartTag>
    </w:p>
    <w:p>
      <w:pPr>
        <w:numPr>
          <w:ilvl w:val="0"/>
          <w:numId w:val="47"/>
        </w:numPr>
        <w:tabs>
          <w:tab w:val="clear" w:pos="720"/>
          <w:tab w:val="left" w:pos="1080"/>
          <w:tab w:val="num" w:pos="1776"/>
          <w:tab w:val="left" w:pos="7380"/>
        </w:tabs>
        <w:ind w:left="1080"/>
        <w:rPr>
          <w:i/>
        </w:rPr>
      </w:pPr>
      <w:r>
        <w:t>Au service d’accueil spécialisé « </w:t>
      </w:r>
      <w:smartTag w:uri="urn:schemas-microsoft-com:office:smarttags" w:element="PersonName">
        <w:smartTagPr>
          <w:attr w:name="ProductID" w:val="La Nacelle"/>
        </w:smartTagPr>
        <w:r>
          <w:t>La Nacelle</w:t>
        </w:r>
      </w:smartTag>
      <w:r>
        <w:t xml:space="preserve"> » </w:t>
      </w:r>
      <w:r>
        <w:tab/>
        <w:t>7000  Mons</w:t>
      </w:r>
    </w:p>
    <w:p>
      <w:pPr>
        <w:ind w:left="1416"/>
      </w:pPr>
    </w:p>
    <w:p>
      <w:r>
        <w:tab/>
      </w:r>
      <w:r>
        <w:tab/>
      </w:r>
      <w:r>
        <w:tab/>
      </w:r>
    </w:p>
    <w:p/>
    <w:p>
      <w:r>
        <w:tab/>
      </w:r>
      <w:r>
        <w:tab/>
      </w:r>
      <w:r>
        <w:tab/>
      </w:r>
      <w:r>
        <w:tab/>
      </w:r>
      <w:r>
        <w:tab/>
      </w:r>
      <w:r>
        <w:tab/>
      </w:r>
      <w:r>
        <w:tab/>
        <w:t>Fait le …………………..à…………………..,</w:t>
      </w:r>
    </w:p>
    <w:p/>
    <w:p/>
    <w:p/>
    <w:p>
      <w:r>
        <w:tab/>
      </w:r>
      <w:r>
        <w:tab/>
      </w:r>
      <w:r>
        <w:tab/>
      </w:r>
      <w:r>
        <w:tab/>
      </w:r>
      <w:r>
        <w:tab/>
      </w:r>
      <w:r>
        <w:tab/>
      </w:r>
      <w:r>
        <w:tab/>
        <w:t>Signature.</w:t>
      </w:r>
    </w:p>
    <w:p/>
    <w:p/>
    <w:p>
      <w:r>
        <w:t>Cette attestation complétée devra être remise au chef d’établissement.</w:t>
      </w:r>
    </w:p>
    <w:p>
      <w:pPr>
        <w:tabs>
          <w:tab w:val="left" w:pos="1260"/>
        </w:tabs>
        <w:spacing w:line="240" w:lineRule="exact"/>
        <w:rPr>
          <w:sz w:val="2"/>
        </w:rPr>
      </w:pPr>
    </w:p>
    <w:p>
      <w:pPr>
        <w:pStyle w:val="annexe"/>
        <w:rPr>
          <w:rFonts w:cs="Arial"/>
          <w:strike/>
        </w:rPr>
      </w:pPr>
      <w:bookmarkStart w:id="2350" w:name="_Annexe_8.A."/>
      <w:bookmarkStart w:id="2351" w:name="_Toc165786209"/>
      <w:bookmarkEnd w:id="2350"/>
      <w:r>
        <w:br w:type="page"/>
      </w:r>
      <w:bookmarkStart w:id="2352" w:name="Annexe_8A"/>
      <w:bookmarkStart w:id="2353" w:name="_Index"/>
      <w:bookmarkStart w:id="2354" w:name="_Annexe_8.D._"/>
      <w:bookmarkStart w:id="2355" w:name="Annexe_9"/>
      <w:bookmarkStart w:id="2356" w:name="Annexe_10"/>
      <w:bookmarkStart w:id="2357" w:name="_Toc423420218"/>
      <w:bookmarkStart w:id="2358" w:name="_Toc450645467"/>
      <w:bookmarkStart w:id="2359" w:name="_Toc453942709"/>
      <w:bookmarkStart w:id="2360" w:name="_Toc454888325"/>
      <w:bookmarkStart w:id="2361" w:name="_Toc486241941"/>
      <w:bookmarkEnd w:id="2351"/>
      <w:bookmarkEnd w:id="2352"/>
      <w:bookmarkEnd w:id="2353"/>
      <w:bookmarkEnd w:id="2354"/>
      <w:r>
        <w:t>Annexe 9</w:t>
      </w:r>
      <w:bookmarkEnd w:id="2355"/>
      <w:r>
        <w:t xml:space="preserve">. </w:t>
      </w:r>
      <w:bookmarkEnd w:id="2356"/>
      <w:r>
        <w:t>Convention de prise en charge spécialisée durant le temps scolaire, hors de l’établissement scolaire</w:t>
      </w:r>
      <w:bookmarkEnd w:id="2357"/>
      <w:bookmarkEnd w:id="2358"/>
      <w:bookmarkEnd w:id="2359"/>
      <w:bookmarkEnd w:id="2360"/>
      <w:bookmarkEnd w:id="2361"/>
    </w:p>
    <w:p>
      <w:pPr>
        <w:jc w:val="center"/>
        <w:rPr>
          <w:rFonts w:cs="Arial"/>
          <w:szCs w:val="22"/>
        </w:rPr>
      </w:pPr>
    </w:p>
    <w:tbl>
      <w:tblPr>
        <w:tblW w:w="9828" w:type="dxa"/>
        <w:tblLook w:val="01E0" w:firstRow="1" w:lastRow="1" w:firstColumn="1" w:lastColumn="1" w:noHBand="0" w:noVBand="0"/>
      </w:tblPr>
      <w:tblGrid>
        <w:gridCol w:w="1011"/>
        <w:gridCol w:w="3577"/>
        <w:gridCol w:w="5240"/>
      </w:tblGrid>
      <w:tr>
        <w:trPr>
          <w:trHeight w:hRule="exact" w:val="476"/>
        </w:trPr>
        <w:tc>
          <w:tcPr>
            <w:tcW w:w="1011" w:type="dxa"/>
            <w:tcBorders>
              <w:bottom w:val="single" w:sz="4" w:space="0" w:color="auto"/>
            </w:tcBorders>
            <w:vAlign w:val="center"/>
          </w:tcPr>
          <w:p>
            <w:pPr>
              <w:pStyle w:val="Sansinterligne1"/>
              <w:spacing w:after="120"/>
              <w:rPr>
                <w:rFonts w:ascii="Arial" w:hAnsi="Arial" w:cs="Arial"/>
                <w:b/>
              </w:rPr>
            </w:pPr>
            <w:r>
              <w:rPr>
                <w:rFonts w:cs="Arial"/>
              </w:rPr>
              <w:br w:type="page"/>
            </w:r>
          </w:p>
        </w:tc>
        <w:tc>
          <w:tcPr>
            <w:tcW w:w="3577" w:type="dxa"/>
            <w:tcBorders>
              <w:bottom w:val="single" w:sz="4" w:space="0" w:color="auto"/>
            </w:tcBorders>
            <w:vAlign w:val="center"/>
          </w:tcPr>
          <w:p>
            <w:pPr>
              <w:pStyle w:val="Sansinterligne1"/>
              <w:spacing w:after="120"/>
              <w:jc w:val="center"/>
              <w:rPr>
                <w:rFonts w:ascii="Arial" w:hAnsi="Arial" w:cs="Arial"/>
                <w:b/>
              </w:rPr>
            </w:pPr>
            <w:r>
              <w:rPr>
                <w:rFonts w:ascii="Arial" w:hAnsi="Arial" w:cs="Arial"/>
                <w:b/>
              </w:rPr>
              <w:t>Année scolaire 2017-2018</w:t>
            </w:r>
          </w:p>
        </w:tc>
        <w:tc>
          <w:tcPr>
            <w:tcW w:w="5240" w:type="dxa"/>
            <w:tcBorders>
              <w:bottom w:val="single" w:sz="4" w:space="0" w:color="auto"/>
            </w:tcBorders>
            <w:vAlign w:val="center"/>
          </w:tcPr>
          <w:p>
            <w:pPr>
              <w:pStyle w:val="Sansinterligne1"/>
              <w:spacing w:after="120"/>
              <w:jc w:val="right"/>
              <w:rPr>
                <w:rFonts w:ascii="Arial" w:hAnsi="Arial" w:cs="Arial"/>
                <w:b/>
              </w:rPr>
            </w:pPr>
            <w:r>
              <w:rPr>
                <w:rFonts w:ascii="Arial" w:hAnsi="Arial" w:cs="Arial"/>
                <w:b/>
              </w:rPr>
              <w:t>A conserver dans l’établissement.</w:t>
            </w:r>
          </w:p>
        </w:tc>
      </w:tr>
      <w:tr>
        <w:tc>
          <w:tcPr>
            <w:tcW w:w="9828" w:type="dxa"/>
            <w:gridSpan w:val="3"/>
            <w:tcBorders>
              <w:top w:val="single" w:sz="4" w:space="0" w:color="auto"/>
              <w:left w:val="single" w:sz="4" w:space="0" w:color="auto"/>
              <w:bottom w:val="single" w:sz="4" w:space="0" w:color="auto"/>
              <w:right w:val="single" w:sz="4" w:space="0" w:color="auto"/>
            </w:tcBorders>
            <w:vAlign w:val="center"/>
          </w:tcPr>
          <w:p>
            <w:pPr>
              <w:pStyle w:val="Sansinterligne1"/>
              <w:spacing w:before="120" w:after="120"/>
              <w:jc w:val="center"/>
              <w:rPr>
                <w:rFonts w:ascii="Arial" w:hAnsi="Arial" w:cs="Arial"/>
                <w:b/>
                <w:sz w:val="24"/>
                <w:szCs w:val="24"/>
              </w:rPr>
            </w:pPr>
            <w:r>
              <w:rPr>
                <w:rFonts w:ascii="Arial" w:hAnsi="Arial" w:cs="Arial"/>
                <w:b/>
                <w:sz w:val="24"/>
                <w:szCs w:val="24"/>
              </w:rPr>
              <w:t>Convention de prise en charge spécialisée durant le temps scolaire, hors de l’établissement scolaire</w:t>
            </w:r>
          </w:p>
        </w:tc>
      </w:tr>
    </w:tbl>
    <w:p>
      <w:pPr>
        <w:rPr>
          <w:rFonts w:cs="Arial"/>
        </w:rPr>
      </w:pPr>
    </w:p>
    <w:p>
      <w:pPr>
        <w:rPr>
          <w:rFonts w:cs="Arial"/>
        </w:rPr>
      </w:pPr>
    </w:p>
    <w:p>
      <w:pPr>
        <w:tabs>
          <w:tab w:val="left" w:pos="1134"/>
        </w:tabs>
        <w:jc w:val="both"/>
        <w:rPr>
          <w:rFonts w:cs="Arial"/>
        </w:rPr>
      </w:pPr>
      <w:r>
        <w:rPr>
          <w:rFonts w:cs="Arial"/>
        </w:rPr>
        <w:t>Cette convention précise les conditions dans lesquelles, le chef d’établissement autorise l’organisation de tout ou partie de prise en charge spécialisée (logopédie, psychomotricité fine, graphothérapie, …) pendant les 28 périodes de cours hebdomadaires hors de l’établissement.</w:t>
      </w:r>
    </w:p>
    <w:p>
      <w:pPr>
        <w:tabs>
          <w:tab w:val="left" w:pos="1134"/>
        </w:tabs>
        <w:ind w:left="360"/>
        <w:jc w:val="both"/>
        <w:rPr>
          <w:rFonts w:cs="Arial"/>
          <w:b/>
          <w:sz w:val="20"/>
          <w:szCs w:val="22"/>
        </w:rPr>
      </w:pPr>
    </w:p>
    <w:p>
      <w:pPr>
        <w:tabs>
          <w:tab w:val="left" w:pos="1134"/>
        </w:tabs>
        <w:ind w:left="360"/>
        <w:jc w:val="both"/>
        <w:rPr>
          <w:rFonts w:cs="Arial"/>
          <w:b/>
          <w:sz w:val="20"/>
          <w:szCs w:val="22"/>
        </w:rPr>
      </w:pPr>
    </w:p>
    <w:p>
      <w:pPr>
        <w:tabs>
          <w:tab w:val="left" w:pos="1134"/>
        </w:tabs>
        <w:rPr>
          <w:rFonts w:cs="Arial"/>
          <w:b/>
        </w:rPr>
      </w:pPr>
      <w:r>
        <w:rPr>
          <w:rFonts w:cs="Arial"/>
          <w:b/>
        </w:rPr>
        <w:t>Elève concerné</w:t>
      </w:r>
    </w:p>
    <w:tbl>
      <w:tblPr>
        <w:tblW w:w="982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603"/>
        <w:gridCol w:w="5225"/>
      </w:tblGrid>
      <w:tr>
        <w:tc>
          <w:tcPr>
            <w:tcW w:w="4603" w:type="dxa"/>
            <w:tcBorders>
              <w:top w:val="single" w:sz="4" w:space="0" w:color="auto"/>
            </w:tcBorders>
          </w:tcPr>
          <w:p>
            <w:pPr>
              <w:tabs>
                <w:tab w:val="left" w:pos="1134"/>
              </w:tabs>
              <w:spacing w:line="360" w:lineRule="auto"/>
              <w:rPr>
                <w:rFonts w:cs="Arial"/>
              </w:rPr>
            </w:pPr>
            <w:r>
              <w:rPr>
                <w:rFonts w:cs="Arial"/>
              </w:rPr>
              <w:t>Nom:</w:t>
            </w:r>
          </w:p>
        </w:tc>
        <w:tc>
          <w:tcPr>
            <w:tcW w:w="5225" w:type="dxa"/>
            <w:tcBorders>
              <w:top w:val="single" w:sz="4" w:space="0" w:color="auto"/>
            </w:tcBorders>
          </w:tcPr>
          <w:p>
            <w:pPr>
              <w:tabs>
                <w:tab w:val="left" w:pos="1134"/>
              </w:tabs>
              <w:spacing w:line="360" w:lineRule="auto"/>
              <w:rPr>
                <w:rFonts w:cs="Arial"/>
              </w:rPr>
            </w:pPr>
            <w:r>
              <w:rPr>
                <w:rFonts w:cs="Arial"/>
              </w:rPr>
              <w:t>Prénom:</w:t>
            </w:r>
          </w:p>
        </w:tc>
      </w:tr>
      <w:tr>
        <w:tc>
          <w:tcPr>
            <w:tcW w:w="4603" w:type="dxa"/>
            <w:tcBorders>
              <w:bottom w:val="single" w:sz="4" w:space="0" w:color="auto"/>
            </w:tcBorders>
          </w:tcPr>
          <w:p>
            <w:pPr>
              <w:tabs>
                <w:tab w:val="left" w:pos="1134"/>
              </w:tabs>
              <w:rPr>
                <w:rFonts w:cs="Arial"/>
              </w:rPr>
            </w:pPr>
            <w:r>
              <w:rPr>
                <w:rFonts w:cs="Arial"/>
              </w:rPr>
              <w:t>Date de naissance:</w:t>
            </w:r>
          </w:p>
          <w:p>
            <w:pPr>
              <w:tabs>
                <w:tab w:val="left" w:pos="1134"/>
              </w:tabs>
              <w:rPr>
                <w:rFonts w:cs="Arial"/>
              </w:rPr>
            </w:pPr>
          </w:p>
        </w:tc>
        <w:tc>
          <w:tcPr>
            <w:tcW w:w="5225" w:type="dxa"/>
            <w:tcBorders>
              <w:bottom w:val="single" w:sz="4" w:space="0" w:color="auto"/>
            </w:tcBorders>
          </w:tcPr>
          <w:p>
            <w:pPr>
              <w:tabs>
                <w:tab w:val="left" w:pos="1134"/>
              </w:tabs>
              <w:rPr>
                <w:rFonts w:cs="Arial"/>
              </w:rPr>
            </w:pPr>
            <w:r>
              <w:rPr>
                <w:rFonts w:cs="Arial"/>
              </w:rPr>
              <w:t>Sexe (M/F):</w:t>
            </w:r>
            <w:r>
              <w:rPr>
                <w:rFonts w:cs="Arial"/>
              </w:rPr>
              <w:tab/>
            </w:r>
            <w:r>
              <w:rPr>
                <w:rFonts w:cs="Arial"/>
              </w:rPr>
              <w:tab/>
            </w:r>
            <w:r>
              <w:rPr>
                <w:rFonts w:cs="Arial"/>
              </w:rPr>
              <w:tab/>
            </w:r>
            <w:r>
              <w:rPr>
                <w:rFonts w:cs="Arial"/>
              </w:rPr>
              <w:tab/>
            </w:r>
          </w:p>
        </w:tc>
      </w:tr>
    </w:tbl>
    <w:p>
      <w:pPr>
        <w:tabs>
          <w:tab w:val="left" w:pos="1134"/>
        </w:tabs>
        <w:rPr>
          <w:rFonts w:cs="Arial"/>
        </w:rPr>
      </w:pPr>
    </w:p>
    <w:p>
      <w:pPr>
        <w:tabs>
          <w:tab w:val="left" w:pos="1134"/>
        </w:tabs>
        <w:rPr>
          <w:rFonts w:cs="Arial"/>
          <w:b/>
        </w:rPr>
      </w:pPr>
      <w:r>
        <w:rPr>
          <w:rFonts w:cs="Arial"/>
          <w:b/>
        </w:rPr>
        <w:t xml:space="preserve">Modalités de la prise en charge durant le temps scolaire: </w:t>
      </w:r>
    </w:p>
    <w:p>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tc>
          <w:tcPr>
            <w:tcW w:w="9790" w:type="dxa"/>
          </w:tcPr>
          <w:p>
            <w:pPr>
              <w:tabs>
                <w:tab w:val="left" w:pos="1134"/>
              </w:tabs>
              <w:rPr>
                <w:rFonts w:cs="Arial"/>
              </w:rPr>
            </w:pPr>
            <w:r>
              <w:rPr>
                <w:rFonts w:cs="Arial"/>
              </w:rPr>
              <w:t xml:space="preserve">Dates, heures, lieux: </w:t>
            </w: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p>
            <w:pPr>
              <w:tabs>
                <w:tab w:val="left" w:pos="1134"/>
              </w:tabs>
              <w:rPr>
                <w:rFonts w:cs="Arial"/>
              </w:rPr>
            </w:pPr>
          </w:p>
        </w:tc>
      </w:tr>
    </w:tbl>
    <w:p>
      <w:pPr>
        <w:tabs>
          <w:tab w:val="left" w:pos="1134"/>
        </w:tabs>
        <w:rPr>
          <w:rFonts w:cs="Arial"/>
        </w:rPr>
      </w:pPr>
    </w:p>
    <w:p>
      <w:pPr>
        <w:tabs>
          <w:tab w:val="left" w:pos="1134"/>
        </w:tabs>
        <w:rPr>
          <w:rFonts w:cs="Arial"/>
          <w:b/>
        </w:rPr>
      </w:pPr>
      <w:r>
        <w:rPr>
          <w:rFonts w:cs="Arial"/>
          <w:b/>
        </w:rPr>
        <w:t>Le responsable de l’élève (nom, prénom et qualité):</w:t>
      </w:r>
    </w:p>
    <w:p>
      <w:pPr>
        <w:tabs>
          <w:tab w:val="left" w:pos="1134"/>
        </w:tabs>
        <w:rPr>
          <w:rFonts w:cs="Arial"/>
          <w:b/>
        </w:rPr>
      </w:pPr>
    </w:p>
    <w:tbl>
      <w:tblPr>
        <w:tblW w:w="9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90"/>
      </w:tblGrid>
      <w:tr>
        <w:tc>
          <w:tcPr>
            <w:tcW w:w="9790" w:type="dxa"/>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 xml:space="preserve">Je soussigné (nom, prénom et qualité) ……………………………………………………………… déclare assumer la responsabilité de ................................................................................................... pendant son absence de l’école pour les besoins du traitement comme indiqué ci-avant. </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rPr>
            </w:pPr>
            <w:r>
              <w:rPr>
                <w:rFonts w:cs="Arial"/>
              </w:rPr>
              <w:t>Je m’engage à prévenir préalablement l’école, par écrit, si une modification devait intervenir.</w:t>
            </w:r>
          </w:p>
          <w:p>
            <w:pPr>
              <w:tabs>
                <w:tab w:val="left" w:pos="1134"/>
              </w:tabs>
              <w:rPr>
                <w:rFonts w:cs="Arial"/>
              </w:rPr>
            </w:pPr>
          </w:p>
          <w:p>
            <w:pPr>
              <w:tabs>
                <w:tab w:val="left" w:pos="1134"/>
              </w:tabs>
              <w:ind w:right="-70"/>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t>Signature:</w:t>
            </w:r>
          </w:p>
          <w:p>
            <w:pPr>
              <w:tabs>
                <w:tab w:val="left" w:pos="1134"/>
              </w:tabs>
              <w:rPr>
                <w:rFonts w:cs="Arial"/>
              </w:rPr>
            </w:pPr>
          </w:p>
        </w:tc>
      </w:tr>
    </w:tbl>
    <w:p>
      <w:pPr>
        <w:rPr>
          <w:rFonts w:cs="Arial"/>
          <w:b/>
        </w:rPr>
      </w:pPr>
    </w:p>
    <w:p>
      <w:pPr>
        <w:rPr>
          <w:rFonts w:cs="Arial"/>
          <w:b/>
        </w:rPr>
      </w:pPr>
      <w:r>
        <w:rPr>
          <w:rFonts w:cs="Arial"/>
          <w:b/>
        </w:rPr>
        <w:t>Le chef d’établissement:</w:t>
      </w:r>
    </w:p>
    <w:p>
      <w:pPr>
        <w:rPr>
          <w:rFonts w:cs="Arial"/>
          <w:b/>
        </w:rPr>
      </w:pPr>
    </w:p>
    <w:p>
      <w:pPr>
        <w:pBdr>
          <w:top w:val="single" w:sz="4" w:space="1" w:color="auto"/>
          <w:left w:val="single" w:sz="4" w:space="4" w:color="auto"/>
          <w:bottom w:val="single" w:sz="4" w:space="1" w:color="auto"/>
          <w:right w:val="single" w:sz="4" w:space="31" w:color="auto"/>
        </w:pBdr>
        <w:rPr>
          <w:rFonts w:cs="Arial"/>
        </w:rPr>
      </w:pPr>
      <w:r>
        <w:rPr>
          <w:rFonts w:cs="Arial"/>
        </w:rPr>
        <w:t xml:space="preserve">Pour accord de la convention prise entre les différentes parties: </w:t>
      </w:r>
    </w:p>
    <w:p>
      <w:pPr>
        <w:pBdr>
          <w:top w:val="single" w:sz="4" w:space="1" w:color="auto"/>
          <w:left w:val="single" w:sz="4" w:space="4" w:color="auto"/>
          <w:bottom w:val="single" w:sz="4" w:space="1" w:color="auto"/>
          <w:right w:val="single" w:sz="4" w:space="31" w:color="auto"/>
        </w:pBdr>
        <w:rPr>
          <w:rFonts w:cs="Arial"/>
        </w:rPr>
      </w:pPr>
    </w:p>
    <w:p>
      <w:pPr>
        <w:pBdr>
          <w:top w:val="single" w:sz="4" w:space="1" w:color="auto"/>
          <w:left w:val="single" w:sz="4" w:space="4" w:color="auto"/>
          <w:bottom w:val="single" w:sz="4" w:space="1" w:color="auto"/>
          <w:right w:val="single" w:sz="4" w:space="31" w:color="auto"/>
        </w:pBdr>
        <w:rPr>
          <w:rFonts w:cs="Arial"/>
        </w:rPr>
      </w:pPr>
      <w:r>
        <w:rPr>
          <w:rFonts w:cs="Arial"/>
        </w:rPr>
        <w:t>Date:</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Signature: </w:t>
      </w:r>
    </w:p>
    <w:p>
      <w:pPr>
        <w:pBdr>
          <w:top w:val="single" w:sz="4" w:space="1" w:color="auto"/>
          <w:left w:val="single" w:sz="4" w:space="4" w:color="auto"/>
          <w:bottom w:val="single" w:sz="4" w:space="1" w:color="auto"/>
          <w:right w:val="single" w:sz="4" w:space="31" w:color="auto"/>
        </w:pBdr>
        <w:rPr>
          <w:rFonts w:cs="Arial"/>
        </w:rPr>
      </w:pPr>
    </w:p>
    <w:p/>
    <w:p>
      <w:pPr>
        <w:pStyle w:val="Titre5"/>
      </w:pPr>
    </w:p>
    <w:sectPr>
      <w:footerReference w:type="even" r:id="rId192"/>
      <w:type w:val="continuous"/>
      <w:pgSz w:w="11906" w:h="16838" w:code="9"/>
      <w:pgMar w:top="907" w:right="907" w:bottom="1021"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Gill Sans MT Condensed">
    <w:panose1 w:val="020B0506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Edwardian Script ITC">
    <w:panose1 w:val="030303020407070D08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entury Schoolbook">
    <w:panose1 w:val="02040604050505020304"/>
    <w:charset w:val="00"/>
    <w:family w:val="roman"/>
    <w:pitch w:val="variable"/>
    <w:sig w:usb0="00000287" w:usb1="00000000" w:usb2="00000000" w:usb3="00000000" w:csb0="0000009F" w:csb1="00000000"/>
  </w:font>
  <w:font w:name="Arial Bold">
    <w:altName w:val="Times New Roman"/>
    <w:charset w:val="00"/>
    <w:family w:val="roman"/>
    <w:pitch w:val="default"/>
  </w:font>
  <w:font w:name="ヒラギノ角ゴ Pro W3">
    <w:altName w:val="Times New Roman"/>
    <w:charset w:val="00"/>
    <w:family w:val="roman"/>
    <w:pitch w:val="default"/>
  </w:font>
  <w:font w:name="Arial Bold Italic">
    <w:altName w:val="Times New Roman"/>
    <w:charset w:val="00"/>
    <w:family w:val="roman"/>
    <w:pitch w:val="default"/>
  </w:font>
  <w:font w:name="Calibri">
    <w:panose1 w:val="020F0502020204030204"/>
    <w:charset w:val="00"/>
    <w:family w:val="swiss"/>
    <w:pitch w:val="variable"/>
    <w:sig w:usb0="E0002AFF" w:usb1="C000247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LucidaSansUnicode">
    <w:altName w:val="MS Gothic"/>
    <w:panose1 w:val="00000000000000000000"/>
    <w:charset w:val="80"/>
    <w:family w:val="auto"/>
    <w:notTrueType/>
    <w:pitch w:val="default"/>
    <w:sig w:usb0="00000000" w:usb1="08070000" w:usb2="00000010" w:usb3="00000000" w:csb0="00020000" w:csb1="00000000"/>
  </w:font>
  <w:font w:name="Arial Italic">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CenturySchoolbook">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135</w:t>
    </w:r>
    <w:r>
      <w:rPr>
        <w:rStyle w:val="Numrodepage"/>
      </w:rPr>
      <w:fldChar w:fldCharType="end"/>
    </w:r>
  </w:p>
  <w:p>
    <w:pPr>
      <w:pStyle w:val="Pieddepage"/>
      <w:tabs>
        <w:tab w:val="left" w:pos="4986"/>
      </w:tabs>
      <w:ind w:right="360"/>
    </w:pPr>
    <w:r>
      <w:tab/>
    </w:r>
    <w:r>
      <w:tab/>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center" w:y="1"/>
      <w:rPr>
        <w:rStyle w:val="Numrodepage"/>
      </w:rPr>
    </w:pPr>
  </w:p>
  <w:p>
    <w:pPr>
      <w:pStyle w:val="Pieddepage"/>
      <w:tabs>
        <w:tab w:val="left" w:pos="9000"/>
      </w:tabs>
      <w:ind w:right="72"/>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p/>
  <w:p/>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53883"/>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rPr>
          <w:t>226</w:t>
        </w:r>
        <w:r>
          <w:fldChar w:fldCharType="end"/>
        </w:r>
      </w:p>
    </w:sdtContent>
  </w:sdt>
  <w:p>
    <w:pPr>
      <w:pStyle w:val="Pieddepage"/>
      <w:jc w:val="right"/>
      <w:rPr>
        <w:lang w:val="fr-BE"/>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sz w:val="16"/>
          <w:szCs w:val="16"/>
        </w:rPr>
      </w:pPr>
      <w:r>
        <w:rPr>
          <w:rStyle w:val="Appelnotedebasdep"/>
          <w:sz w:val="16"/>
          <w:szCs w:val="16"/>
        </w:rPr>
        <w:footnoteRef/>
      </w:r>
      <w:r>
        <w:rPr>
          <w:sz w:val="16"/>
          <w:szCs w:val="16"/>
        </w:rPr>
        <w:t xml:space="preserve"> Sauf en cas de changement d’école.</w:t>
      </w:r>
    </w:p>
  </w:footnote>
  <w:footnote w:id="2">
    <w:p>
      <w:pPr>
        <w:pStyle w:val="Notedebasdepage"/>
        <w:ind w:left="180" w:hanging="180"/>
        <w:rPr>
          <w:color w:val="000000"/>
          <w:spacing w:val="-4"/>
          <w:sz w:val="16"/>
          <w:szCs w:val="16"/>
        </w:rPr>
      </w:pPr>
      <w:r>
        <w:rPr>
          <w:rStyle w:val="Appelnotedebasdep"/>
          <w:color w:val="000000"/>
          <w:sz w:val="16"/>
          <w:szCs w:val="16"/>
        </w:rPr>
        <w:footnoteRef/>
      </w:r>
      <w:r>
        <w:rPr>
          <w:color w:val="000000"/>
          <w:sz w:val="16"/>
          <w:szCs w:val="16"/>
        </w:rPr>
        <w:t xml:space="preserve"> </w:t>
      </w:r>
      <w:r>
        <w:rPr>
          <w:color w:val="000000"/>
          <w:sz w:val="16"/>
          <w:szCs w:val="16"/>
        </w:rPr>
        <w:tab/>
      </w:r>
      <w:r>
        <w:rPr>
          <w:color w:val="000000"/>
          <w:spacing w:val="-4"/>
          <w:sz w:val="16"/>
          <w:szCs w:val="16"/>
        </w:rPr>
        <w:t>Décret du 26/04/1999 portant confirmation des socles de compétences et modifiant la terminologie relative à la compétence exercée par le parlement en application des articles 16, 25, 26 et 43 du Décret "Missions".</w:t>
      </w:r>
    </w:p>
    <w:p>
      <w:pPr>
        <w:pStyle w:val="Notedebasdepage"/>
        <w:rPr>
          <w:color w:val="000000"/>
          <w:sz w:val="16"/>
          <w:szCs w:val="16"/>
        </w:rPr>
      </w:pPr>
    </w:p>
  </w:footnote>
  <w:footnote w:id="3">
    <w:p>
      <w:pPr>
        <w:pStyle w:val="Notedebasdepage"/>
        <w:rPr>
          <w:sz w:val="16"/>
          <w:szCs w:val="16"/>
          <w:lang w:val="fr-BE"/>
        </w:rPr>
      </w:pPr>
      <w:r>
        <w:rPr>
          <w:rStyle w:val="Appelnotedebasdep"/>
        </w:rPr>
        <w:footnoteRef/>
      </w:r>
      <w:r>
        <w:t xml:space="preserve"> </w:t>
      </w:r>
      <w:r>
        <w:rPr>
          <w:sz w:val="16"/>
          <w:szCs w:val="16"/>
        </w:rPr>
        <w:t>Arrêté du Gouvernement de la Communauté Française du 1/02/2017 fixant les modalités de la scolarisation à temps partiel visée au paragraphe 4bis, 4°, de l'article 1</w:t>
      </w:r>
      <w:r>
        <w:rPr>
          <w:sz w:val="16"/>
          <w:szCs w:val="16"/>
          <w:vertAlign w:val="superscript"/>
        </w:rPr>
        <w:t>er</w:t>
      </w:r>
      <w:r>
        <w:rPr>
          <w:sz w:val="16"/>
          <w:szCs w:val="16"/>
        </w:rPr>
        <w:t xml:space="preserve"> de la loi du 29 juin 1983 concernant l'obligation scolaire.</w:t>
      </w:r>
    </w:p>
  </w:footnote>
  <w:footnote w:id="4">
    <w:p>
      <w:pPr>
        <w:pStyle w:val="Notedebasdepage"/>
        <w:jc w:val="both"/>
        <w:rPr>
          <w:rFonts w:ascii="Georgia" w:hAnsi="Georgia" w:cs="Arial"/>
          <w:sz w:val="18"/>
          <w:szCs w:val="18"/>
        </w:rPr>
      </w:pPr>
      <w:r>
        <w:rPr>
          <w:rStyle w:val="Caractresdenotedebasdepage"/>
        </w:rPr>
        <w:footnoteRef/>
      </w:r>
      <w:r>
        <w:rPr>
          <w:rFonts w:ascii="Georgia" w:hAnsi="Georgia" w:cs="Arial"/>
          <w:sz w:val="18"/>
          <w:szCs w:val="18"/>
        </w:rPr>
        <w:t xml:space="preserve"> </w:t>
      </w:r>
      <w:r>
        <w:rPr>
          <w:rFonts w:cs="Arial"/>
          <w:sz w:val="16"/>
          <w:szCs w:val="16"/>
        </w:rPr>
        <w:t>Par dérogation accordée par le Ministre ayant en charge l’enseignement obligatoire dans ses attributions, durant les trois premiers mois de mise en œuvre du projet de scolarisation à temps partiel, l’élève est considéré comme répondant à l’obligation scolaire s’il fréquente l’école au minimum un demi-jour par semaine (Loi du 29/06/1983, article 1er, § 4bis, 4).</w:t>
      </w:r>
    </w:p>
  </w:footnote>
  <w:footnote w:id="5">
    <w:p>
      <w:pPr>
        <w:pStyle w:val="Notedebasdepage"/>
        <w:ind w:left="180" w:hanging="180"/>
        <w:jc w:val="both"/>
        <w:rPr>
          <w:rFonts w:cs="Arial"/>
          <w:sz w:val="16"/>
          <w:szCs w:val="16"/>
        </w:rPr>
      </w:pPr>
      <w:r>
        <w:rPr>
          <w:rStyle w:val="Appelnotedebasdep"/>
          <w:rFonts w:cs="Arial"/>
          <w:sz w:val="16"/>
          <w:szCs w:val="16"/>
        </w:rPr>
        <w:footnoteRef/>
      </w:r>
      <w:r>
        <w:rPr>
          <w:rFonts w:cs="Arial"/>
          <w:sz w:val="16"/>
          <w:szCs w:val="16"/>
          <w:vertAlign w:val="superscript"/>
        </w:rPr>
        <w:t xml:space="preserve"> </w:t>
      </w:r>
      <w:r>
        <w:rPr>
          <w:rFonts w:cs="Arial"/>
          <w:sz w:val="16"/>
          <w:szCs w:val="16"/>
        </w:rPr>
        <w:t xml:space="preserve">Décret du 18 décembre 1984 organisant l'enseignement à distance de </w:t>
      </w:r>
      <w:smartTag w:uri="urn:schemas-microsoft-com:office:smarttags" w:element="PersonName">
        <w:smartTagPr>
          <w:attr w:name="ProductID" w:val="la Communaut￩"/>
        </w:smartTagPr>
        <w:r>
          <w:rPr>
            <w:rFonts w:cs="Arial"/>
            <w:sz w:val="16"/>
            <w:szCs w:val="16"/>
          </w:rPr>
          <w:t>la Communauté</w:t>
        </w:r>
      </w:smartTag>
      <w:r>
        <w:rPr>
          <w:rFonts w:cs="Arial"/>
          <w:sz w:val="16"/>
          <w:szCs w:val="16"/>
        </w:rPr>
        <w:t xml:space="preserve"> française;</w:t>
      </w:r>
    </w:p>
  </w:footnote>
  <w:footnote w:id="6">
    <w:p>
      <w:pPr>
        <w:pStyle w:val="Notedebasdepage1"/>
        <w:rPr>
          <w:rFonts w:eastAsia="Times New Roman"/>
          <w:color w:val="auto"/>
          <w:lang w:val="fr-BE"/>
        </w:rPr>
      </w:pPr>
      <w:r>
        <w:rPr>
          <w:rStyle w:val="Appelnotedebasdep1"/>
          <w:sz w:val="16"/>
        </w:rPr>
        <w:footnoteRef/>
      </w:r>
      <w:r>
        <w:t xml:space="preserve"> Article 8 de l’Arrêté royal du 20/08/1957 portant coordination des lois sur l’enseignement primaire.</w:t>
      </w:r>
    </w:p>
  </w:footnote>
  <w:footnote w:id="7">
    <w:p>
      <w:pPr>
        <w:pStyle w:val="Notedebasdepage"/>
        <w:jc w:val="both"/>
      </w:pPr>
      <w:r>
        <w:rPr>
          <w:rStyle w:val="Appelnotedebasdep"/>
        </w:rPr>
        <w:footnoteRef/>
      </w:r>
      <w:r>
        <w:t xml:space="preserve"> </w:t>
      </w:r>
      <w:r>
        <w:rPr>
          <w:sz w:val="16"/>
          <w:szCs w:val="16"/>
        </w:rPr>
        <w:t>Article 76  du Décret du 24 juillet 1997 définissant les missions prioritaires de l’enseignement fondamental et de l’enseignement secondaire et organisant les structures propres à les atteindre tel que modifié par le décret du 12 juillet 2012.</w:t>
      </w:r>
    </w:p>
  </w:footnote>
  <w:footnote w:id="8">
    <w:p>
      <w:pPr>
        <w:pStyle w:val="Notedebasdepage"/>
        <w:ind w:left="180" w:hanging="180"/>
        <w:rPr>
          <w:rFonts w:cs="Arial"/>
          <w:sz w:val="16"/>
          <w:szCs w:val="16"/>
        </w:rPr>
      </w:pPr>
      <w:r>
        <w:rPr>
          <w:rFonts w:cs="Arial"/>
          <w:iCs/>
          <w:sz w:val="12"/>
          <w:szCs w:val="12"/>
        </w:rPr>
        <w:footnoteRef/>
      </w:r>
      <w:r>
        <w:rPr>
          <w:rFonts w:cs="Arial"/>
          <w:sz w:val="16"/>
          <w:szCs w:val="16"/>
        </w:rPr>
        <w:t xml:space="preserve"> Décret du 18 mai 2012  visant la mise en place d’un dispositif d’accueil et de scolarisation des élèves primo-arrivants dans l’enseignement organisé ou subventionné par </w:t>
      </w:r>
      <w:smartTag w:uri="urn:schemas-microsoft-com:office:smarttags" w:element="PersonName">
        <w:smartTagPr>
          <w:attr w:name="ProductID" w:val="la Communaut￩"/>
        </w:smartTagPr>
        <w:r>
          <w:rPr>
            <w:rFonts w:cs="Arial"/>
            <w:sz w:val="16"/>
            <w:szCs w:val="16"/>
          </w:rPr>
          <w:t>la Communauté</w:t>
        </w:r>
      </w:smartTag>
      <w:r>
        <w:rPr>
          <w:rFonts w:cs="Arial"/>
          <w:sz w:val="16"/>
          <w:szCs w:val="16"/>
        </w:rPr>
        <w:t xml:space="preserve"> française.</w:t>
      </w:r>
    </w:p>
  </w:footnote>
  <w:footnote w:id="9">
    <w:p>
      <w:pPr>
        <w:pStyle w:val="Notedebasdepage"/>
        <w:rPr>
          <w:rFonts w:cs="Arial"/>
          <w:sz w:val="16"/>
          <w:szCs w:val="16"/>
        </w:rPr>
      </w:pPr>
      <w:r>
        <w:rPr>
          <w:rStyle w:val="Appelnotedebasdep"/>
          <w:rFonts w:cs="Arial"/>
          <w:sz w:val="16"/>
          <w:szCs w:val="16"/>
        </w:rPr>
        <w:footnoteRef/>
      </w:r>
      <w:r>
        <w:rPr>
          <w:rFonts w:cs="Arial"/>
          <w:sz w:val="16"/>
          <w:szCs w:val="16"/>
        </w:rPr>
        <w:t xml:space="preserve"> Le terme « inscription » est ici lié à la fréquentation scolaire effective. Le jour de l’inscription est donc le jour de l’entrée effective de l’élève dans un établissement.</w:t>
      </w:r>
    </w:p>
  </w:footnote>
  <w:footnote w:id="10">
    <w:p>
      <w:pPr>
        <w:pStyle w:val="Notedebasdepage"/>
        <w:jc w:val="both"/>
        <w:rPr>
          <w:sz w:val="16"/>
          <w:szCs w:val="16"/>
          <w:lang w:val="fr-BE"/>
        </w:rPr>
      </w:pPr>
      <w:r>
        <w:rPr>
          <w:rStyle w:val="Appelnotedebasdep"/>
          <w:sz w:val="16"/>
          <w:szCs w:val="16"/>
        </w:rPr>
        <w:footnoteRef/>
      </w:r>
      <w:r>
        <w:rPr>
          <w:sz w:val="16"/>
          <w:szCs w:val="16"/>
        </w:rPr>
        <w:t xml:space="preserve"> Exceptionnellement, les élèves qui s’inscrivent en septembre à l’âge de 2 ans et 5 mois et qui remplissent toutes les autres conditions, peuvent être considérés comme primo-arrivants. </w:t>
      </w:r>
    </w:p>
  </w:footnote>
  <w:footnote w:id="11">
    <w:p>
      <w:pPr>
        <w:pStyle w:val="Notedebasdepage"/>
      </w:pPr>
      <w:r>
        <w:rPr>
          <w:rStyle w:val="Appelnotedebasdep"/>
          <w:rFonts w:cs="Arial"/>
          <w:sz w:val="16"/>
          <w:szCs w:val="16"/>
        </w:rPr>
        <w:footnoteRef/>
      </w:r>
      <w:r>
        <w:rPr>
          <w:rFonts w:cs="Arial"/>
          <w:sz w:val="16"/>
          <w:szCs w:val="16"/>
        </w:rPr>
        <w:t xml:space="preserve"> Etre ressortissant d’un pays signifie posséder la nationalité de ce pays.</w:t>
      </w:r>
    </w:p>
  </w:footnote>
  <w:footnote w:id="12">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Ceci est sans préjudice du statut du Kosovo aux termes du droit international.</w:t>
      </w:r>
    </w:p>
  </w:footnote>
  <w:footnote w:id="13">
    <w:p>
      <w:pPr>
        <w:pStyle w:val="Notedebasdepage"/>
      </w:pPr>
      <w:r>
        <w:rPr>
          <w:rStyle w:val="Appelnotedebasdep"/>
          <w:sz w:val="16"/>
          <w:szCs w:val="16"/>
        </w:rPr>
        <w:footnoteRef/>
      </w:r>
      <w:r>
        <w:rPr>
          <w:sz w:val="16"/>
          <w:szCs w:val="16"/>
        </w:rPr>
        <w:t xml:space="preserve"> </w:t>
      </w:r>
      <w:r>
        <w:rPr>
          <w:b/>
          <w:sz w:val="16"/>
          <w:szCs w:val="16"/>
        </w:rPr>
        <w:t>D</w:t>
      </w:r>
      <w:r>
        <w:rPr>
          <w:sz w:val="16"/>
          <w:szCs w:val="16"/>
        </w:rPr>
        <w:t>ispositif d’</w:t>
      </w:r>
      <w:r>
        <w:rPr>
          <w:b/>
          <w:sz w:val="16"/>
          <w:szCs w:val="16"/>
        </w:rPr>
        <w:t>A</w:t>
      </w:r>
      <w:r>
        <w:rPr>
          <w:sz w:val="16"/>
          <w:szCs w:val="16"/>
        </w:rPr>
        <w:t xml:space="preserve">ccueil et de </w:t>
      </w:r>
      <w:r>
        <w:rPr>
          <w:b/>
          <w:sz w:val="16"/>
          <w:szCs w:val="16"/>
        </w:rPr>
        <w:t>S</w:t>
      </w:r>
      <w:r>
        <w:rPr>
          <w:sz w:val="16"/>
          <w:szCs w:val="16"/>
        </w:rPr>
        <w:t xml:space="preserve">colarisation des élèves </w:t>
      </w:r>
      <w:r>
        <w:rPr>
          <w:b/>
          <w:sz w:val="16"/>
          <w:szCs w:val="16"/>
        </w:rPr>
        <w:t>P</w:t>
      </w:r>
      <w:r>
        <w:rPr>
          <w:sz w:val="16"/>
          <w:szCs w:val="16"/>
        </w:rPr>
        <w:t>rimo-</w:t>
      </w:r>
      <w:r>
        <w:rPr>
          <w:b/>
          <w:sz w:val="16"/>
          <w:szCs w:val="16"/>
        </w:rPr>
        <w:t>A</w:t>
      </w:r>
      <w:r>
        <w:rPr>
          <w:sz w:val="16"/>
          <w:szCs w:val="16"/>
        </w:rPr>
        <w:t>rrivants.</w:t>
      </w:r>
    </w:p>
  </w:footnote>
  <w:footnote w:id="14">
    <w:p>
      <w:pPr>
        <w:pStyle w:val="Notedebasdepage"/>
        <w:rPr>
          <w:sz w:val="16"/>
          <w:szCs w:val="16"/>
        </w:rPr>
      </w:pPr>
      <w:r>
        <w:rPr>
          <w:rStyle w:val="Appelnotedebasdep"/>
          <w:sz w:val="16"/>
          <w:szCs w:val="16"/>
        </w:rPr>
        <w:footnoteRef/>
      </w:r>
      <w:r>
        <w:rPr>
          <w:sz w:val="16"/>
          <w:szCs w:val="16"/>
        </w:rPr>
        <w:t xml:space="preserve"> </w:t>
      </w:r>
      <w:r>
        <w:rPr>
          <w:rFonts w:cs="Arial"/>
          <w:iCs/>
          <w:sz w:val="16"/>
          <w:szCs w:val="16"/>
        </w:rPr>
        <w:t xml:space="preserve">Arrêté du Gouvernement de </w:t>
      </w:r>
      <w:smartTag w:uri="urn:schemas-microsoft-com:office:smarttags" w:element="PersonName">
        <w:smartTagPr>
          <w:attr w:name="ProductID" w:val="la C.F."/>
        </w:smartTagPr>
        <w:r>
          <w:rPr>
            <w:rFonts w:cs="Arial"/>
            <w:iCs/>
            <w:sz w:val="16"/>
            <w:szCs w:val="16"/>
          </w:rPr>
          <w:t>la C.F.</w:t>
        </w:r>
      </w:smartTag>
      <w:r>
        <w:rPr>
          <w:rFonts w:cs="Arial"/>
          <w:iCs/>
          <w:sz w:val="16"/>
          <w:szCs w:val="16"/>
        </w:rPr>
        <w:t xml:space="preserve"> du 22/05/2014 portant application des articles 8, § 1</w:t>
      </w:r>
      <w:r>
        <w:rPr>
          <w:rFonts w:cs="Arial"/>
          <w:iCs/>
          <w:sz w:val="16"/>
          <w:szCs w:val="16"/>
          <w:vertAlign w:val="superscript"/>
        </w:rPr>
        <w:t>er</w:t>
      </w:r>
      <w:r>
        <w:rPr>
          <w:rFonts w:cs="Arial"/>
          <w:iCs/>
          <w:sz w:val="16"/>
          <w:szCs w:val="16"/>
        </w:rPr>
        <w:t>, 20, 23, 31, 32, 33, 37, 47 et 50 du Décret du 21 novembre 2013 organisant divers dispositifs scolaires favorisant le bien-être des jeunes à l’école, l’accrochage scolaire, la prévention de la violence à l’école et l’accompagnement des démarches d’orientation scolaire, art. 9, § 1</w:t>
      </w:r>
      <w:r>
        <w:rPr>
          <w:rFonts w:cs="Arial"/>
          <w:iCs/>
          <w:sz w:val="16"/>
          <w:szCs w:val="16"/>
          <w:vertAlign w:val="superscript"/>
        </w:rPr>
        <w:t>er</w:t>
      </w:r>
      <w:r>
        <w:rPr>
          <w:rFonts w:cs="Arial"/>
          <w:iCs/>
          <w:sz w:val="16"/>
          <w:szCs w:val="16"/>
        </w:rPr>
        <w:t xml:space="preserve">, 6° </w:t>
      </w:r>
    </w:p>
  </w:footnote>
  <w:footnote w:id="15">
    <w:p>
      <w:pPr>
        <w:pStyle w:val="Notedebasdepage"/>
        <w:jc w:val="both"/>
        <w:rPr>
          <w:sz w:val="16"/>
          <w:szCs w:val="16"/>
          <w:lang w:val="fr-BE"/>
        </w:rPr>
      </w:pPr>
      <w:r>
        <w:rPr>
          <w:rStyle w:val="Appelnotedebasdep"/>
          <w:sz w:val="16"/>
          <w:szCs w:val="16"/>
        </w:rPr>
        <w:footnoteRef/>
      </w:r>
      <w:r>
        <w:rPr>
          <w:sz w:val="16"/>
          <w:szCs w:val="16"/>
        </w:rPr>
        <w:t xml:space="preserve"> </w:t>
      </w:r>
      <w:r>
        <w:rPr>
          <w:rFonts w:eastAsiaTheme="minorHAnsi" w:cs="Arial"/>
          <w:sz w:val="16"/>
          <w:szCs w:val="16"/>
          <w:lang w:eastAsia="en-US"/>
        </w:rPr>
        <w:t>Décret du 8 décembre 2006 visant l’organisation et le subventionnement du sport en Communauté française (article 12, § 1</w:t>
      </w:r>
      <w:r>
        <w:rPr>
          <w:rFonts w:eastAsiaTheme="minorHAnsi" w:cs="Arial"/>
          <w:sz w:val="16"/>
          <w:szCs w:val="16"/>
          <w:vertAlign w:val="superscript"/>
          <w:lang w:eastAsia="en-US"/>
        </w:rPr>
        <w:t>er</w:t>
      </w:r>
      <w:r>
        <w:rPr>
          <w:rFonts w:eastAsiaTheme="minorHAnsi" w:cs="Arial"/>
          <w:sz w:val="16"/>
          <w:szCs w:val="16"/>
          <w:lang w:eastAsia="en-US"/>
        </w:rPr>
        <w:t>).</w:t>
      </w:r>
    </w:p>
  </w:footnote>
  <w:footnote w:id="16">
    <w:p>
      <w:pPr>
        <w:pStyle w:val="Notedebasdepage"/>
        <w:jc w:val="both"/>
        <w:rPr>
          <w:rFonts w:cs="Arial"/>
          <w:iCs/>
          <w:sz w:val="16"/>
        </w:rPr>
      </w:pPr>
      <w:r>
        <w:rPr>
          <w:rStyle w:val="Appelnotedebasdep"/>
          <w:rFonts w:cs="Arial"/>
          <w:sz w:val="16"/>
          <w:szCs w:val="16"/>
        </w:rPr>
        <w:footnoteRef/>
      </w:r>
      <w:r>
        <w:rPr>
          <w:rFonts w:cs="Arial"/>
          <w:sz w:val="16"/>
          <w:szCs w:val="16"/>
        </w:rPr>
        <w:t xml:space="preserve"> </w:t>
      </w:r>
      <w:r>
        <w:rPr>
          <w:rFonts w:cs="Arial"/>
          <w:iCs/>
          <w:sz w:val="16"/>
          <w:szCs w:val="16"/>
        </w:rPr>
        <w:t xml:space="preserve">Arrêté du Gouvernement de </w:t>
      </w:r>
      <w:smartTag w:uri="urn:schemas-microsoft-com:office:smarttags" w:element="PersonName">
        <w:smartTagPr>
          <w:attr w:name="ProductID" w:val="la Communaut￩"/>
        </w:smartTagPr>
        <w:r>
          <w:rPr>
            <w:rFonts w:cs="Arial"/>
            <w:iCs/>
            <w:sz w:val="16"/>
            <w:szCs w:val="16"/>
          </w:rPr>
          <w:t>la Communauté</w:t>
        </w:r>
      </w:smartTag>
      <w:r>
        <w:rPr>
          <w:rFonts w:cs="Arial"/>
          <w:iCs/>
          <w:sz w:val="16"/>
          <w:szCs w:val="16"/>
        </w:rPr>
        <w:t xml:space="preserve"> française du 18/05/1993 déterminant les conditions auxquelles l'obligation scolaire peut être</w:t>
      </w:r>
      <w:r>
        <w:rPr>
          <w:rFonts w:cs="Arial"/>
          <w:iCs/>
          <w:sz w:val="16"/>
        </w:rPr>
        <w:t xml:space="preserve"> remplie dans le groupe des institutions publiques de protection de la jeunesse, à régimes ouvert et fermé, de </w:t>
      </w:r>
      <w:smartTag w:uri="urn:schemas-microsoft-com:office:smarttags" w:element="PersonName">
        <w:smartTagPr>
          <w:attr w:name="ProductID" w:val="la Communaut￩"/>
        </w:smartTagPr>
        <w:r>
          <w:rPr>
            <w:rFonts w:cs="Arial"/>
            <w:iCs/>
            <w:sz w:val="16"/>
          </w:rPr>
          <w:t>la Communauté</w:t>
        </w:r>
      </w:smartTag>
      <w:r>
        <w:rPr>
          <w:rFonts w:cs="Arial"/>
          <w:iCs/>
          <w:sz w:val="16"/>
        </w:rPr>
        <w:t xml:space="preserve"> française;</w:t>
      </w:r>
    </w:p>
  </w:footnote>
  <w:footnote w:id="17">
    <w:p>
      <w:pPr>
        <w:pStyle w:val="Notedebasdepage"/>
        <w:rPr>
          <w:sz w:val="16"/>
          <w:szCs w:val="16"/>
          <w:lang w:val="fr-BE"/>
        </w:rPr>
      </w:pPr>
      <w:r>
        <w:rPr>
          <w:rStyle w:val="Appelnotedebasdep"/>
          <w:sz w:val="16"/>
          <w:szCs w:val="16"/>
        </w:rPr>
        <w:footnoteRef/>
      </w:r>
      <w:r>
        <w:rPr>
          <w:sz w:val="16"/>
          <w:szCs w:val="16"/>
        </w:rPr>
        <w:t xml:space="preserve"> </w:t>
      </w:r>
      <w:hyperlink r:id="rId1" w:history="1">
        <w:r>
          <w:rPr>
            <w:rStyle w:val="Lienhypertexte"/>
            <w:color w:val="auto"/>
            <w:sz w:val="16"/>
            <w:szCs w:val="16"/>
          </w:rPr>
          <w:t>https://www.ordomedic.be/fr/conseils-provinciaux/les-conseils-provinciaux/</w:t>
        </w:r>
      </w:hyperlink>
    </w:p>
  </w:footnote>
  <w:footnote w:id="18">
    <w:p>
      <w:pPr>
        <w:pStyle w:val="Notedebasdepage"/>
        <w:rPr>
          <w:rFonts w:cs="Arial"/>
          <w:iCs/>
          <w:sz w:val="16"/>
          <w:szCs w:val="16"/>
        </w:rPr>
      </w:pPr>
      <w:r>
        <w:rPr>
          <w:rStyle w:val="Appelnotedebasdep"/>
          <w:rFonts w:cs="Arial"/>
          <w:sz w:val="16"/>
          <w:szCs w:val="16"/>
        </w:rPr>
        <w:footnoteRef/>
      </w:r>
      <w:r>
        <w:rPr>
          <w:rFonts w:cs="Arial"/>
          <w:sz w:val="16"/>
          <w:szCs w:val="16"/>
        </w:rPr>
        <w:t xml:space="preserve"> </w:t>
      </w:r>
      <w:r>
        <w:rPr>
          <w:rFonts w:cs="Arial"/>
          <w:iCs/>
          <w:sz w:val="16"/>
          <w:szCs w:val="16"/>
        </w:rPr>
        <w:t xml:space="preserve">Arrêté du Gouvernement de </w:t>
      </w:r>
      <w:smartTag w:uri="urn:schemas-microsoft-com:office:smarttags" w:element="PersonName">
        <w:smartTagPr>
          <w:attr w:name="ProductID" w:val="la C.F."/>
        </w:smartTagPr>
        <w:r>
          <w:rPr>
            <w:rFonts w:cs="Arial"/>
            <w:iCs/>
            <w:sz w:val="16"/>
            <w:szCs w:val="16"/>
          </w:rPr>
          <w:t>la C.F.</w:t>
        </w:r>
      </w:smartTag>
      <w:r>
        <w:rPr>
          <w:rFonts w:cs="Arial"/>
          <w:iCs/>
          <w:sz w:val="16"/>
          <w:szCs w:val="16"/>
        </w:rPr>
        <w:t xml:space="preserve"> du 22/05/2014 portant application des articles 8, § 1</w:t>
      </w:r>
      <w:r>
        <w:rPr>
          <w:rFonts w:cs="Arial"/>
          <w:iCs/>
          <w:sz w:val="16"/>
          <w:szCs w:val="16"/>
          <w:vertAlign w:val="superscript"/>
        </w:rPr>
        <w:t>er</w:t>
      </w:r>
      <w:r>
        <w:rPr>
          <w:rFonts w:cs="Arial"/>
          <w:iCs/>
          <w:sz w:val="16"/>
          <w:szCs w:val="16"/>
        </w:rPr>
        <w:t>, 20, 23, 31, 32, 33, 37, 47 et 50 du Décret du 21 novembre 2013 organisant divers dispositifs scolaires favorisant le bien-être des jeunes à l’école, l’accrochage scolaire, la prévention de la violence à l’école et l’accompagnement des démarches d’orientation scolaire, art. 11</w:t>
      </w:r>
    </w:p>
  </w:footnote>
  <w:footnote w:id="19">
    <w:p>
      <w:pPr>
        <w:pStyle w:val="Notedebasdepage"/>
        <w:jc w:val="both"/>
        <w:rPr>
          <w:rFonts w:cs="Arial"/>
          <w:iCs/>
          <w:sz w:val="16"/>
          <w:szCs w:val="16"/>
        </w:rPr>
      </w:pPr>
      <w:r>
        <w:rPr>
          <w:rFonts w:cs="Arial"/>
          <w:sz w:val="16"/>
          <w:szCs w:val="16"/>
          <w:vertAlign w:val="superscript"/>
        </w:rPr>
        <w:footnoteRef/>
      </w:r>
      <w:r>
        <w:rPr>
          <w:rFonts w:cs="Arial"/>
          <w:iCs/>
          <w:sz w:val="16"/>
          <w:szCs w:val="16"/>
        </w:rPr>
        <w:t xml:space="preserve"> Décret du 21/11/2013 organisant divers dispositifs scolaires favorisant le bien-être des jeunes à l’école, l’accrochage scolaire, la prévention de la violence à l’école et l’accompagnement des démarches d’orientation scolaire, art. 23</w:t>
      </w:r>
    </w:p>
  </w:footnote>
  <w:footnote w:id="20">
    <w:p>
      <w:pPr>
        <w:pStyle w:val="Notedebasdepage"/>
        <w:rPr>
          <w:rFonts w:cs="Arial"/>
          <w:sz w:val="16"/>
          <w:szCs w:val="16"/>
        </w:rPr>
      </w:pPr>
      <w:r>
        <w:rPr>
          <w:rStyle w:val="Appelnotedebasdep"/>
          <w:rFonts w:cs="Arial"/>
          <w:sz w:val="16"/>
          <w:szCs w:val="16"/>
        </w:rPr>
        <w:footnoteRef/>
      </w:r>
      <w:r>
        <w:rPr>
          <w:rFonts w:cs="Arial"/>
          <w:sz w:val="16"/>
          <w:szCs w:val="16"/>
        </w:rPr>
        <w:t xml:space="preserve"> </w:t>
      </w:r>
      <w:r>
        <w:rPr>
          <w:rFonts w:cs="Arial"/>
          <w:iCs/>
          <w:sz w:val="16"/>
          <w:szCs w:val="16"/>
        </w:rPr>
        <w:t>Décret du 21 novembre 2013 organisant divers dispositifs scolaires favorisant le bien-être des jeunes à l’école, l’accrochage scolaire, la prévention de la violence à l’école et l’accompagnement des démarches d’orientation scolaire, article 6, §3</w:t>
      </w:r>
      <w:r>
        <w:rPr>
          <w:rStyle w:val="NotedebasdepageCar"/>
          <w:rFonts w:cs="Arial"/>
          <w:sz w:val="16"/>
          <w:szCs w:val="16"/>
        </w:rPr>
        <w:t>.</w:t>
      </w:r>
    </w:p>
  </w:footnote>
  <w:footnote w:id="21">
    <w:p>
      <w:pPr>
        <w:pStyle w:val="Notedebasdepage"/>
        <w:jc w:val="both"/>
        <w:rPr>
          <w:rFonts w:cs="Arial"/>
          <w:iCs/>
          <w:sz w:val="16"/>
          <w:szCs w:val="16"/>
        </w:rPr>
      </w:pPr>
      <w:r>
        <w:rPr>
          <w:rStyle w:val="Appelnotedebasdep"/>
          <w:rFonts w:cs="Arial"/>
          <w:sz w:val="16"/>
          <w:szCs w:val="16"/>
        </w:rPr>
        <w:footnoteRef/>
      </w:r>
      <w:r>
        <w:rPr>
          <w:rFonts w:cs="Arial"/>
          <w:sz w:val="16"/>
          <w:szCs w:val="16"/>
        </w:rPr>
        <w:t xml:space="preserve"> </w:t>
      </w:r>
      <w:r>
        <w:rPr>
          <w:rFonts w:cs="Arial"/>
          <w:iCs/>
          <w:sz w:val="16"/>
          <w:szCs w:val="16"/>
        </w:rPr>
        <w:t>Décret du 21 novembre 2013 portant des politiques conjointes de l’enseignement et de l’aide à la jeunesse en faveur du bien-être des jeunes a l’école, de l’accrochage scolaire, de la prévention des violences et de l’accompagnement des démarches d’orientation, articles 4 et 5.</w:t>
      </w:r>
    </w:p>
  </w:footnote>
  <w:footnote w:id="22">
    <w:p>
      <w:pPr>
        <w:pStyle w:val="Notedebasdepage"/>
        <w:rPr>
          <w:rStyle w:val="NotedebasdepageCar"/>
          <w:rFonts w:ascii="Georgia" w:hAnsi="Georgia" w:cs="Arial"/>
        </w:rPr>
      </w:pPr>
      <w:r>
        <w:rPr>
          <w:rStyle w:val="NotedebasdepageCar"/>
          <w:rFonts w:cs="Arial"/>
          <w:sz w:val="16"/>
          <w:szCs w:val="16"/>
          <w:vertAlign w:val="superscript"/>
        </w:rPr>
        <w:footnoteRef/>
      </w:r>
      <w:r>
        <w:rPr>
          <w:rStyle w:val="NotedebasdepageCar"/>
          <w:rFonts w:cs="Arial"/>
          <w:sz w:val="16"/>
          <w:szCs w:val="16"/>
        </w:rPr>
        <w:t xml:space="preserve"> </w:t>
      </w:r>
      <w:r>
        <w:rPr>
          <w:rFonts w:cs="Arial"/>
          <w:iCs/>
          <w:sz w:val="16"/>
          <w:szCs w:val="16"/>
        </w:rPr>
        <w:t>Pour les missions, la composition et le fonctionnement des plates-formes de concertation entre les acteurs de l’Enseignement et ceux de l’Aide à la jeunesse, instituées par zone : v. articles 6 à 10 du décret précité.</w:t>
      </w:r>
    </w:p>
  </w:footnote>
  <w:footnote w:id="23">
    <w:p>
      <w:pPr>
        <w:pStyle w:val="Notedebasdepage"/>
        <w:jc w:val="both"/>
        <w:rPr>
          <w:rFonts w:cs="Arial"/>
          <w:iCs/>
          <w:sz w:val="16"/>
          <w:szCs w:val="16"/>
        </w:rPr>
      </w:pPr>
      <w:r>
        <w:rPr>
          <w:rStyle w:val="Caractresdenotedebasdepage"/>
          <w:rFonts w:cs="Arial"/>
          <w:sz w:val="16"/>
          <w:szCs w:val="16"/>
        </w:rPr>
        <w:footnoteRef/>
      </w:r>
      <w:r>
        <w:rPr>
          <w:rFonts w:cs="Arial"/>
          <w:sz w:val="16"/>
          <w:szCs w:val="16"/>
        </w:rPr>
        <w:t xml:space="preserve"> </w:t>
      </w:r>
      <w:r>
        <w:rPr>
          <w:rFonts w:cs="Arial"/>
          <w:iCs/>
          <w:sz w:val="16"/>
          <w:szCs w:val="16"/>
        </w:rPr>
        <w:t>Voir l’</w:t>
      </w:r>
      <w:hyperlink w:anchor="Annexe_25A" w:history="1">
        <w:r>
          <w:rPr>
            <w:rStyle w:val="Lienhypertexte"/>
            <w:rFonts w:cs="Arial"/>
            <w:iCs/>
            <w:color w:val="auto"/>
            <w:sz w:val="16"/>
            <w:szCs w:val="16"/>
            <w:u w:val="none"/>
          </w:rPr>
          <w:t>annexe 2.5.A</w:t>
        </w:r>
      </w:hyperlink>
      <w:r>
        <w:rPr>
          <w:rFonts w:cs="Arial"/>
          <w:iCs/>
          <w:sz w:val="16"/>
          <w:szCs w:val="16"/>
        </w:rPr>
        <w:t xml:space="preserve">. pour les coordonnées des conseillers de l’Aide à </w:t>
      </w:r>
      <w:smartTag w:uri="urn:schemas-microsoft-com:office:smarttags" w:element="PersonName">
        <w:smartTagPr>
          <w:attr w:name="ProductID" w:val="la Jeunesse."/>
        </w:smartTagPr>
        <w:r>
          <w:rPr>
            <w:rFonts w:cs="Arial"/>
            <w:iCs/>
            <w:sz w:val="16"/>
            <w:szCs w:val="16"/>
          </w:rPr>
          <w:t>la Jeunesse.</w:t>
        </w:r>
      </w:smartTag>
    </w:p>
  </w:footnote>
  <w:footnote w:id="24">
    <w:p>
      <w:pPr>
        <w:pStyle w:val="Notedebasdepage"/>
        <w:jc w:val="both"/>
        <w:rPr>
          <w:rFonts w:cs="Arial"/>
          <w:sz w:val="16"/>
          <w:szCs w:val="16"/>
        </w:rPr>
      </w:pPr>
      <w:r>
        <w:rPr>
          <w:rStyle w:val="Caractresdenotedebasdepage"/>
          <w:rFonts w:cs="Arial"/>
          <w:sz w:val="16"/>
          <w:szCs w:val="16"/>
        </w:rPr>
        <w:footnoteRef/>
      </w:r>
      <w:r>
        <w:rPr>
          <w:rFonts w:cs="Arial"/>
          <w:sz w:val="16"/>
          <w:szCs w:val="16"/>
        </w:rPr>
        <w:t xml:space="preserve"> </w:t>
      </w:r>
      <w:r>
        <w:rPr>
          <w:rFonts w:cs="Arial"/>
          <w:iCs/>
          <w:sz w:val="16"/>
          <w:szCs w:val="16"/>
        </w:rPr>
        <w:t xml:space="preserve">Voir </w:t>
      </w:r>
      <w:smartTag w:uri="urn:schemas-microsoft-com:office:smarttags" w:element="PersonName">
        <w:smartTagPr>
          <w:attr w:name="ProductID" w:val="la Circulaire"/>
        </w:smartTagPr>
        <w:r>
          <w:rPr>
            <w:rFonts w:cs="Arial"/>
            <w:iCs/>
            <w:sz w:val="16"/>
            <w:szCs w:val="16"/>
          </w:rPr>
          <w:t>la</w:t>
        </w:r>
        <w:r>
          <w:rPr>
            <w:rFonts w:cs="Arial"/>
            <w:sz w:val="16"/>
            <w:szCs w:val="16"/>
          </w:rPr>
          <w:t xml:space="preserve"> </w:t>
        </w:r>
        <w:hyperlink r:id="rId2" w:history="1">
          <w:r>
            <w:rPr>
              <w:rStyle w:val="Lienhypertexte"/>
              <w:rFonts w:cs="Arial"/>
              <w:iCs/>
              <w:color w:val="auto"/>
              <w:sz w:val="16"/>
              <w:szCs w:val="16"/>
              <w:u w:val="none"/>
            </w:rPr>
            <w:t>Circulaire</w:t>
          </w:r>
        </w:hyperlink>
      </w:smartTag>
      <w:r>
        <w:rPr>
          <w:rStyle w:val="Lienhypertexte"/>
          <w:rFonts w:cs="Arial"/>
          <w:iCs/>
          <w:color w:val="auto"/>
          <w:sz w:val="16"/>
          <w:szCs w:val="16"/>
          <w:u w:val="none"/>
        </w:rPr>
        <w:t xml:space="preserve"> n°2214 du 29 février 2008 relative aux bonnes pratiques de collaboration et de communication entre les secteurs de l’enseignement au sens large et de l’aide à la jeunesse</w:t>
      </w:r>
      <w:r>
        <w:rPr>
          <w:rFonts w:cs="Arial"/>
          <w:sz w:val="16"/>
          <w:szCs w:val="16"/>
        </w:rPr>
        <w:t>.</w:t>
      </w:r>
    </w:p>
  </w:footnote>
  <w:footnote w:id="25">
    <w:p>
      <w:pPr>
        <w:pStyle w:val="Notedebasdepage"/>
        <w:jc w:val="both"/>
        <w:rPr>
          <w:sz w:val="16"/>
          <w:szCs w:val="16"/>
        </w:rPr>
      </w:pPr>
      <w:r>
        <w:rPr>
          <w:rStyle w:val="Appelnotedebasdep"/>
          <w:sz w:val="16"/>
          <w:szCs w:val="16"/>
        </w:rPr>
        <w:footnoteRef/>
      </w:r>
      <w:r>
        <w:rPr>
          <w:sz w:val="16"/>
          <w:szCs w:val="16"/>
        </w:rPr>
        <w:t xml:space="preserve"> </w:t>
      </w:r>
      <w:r>
        <w:rPr>
          <w:rFonts w:cs="Arial"/>
          <w:sz w:val="16"/>
          <w:szCs w:val="16"/>
        </w:rPr>
        <w:t>Décret organisant des politiques conjointes de l'enseignement obligatoire et de l'Aide à la jeunesse en faveur du bien-être des jeunes à l'école, de l'accrochage scolaire, de la prévention de la violence et de l'accompagnement des démarches d'orientation, articles 20 à 40.</w:t>
      </w:r>
    </w:p>
  </w:footnote>
  <w:footnote w:id="26">
    <w:p>
      <w:pPr>
        <w:pStyle w:val="Notedebasdepage"/>
        <w:jc w:val="both"/>
        <w:rPr>
          <w:rFonts w:cs="Arial"/>
          <w:sz w:val="16"/>
          <w:szCs w:val="16"/>
        </w:rPr>
      </w:pPr>
      <w:r>
        <w:rPr>
          <w:rStyle w:val="Appelnotedebasdep"/>
          <w:rFonts w:cs="Arial"/>
          <w:sz w:val="16"/>
          <w:szCs w:val="16"/>
        </w:rPr>
        <w:footnoteRef/>
      </w:r>
      <w:r>
        <w:rPr>
          <w:rFonts w:cs="Arial"/>
          <w:sz w:val="16"/>
          <w:szCs w:val="16"/>
        </w:rPr>
        <w:t xml:space="preserve"> Décret organisant divers dispositifs scolaires favorisant le bien-être des jeunes à l'école, l'accrochage scolaire, la prévention de la violence à l'école et l'accompagnement des démarches d'orientation scolaire, articles 31, 32 et 33. </w:t>
      </w:r>
    </w:p>
  </w:footnote>
  <w:footnote w:id="27">
    <w:p>
      <w:pPr>
        <w:pStyle w:val="Notedebasdepage"/>
        <w:rPr>
          <w:rStyle w:val="NotedebasdepageCar"/>
          <w:rFonts w:cs="Arial"/>
          <w:sz w:val="16"/>
          <w:szCs w:val="16"/>
        </w:rPr>
      </w:pPr>
      <w:r>
        <w:rPr>
          <w:rStyle w:val="NotedebasdepageCar"/>
          <w:rFonts w:cs="Arial"/>
          <w:sz w:val="16"/>
          <w:szCs w:val="16"/>
          <w:vertAlign w:val="superscript"/>
        </w:rPr>
        <w:footnoteRef/>
      </w:r>
      <w:r>
        <w:rPr>
          <w:rStyle w:val="NotedebasdepageCar"/>
          <w:rFonts w:cs="Arial"/>
          <w:sz w:val="16"/>
          <w:szCs w:val="16"/>
          <w:vertAlign w:val="superscript"/>
        </w:rPr>
        <w:t xml:space="preserve"> </w:t>
      </w:r>
      <w:r>
        <w:rPr>
          <w:rStyle w:val="NotedebasdepageCar"/>
          <w:rFonts w:cs="Arial"/>
          <w:sz w:val="16"/>
          <w:szCs w:val="16"/>
        </w:rPr>
        <w:t>Ibidem, article 36.</w:t>
      </w:r>
    </w:p>
  </w:footnote>
  <w:footnote w:id="28">
    <w:p>
      <w:pPr>
        <w:pStyle w:val="Notedebasdepage"/>
        <w:jc w:val="both"/>
        <w:rPr>
          <w:sz w:val="16"/>
          <w:szCs w:val="16"/>
        </w:rPr>
      </w:pPr>
      <w:r>
        <w:rPr>
          <w:rStyle w:val="Appelnotedebasdep"/>
          <w:sz w:val="16"/>
          <w:szCs w:val="16"/>
        </w:rPr>
        <w:footnoteRef/>
      </w:r>
      <w:r>
        <w:rPr>
          <w:sz w:val="16"/>
          <w:szCs w:val="16"/>
        </w:rPr>
        <w:t xml:space="preserve"> Voir </w:t>
      </w:r>
      <w:hyperlink r:id="rId3" w:history="1">
        <w:r>
          <w:rPr>
            <w:rStyle w:val="Lienhypertexte"/>
            <w:color w:val="auto"/>
            <w:sz w:val="16"/>
            <w:szCs w:val="16"/>
          </w:rPr>
          <w:t>circulaire 3974</w:t>
        </w:r>
      </w:hyperlink>
      <w:r>
        <w:rPr>
          <w:sz w:val="16"/>
          <w:szCs w:val="16"/>
        </w:rPr>
        <w:t xml:space="preserve"> du 25 avril 2012 « Règlement d’ordre intérieur (R.O.I.) – Guide pratique ». </w:t>
      </w:r>
    </w:p>
  </w:footnote>
  <w:footnote w:id="29">
    <w:p>
      <w:pPr>
        <w:pStyle w:val="Notedebasdepage"/>
        <w:jc w:val="both"/>
        <w:rPr>
          <w:rFonts w:cs="Arial"/>
          <w:iCs/>
          <w:sz w:val="16"/>
          <w:szCs w:val="16"/>
        </w:rPr>
      </w:pPr>
      <w:r>
        <w:rPr>
          <w:rStyle w:val="Caractresdenotedebasdepage"/>
          <w:rFonts w:cs="Arial"/>
          <w:sz w:val="16"/>
          <w:szCs w:val="16"/>
        </w:rPr>
        <w:footnoteRef/>
      </w:r>
      <w:r>
        <w:rPr>
          <w:rFonts w:cs="Arial"/>
          <w:sz w:val="16"/>
          <w:szCs w:val="16"/>
        </w:rPr>
        <w:t xml:space="preserve"> </w:t>
      </w:r>
      <w:hyperlink r:id="rId4" w:history="1">
        <w:r>
          <w:rPr>
            <w:rStyle w:val="Lienhypertexte"/>
            <w:color w:val="auto"/>
            <w:sz w:val="16"/>
            <w:szCs w:val="16"/>
          </w:rPr>
          <w:t>Arrêté du Gouvernement de la Communauté française du 18 janvier 2008 définissant les dispositions communes en matière de faits graves devant figurer dans le règlement d’ordre intérieur de chaque établissement d’enseignement subventionné ou organisé par la Communauté française</w:t>
        </w:r>
        <w:r>
          <w:rPr>
            <w:rStyle w:val="Lienhypertexte"/>
            <w:color w:val="auto"/>
            <w:sz w:val="16"/>
            <w:szCs w:val="16"/>
            <w:u w:val="none"/>
          </w:rPr>
          <w:t>. </w:t>
        </w:r>
      </w:hyperlink>
    </w:p>
  </w:footnote>
  <w:footnote w:id="30">
    <w:p>
      <w:pPr>
        <w:pStyle w:val="Notedebasdepage"/>
        <w:ind w:left="360" w:hanging="360"/>
        <w:rPr>
          <w:sz w:val="16"/>
          <w:szCs w:val="16"/>
          <w:lang w:val="fr-BE"/>
        </w:rPr>
      </w:pPr>
      <w:r>
        <w:rPr>
          <w:rStyle w:val="Appelnotedebasdep"/>
        </w:rPr>
        <w:footnoteRef/>
      </w:r>
      <w:r>
        <w:t xml:space="preserve"> </w:t>
      </w:r>
      <w:r>
        <w:rPr>
          <w:rFonts w:cs="Arial"/>
          <w:sz w:val="16"/>
          <w:szCs w:val="16"/>
        </w:rPr>
        <w:t xml:space="preserve">Recommandations du rapport final de </w:t>
      </w:r>
      <w:smartTag w:uri="urn:schemas-microsoft-com:office:smarttags" w:element="PersonName">
        <w:smartTagPr>
          <w:attr w:name="ProductID" w:val="la Commission"/>
        </w:smartTagPr>
        <w:r>
          <w:rPr>
            <w:rFonts w:cs="Arial"/>
            <w:sz w:val="16"/>
            <w:szCs w:val="16"/>
          </w:rPr>
          <w:t>la Commission</w:t>
        </w:r>
      </w:smartTag>
      <w:r>
        <w:rPr>
          <w:rFonts w:cs="Arial"/>
          <w:sz w:val="16"/>
          <w:szCs w:val="16"/>
        </w:rPr>
        <w:t xml:space="preserve"> pour le droit à la scolarisation des enfants et des adolescents.</w:t>
      </w:r>
    </w:p>
  </w:footnote>
  <w:footnote w:id="31">
    <w:p>
      <w:pPr>
        <w:pStyle w:val="Notedebasdepage"/>
        <w:jc w:val="both"/>
        <w:rPr>
          <w:lang w:val="fr-BE"/>
        </w:rPr>
      </w:pPr>
      <w:r>
        <w:rPr>
          <w:rStyle w:val="Appelnotedebasdep"/>
          <w:rFonts w:cs="Arial"/>
          <w:i/>
          <w:sz w:val="16"/>
          <w:szCs w:val="16"/>
        </w:rPr>
        <w:footnoteRef/>
      </w:r>
      <w:r>
        <w:rPr>
          <w:rStyle w:val="Appelnotedebasdep"/>
          <w:rFonts w:cs="Arial"/>
          <w:i/>
          <w:sz w:val="16"/>
          <w:szCs w:val="16"/>
        </w:rPr>
        <w:t xml:space="preserve"> </w:t>
      </w:r>
      <w:r>
        <w:rPr>
          <w:rFonts w:cs="Arial"/>
          <w:i/>
          <w:sz w:val="16"/>
          <w:szCs w:val="16"/>
          <w:lang w:val="fr-BE"/>
        </w:rPr>
        <w:t xml:space="preserve">Service général de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rFonts w:cs="Arial"/>
            <w:i/>
            <w:sz w:val="16"/>
            <w:szCs w:val="16"/>
            <w:lang w:val="fr-BE"/>
          </w:rPr>
          <w:t>la Fédération Wallonie-Bruxelles</w:t>
        </w:r>
      </w:smartTag>
      <w:r>
        <w:rPr>
          <w:rFonts w:cs="Arial"/>
          <w:i/>
          <w:sz w:val="16"/>
          <w:szCs w:val="16"/>
          <w:lang w:val="fr-BE"/>
        </w:rPr>
        <w:t>, Boulevard du Jardin Botanique, 20-22 à 1000 Bruxelles, conformément à l’article 82 du Décret du 24 juillet 1997 précité.</w:t>
      </w:r>
    </w:p>
  </w:footnote>
  <w:footnote w:id="32">
    <w:p>
      <w:pPr>
        <w:pStyle w:val="Notedebasdepage"/>
        <w:ind w:left="180" w:hanging="180"/>
        <w:jc w:val="both"/>
        <w:rPr>
          <w:rFonts w:cs="Arial"/>
          <w:iCs/>
          <w:sz w:val="16"/>
          <w:szCs w:val="16"/>
          <w:lang w:val="fr-BE"/>
        </w:rPr>
      </w:pPr>
      <w:r>
        <w:rPr>
          <w:rStyle w:val="Appelnotedebasdep"/>
          <w:rFonts w:cs="Arial"/>
          <w:sz w:val="16"/>
          <w:szCs w:val="16"/>
        </w:rPr>
        <w:footnoteRef/>
      </w:r>
      <w:r>
        <w:rPr>
          <w:rFonts w:cs="Arial"/>
          <w:iCs/>
          <w:sz w:val="16"/>
          <w:szCs w:val="16"/>
          <w:lang w:val="fr-BE"/>
        </w:rPr>
        <w:t xml:space="preserve"> </w:t>
      </w:r>
      <w:r>
        <w:rPr>
          <w:rFonts w:cs="Arial"/>
          <w:iCs/>
          <w:spacing w:val="-6"/>
          <w:sz w:val="16"/>
          <w:szCs w:val="16"/>
          <w:lang w:val="fr-BE"/>
        </w:rPr>
        <w:t xml:space="preserve">Courrier à transmettre à </w:t>
      </w:r>
      <w:smartTag w:uri="urn:schemas-microsoft-com:office:smarttags" w:element="PersonName">
        <w:smartTagPr>
          <w:attr w:name="ProductID" w:val="la DG"/>
        </w:smartTagPr>
        <w:r>
          <w:rPr>
            <w:rFonts w:cs="Arial"/>
            <w:iCs/>
            <w:spacing w:val="-6"/>
            <w:sz w:val="16"/>
            <w:szCs w:val="16"/>
            <w:lang w:val="fr-BE"/>
          </w:rPr>
          <w:t>la DG</w:t>
        </w:r>
      </w:smartTag>
      <w:r>
        <w:rPr>
          <w:rFonts w:cs="Arial"/>
          <w:iCs/>
          <w:spacing w:val="-6"/>
          <w:sz w:val="16"/>
          <w:szCs w:val="16"/>
          <w:lang w:val="fr-BE"/>
        </w:rPr>
        <w:t xml:space="preserve"> de l’enseignement obligatoire, Rue A. Lavallée 1 - 1080 Bruxelles.</w:t>
      </w:r>
    </w:p>
  </w:footnote>
  <w:footnote w:id="33">
    <w:p>
      <w:pPr>
        <w:pStyle w:val="Notedebasdepage"/>
        <w:jc w:val="both"/>
        <w:rPr>
          <w:rFonts w:cs="Arial"/>
          <w:sz w:val="16"/>
          <w:szCs w:val="16"/>
          <w:lang w:val="fr-BE"/>
        </w:rPr>
      </w:pPr>
      <w:r>
        <w:rPr>
          <w:rStyle w:val="Appelnotedebasdep"/>
          <w:sz w:val="16"/>
          <w:szCs w:val="16"/>
        </w:rPr>
        <w:footnoteRef/>
      </w:r>
      <w:r>
        <w:rPr>
          <w:sz w:val="16"/>
          <w:szCs w:val="16"/>
        </w:rPr>
        <w:t xml:space="preserve"> </w:t>
      </w:r>
      <w:r>
        <w:rPr>
          <w:rFonts w:cs="Arial"/>
          <w:sz w:val="16"/>
          <w:szCs w:val="16"/>
          <w:lang w:val="fr-BE"/>
        </w:rPr>
        <w:t>Décret du 08/03/2007 portant diverses mesures visant à réguler les inscriptions et les changements d’écoles dans l’enseignement obligatoire.</w:t>
      </w:r>
    </w:p>
  </w:footnote>
  <w:footnote w:id="34">
    <w:p>
      <w:pPr>
        <w:pStyle w:val="Notedebasdepage"/>
        <w:jc w:val="both"/>
        <w:rPr>
          <w:sz w:val="16"/>
          <w:szCs w:val="16"/>
          <w:lang w:val="fr-BE"/>
        </w:rPr>
      </w:pPr>
      <w:r>
        <w:rPr>
          <w:rStyle w:val="Appelnotedebasdep"/>
          <w:sz w:val="16"/>
          <w:szCs w:val="16"/>
        </w:rPr>
        <w:footnoteRef/>
      </w:r>
      <w:r>
        <w:rPr>
          <w:sz w:val="16"/>
          <w:szCs w:val="16"/>
        </w:rPr>
        <w:t xml:space="preserve"> </w:t>
      </w:r>
      <w:hyperlink r:id="rId5" w:history="1">
        <w:r>
          <w:rPr>
            <w:rStyle w:val="Lienhypertexte"/>
            <w:rFonts w:cs="Arial"/>
            <w:color w:val="auto"/>
            <w:sz w:val="16"/>
            <w:szCs w:val="16"/>
            <w:u w:val="none"/>
            <w:lang w:val="fr-BE"/>
          </w:rPr>
          <w:t>Arrêté du Gouvernement de la Communauté française du 18 janvier 2008 définissant les dispositions communes en matière de faits graves devant figurer dans le règlement d’ordre intérieur de chaque établissement d’enseignement subventionné ou organisé par la Communauté française</w:t>
        </w:r>
      </w:hyperlink>
      <w:r>
        <w:rPr>
          <w:rFonts w:cs="Arial"/>
          <w:sz w:val="16"/>
          <w:szCs w:val="16"/>
          <w:lang w:val="fr-BE"/>
        </w:rPr>
        <w:t xml:space="preserve"> ; </w:t>
      </w:r>
      <w:hyperlink r:id="rId6" w:history="1">
        <w:r>
          <w:rPr>
            <w:rStyle w:val="Lienhypertexte"/>
            <w:rFonts w:cs="Arial"/>
            <w:color w:val="auto"/>
            <w:sz w:val="16"/>
            <w:szCs w:val="16"/>
            <w:u w:val="none"/>
            <w:lang w:val="fr-BE"/>
          </w:rPr>
          <w:t>Circulaire n°2327 du 02 juin 2008 relative aux dispositions communes en matière de faits graves devant figurer dans le règlement d’ordre intérieur de chaque établissement subventionné ou organisé par la Fédération Wallonie-Bruxelles</w:t>
        </w:r>
      </w:hyperlink>
      <w:r>
        <w:rPr>
          <w:rFonts w:cs="Arial"/>
          <w:sz w:val="16"/>
          <w:szCs w:val="16"/>
          <w:lang w:val="fr-BE"/>
        </w:rPr>
        <w:t>.</w:t>
      </w:r>
    </w:p>
  </w:footnote>
  <w:footnote w:id="35">
    <w:p>
      <w:pPr>
        <w:pStyle w:val="Notedebasdepage"/>
        <w:jc w:val="both"/>
      </w:pPr>
      <w:r>
        <w:rPr>
          <w:rStyle w:val="Appelnotedebasdep"/>
          <w:sz w:val="16"/>
          <w:szCs w:val="16"/>
        </w:rPr>
        <w:footnoteRef/>
      </w:r>
      <w:r>
        <w:rPr>
          <w:sz w:val="16"/>
          <w:szCs w:val="16"/>
        </w:rPr>
        <w:t xml:space="preserve"> </w:t>
      </w:r>
      <w:r>
        <w:rPr>
          <w:rFonts w:cs="Arial"/>
          <w:sz w:val="16"/>
          <w:szCs w:val="16"/>
          <w:lang w:val="fr-BE"/>
        </w:rPr>
        <w:t>Ce chapitre remplace la circulaire du 15 octobre 2002, portant le n° 123 pour l’enseignement fondamental.</w:t>
      </w:r>
    </w:p>
  </w:footnote>
  <w:footnote w:id="36">
    <w:p>
      <w:pPr>
        <w:pStyle w:val="Corpsdetexte2"/>
        <w:rPr>
          <w:sz w:val="16"/>
          <w:szCs w:val="16"/>
          <w:lang w:val="fr-BE"/>
        </w:rPr>
      </w:pPr>
      <w:r>
        <w:rPr>
          <w:rStyle w:val="Appelnotedebasdep"/>
          <w:sz w:val="16"/>
          <w:szCs w:val="16"/>
        </w:rPr>
        <w:footnoteRef/>
      </w:r>
      <w:r>
        <w:rPr>
          <w:sz w:val="16"/>
          <w:szCs w:val="16"/>
          <w:lang w:val="fr-BE"/>
        </w:rPr>
        <w:t xml:space="preserve"> Voir le </w:t>
      </w:r>
      <w:hyperlink r:id="rId7" w:history="1">
        <w:r>
          <w:rPr>
            <w:rStyle w:val="Lienhypertexte"/>
            <w:color w:val="auto"/>
            <w:sz w:val="16"/>
            <w:szCs w:val="16"/>
            <w:lang w:val="fr-BE"/>
          </w:rPr>
          <w:t>Décret du 11 avril 2014</w:t>
        </w:r>
      </w:hyperlink>
      <w:r>
        <w:rPr>
          <w:sz w:val="16"/>
          <w:szCs w:val="16"/>
          <w:lang w:val="fr-BE"/>
        </w:rPr>
        <w:t xml:space="preserve"> portant diverses dispositions en matière de statut des membres du personnel de l’enseignement. </w:t>
      </w:r>
    </w:p>
  </w:footnote>
  <w:footnote w:id="37">
    <w:p>
      <w:pPr>
        <w:pStyle w:val="Notedebasdepage"/>
        <w:rPr>
          <w:sz w:val="16"/>
          <w:szCs w:val="16"/>
        </w:rPr>
      </w:pPr>
      <w:r>
        <w:rPr>
          <w:rStyle w:val="Appelnotedebasdep"/>
          <w:sz w:val="16"/>
          <w:szCs w:val="16"/>
        </w:rPr>
        <w:footnoteRef/>
      </w:r>
      <w:r>
        <w:rPr>
          <w:sz w:val="16"/>
          <w:szCs w:val="16"/>
        </w:rPr>
        <w:t xml:space="preserve"> Voir </w:t>
      </w:r>
      <w:hyperlink r:id="rId8" w:history="1">
        <w:r>
          <w:rPr>
            <w:rStyle w:val="Lienhypertexte"/>
            <w:sz w:val="16"/>
            <w:szCs w:val="16"/>
          </w:rPr>
          <w:t>Circulaire n° 4961 du 26/08/2014</w:t>
        </w:r>
      </w:hyperlink>
      <w:r>
        <w:rPr>
          <w:sz w:val="16"/>
          <w:szCs w:val="16"/>
        </w:rPr>
        <w:t xml:space="preserve">. </w:t>
      </w:r>
    </w:p>
  </w:footnote>
  <w:footnote w:id="38">
    <w:p>
      <w:pPr>
        <w:pStyle w:val="Notedebasdepage"/>
        <w:ind w:left="180" w:hanging="180"/>
        <w:jc w:val="both"/>
        <w:rPr>
          <w:rFonts w:cs="Arial"/>
          <w:sz w:val="16"/>
          <w:szCs w:val="16"/>
          <w:lang w:val="fr-BE"/>
        </w:rPr>
      </w:pPr>
      <w:r>
        <w:rPr>
          <w:rStyle w:val="Appelnotedebasdep"/>
          <w:rFonts w:cs="Arial"/>
          <w:i/>
          <w:sz w:val="16"/>
          <w:szCs w:val="16"/>
        </w:rPr>
        <w:footnoteRef/>
      </w:r>
      <w:r>
        <w:rPr>
          <w:rFonts w:cs="Arial"/>
          <w:i/>
          <w:sz w:val="16"/>
          <w:szCs w:val="16"/>
        </w:rPr>
        <w:t xml:space="preserve"> </w:t>
      </w:r>
      <w:r>
        <w:rPr>
          <w:rFonts w:cs="Arial"/>
          <w:sz w:val="16"/>
          <w:szCs w:val="16"/>
          <w:lang w:val="fr-BE"/>
        </w:rPr>
        <w:t xml:space="preserve">Circulaire ministérielle PLP 41 en vue du renforcement et/ou de l’ajustement de la politique de sécurité locale ainsi que de l’approche spécifique en matière de criminalité juvénile avec, en particulier, un point de contact pour les écoles. Cette circulaire est reproduite et commentée dans la circulaire n° 1721 du cabinet de Madame </w:t>
      </w:r>
      <w:smartTag w:uri="urn:schemas-microsoft-com:office:smarttags" w:element="PersonName">
        <w:smartTagPr>
          <w:attr w:name="ProductID" w:val="la Ministre Arena"/>
        </w:smartTagPr>
        <w:r>
          <w:rPr>
            <w:rFonts w:cs="Arial"/>
            <w:sz w:val="16"/>
            <w:szCs w:val="16"/>
            <w:lang w:val="fr-BE"/>
          </w:rPr>
          <w:t>la Ministre Arena</w:t>
        </w:r>
      </w:smartTag>
      <w:r>
        <w:rPr>
          <w:rFonts w:cs="Arial"/>
          <w:sz w:val="16"/>
          <w:szCs w:val="16"/>
          <w:lang w:val="fr-BE"/>
        </w:rPr>
        <w:t xml:space="preserve"> du 4 janvier 2007.</w:t>
      </w:r>
    </w:p>
  </w:footnote>
  <w:footnote w:id="39">
    <w:p>
      <w:pPr>
        <w:pStyle w:val="Notedebasdepage"/>
        <w:rPr>
          <w:iCs/>
          <w:sz w:val="16"/>
          <w:lang w:val="fr-BE"/>
        </w:rPr>
      </w:pPr>
      <w:r>
        <w:rPr>
          <w:rStyle w:val="Appelnotedebasdep"/>
          <w:iCs/>
          <w:sz w:val="16"/>
        </w:rPr>
        <w:footnoteRef/>
      </w:r>
      <w:r>
        <w:rPr>
          <w:iCs/>
          <w:sz w:val="16"/>
        </w:rPr>
        <w:t xml:space="preserve"> Vous trouverez un modèle de base de protocole de collaboration avec les services de police en annexe 2.7.;</w:t>
      </w:r>
    </w:p>
  </w:footnote>
  <w:footnote w:id="40">
    <w:p>
      <w:pPr>
        <w:pStyle w:val="Notedebasdepage"/>
        <w:ind w:left="180" w:hanging="180"/>
        <w:jc w:val="both"/>
        <w:rPr>
          <w:rFonts w:cs="Arial"/>
          <w:i/>
          <w:sz w:val="16"/>
          <w:szCs w:val="16"/>
          <w:lang w:val="fr-BE"/>
        </w:rPr>
      </w:pPr>
      <w:r>
        <w:rPr>
          <w:rStyle w:val="Appelnotedebasdep"/>
          <w:rFonts w:cs="Arial"/>
          <w:sz w:val="16"/>
          <w:szCs w:val="16"/>
        </w:rPr>
        <w:footnoteRef/>
      </w:r>
      <w:r>
        <w:rPr>
          <w:rFonts w:cs="Arial"/>
          <w:sz w:val="16"/>
          <w:szCs w:val="16"/>
        </w:rPr>
        <w:t xml:space="preserve"> </w:t>
      </w:r>
      <w:r>
        <w:rPr>
          <w:rFonts w:cs="Arial"/>
          <w:sz w:val="16"/>
          <w:szCs w:val="16"/>
          <w:lang w:val="fr-BE"/>
        </w:rPr>
        <w:t>A l’attention de Madame Lise-Anne Hanse, Directrice générale, Direction générale de l’enseignement obligatoire, rue A. Lavallée, 1 à 1080 Bruxelles.</w:t>
      </w:r>
    </w:p>
  </w:footnote>
  <w:footnote w:id="41">
    <w:p>
      <w:pPr>
        <w:pStyle w:val="Notedebasdepage"/>
        <w:rPr>
          <w:sz w:val="16"/>
          <w:szCs w:val="16"/>
        </w:rPr>
      </w:pPr>
      <w:r>
        <w:rPr>
          <w:rStyle w:val="Appelnotedebasdep"/>
          <w:sz w:val="16"/>
          <w:szCs w:val="16"/>
        </w:rPr>
        <w:footnoteRef/>
      </w:r>
      <w:r>
        <w:rPr>
          <w:sz w:val="16"/>
          <w:szCs w:val="16"/>
        </w:rPr>
        <w:t xml:space="preserve"> Seul un CPMS ou un centre agréé peut attester qu’un élève à des besoins spécifiques. </w:t>
      </w:r>
    </w:p>
  </w:footnote>
  <w:footnote w:id="42">
    <w:p>
      <w:pPr>
        <w:pStyle w:val="Notedebasdepage"/>
        <w:ind w:left="180" w:hanging="180"/>
        <w:jc w:val="both"/>
        <w:rPr>
          <w:i/>
          <w:spacing w:val="-4"/>
          <w:sz w:val="19"/>
        </w:rPr>
      </w:pPr>
      <w:r>
        <w:rPr>
          <w:rStyle w:val="Appelnotedebasdep"/>
          <w:i/>
          <w:spacing w:val="-4"/>
          <w:sz w:val="19"/>
        </w:rPr>
        <w:footnoteRef/>
      </w:r>
      <w:r>
        <w:rPr>
          <w:i/>
          <w:spacing w:val="-4"/>
          <w:sz w:val="16"/>
        </w:rPr>
        <w:t>telle que décrite dans l’article 2.1 de l’arrêté royal du 01/12/1975 concernant le règlement de police de la circulation</w:t>
      </w:r>
    </w:p>
  </w:footnote>
  <w:footnote w:id="43">
    <w:p>
      <w:pPr>
        <w:pStyle w:val="Notedebasdepage"/>
        <w:rPr>
          <w:i/>
          <w:spacing w:val="-4"/>
          <w:sz w:val="16"/>
          <w:szCs w:val="16"/>
        </w:rPr>
      </w:pPr>
      <w:r>
        <w:rPr>
          <w:rStyle w:val="Appelnotedebasdep"/>
          <w:i/>
          <w:sz w:val="16"/>
          <w:szCs w:val="16"/>
        </w:rPr>
        <w:footnoteRef/>
      </w:r>
      <w:r>
        <w:rPr>
          <w:i/>
          <w:sz w:val="16"/>
          <w:szCs w:val="16"/>
        </w:rPr>
        <w:t xml:space="preserve"> </w:t>
      </w:r>
      <w:r>
        <w:rPr>
          <w:i/>
          <w:sz w:val="16"/>
          <w:szCs w:val="16"/>
          <w:lang w:val="fr-BE"/>
        </w:rPr>
        <w:t xml:space="preserve">Dans l’enseignement subventionné: il s’agit d’un bâtiment </w:t>
      </w:r>
      <w:r>
        <w:rPr>
          <w:i/>
          <w:spacing w:val="-4"/>
          <w:sz w:val="16"/>
          <w:szCs w:val="16"/>
        </w:rPr>
        <w:t>devant répondre aux conditions de salubrité et d’hygiène des locaux prévus par l’art. 24 §2, 6° de la loi du 29/5/1959</w:t>
      </w:r>
    </w:p>
    <w:p>
      <w:pPr>
        <w:pStyle w:val="Notedebasdepage"/>
        <w:rPr>
          <w:i/>
          <w:sz w:val="16"/>
          <w:szCs w:val="16"/>
          <w:lang w:val="fr-BE"/>
        </w:rPr>
      </w:pPr>
      <w:r>
        <w:rPr>
          <w:i/>
          <w:spacing w:val="-4"/>
          <w:sz w:val="16"/>
          <w:szCs w:val="16"/>
        </w:rPr>
        <w:t xml:space="preserve">Dans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i/>
            <w:spacing w:val="-4"/>
            <w:sz w:val="16"/>
            <w:szCs w:val="16"/>
          </w:rPr>
          <w:t>la Fédération Wallonie-Bruxelles</w:t>
        </w:r>
      </w:smartTag>
      <w:r>
        <w:rPr>
          <w:i/>
          <w:spacing w:val="-4"/>
          <w:sz w:val="16"/>
          <w:szCs w:val="16"/>
        </w:rPr>
        <w:t>, il s’agit d’un bâtiment devant répondre en tous points aux prescrits de la circulaire du S.I.P.P.T n° 3162 du 07/06/2010</w:t>
      </w:r>
    </w:p>
  </w:footnote>
  <w:footnote w:id="44">
    <w:p>
      <w:pPr>
        <w:pStyle w:val="Notedebasdepage"/>
        <w:ind w:left="180" w:hanging="180"/>
        <w:jc w:val="both"/>
        <w:rPr>
          <w:i/>
          <w:sz w:val="16"/>
          <w:szCs w:val="16"/>
        </w:rPr>
      </w:pPr>
      <w:r>
        <w:rPr>
          <w:rStyle w:val="Appelnotedebasdep"/>
          <w:i/>
          <w:sz w:val="16"/>
          <w:szCs w:val="16"/>
        </w:rPr>
        <w:footnoteRef/>
      </w:r>
      <w:r>
        <w:rPr>
          <w:i/>
          <w:sz w:val="16"/>
          <w:szCs w:val="16"/>
        </w:rPr>
        <w:t xml:space="preserve"> Pour les procédures d’exécution en cas de restructuration, les </w:t>
      </w:r>
      <w:r>
        <w:rPr>
          <w:i/>
          <w:sz w:val="16"/>
          <w:szCs w:val="16"/>
          <w:u w:val="single"/>
        </w:rPr>
        <w:t>écoles</w:t>
      </w:r>
      <w:r>
        <w:rPr>
          <w:i/>
          <w:sz w:val="16"/>
          <w:szCs w:val="16"/>
        </w:rPr>
        <w:t xml:space="preserve"> maternelles, primaires ou fondamentales </w:t>
      </w:r>
      <w:r>
        <w:rPr>
          <w:i/>
          <w:sz w:val="16"/>
          <w:szCs w:val="16"/>
          <w:u w:val="single"/>
        </w:rPr>
        <w:t xml:space="preserve">organisées par </w:t>
      </w:r>
      <w:smartTag w:uri="urn:schemas-microsoft-com:office:smarttags" w:element="PersonName">
        <w:smartTagPr>
          <w:attr w:name="ProductID" w:val="ity=Impersonation Dynamic False]동↱踀Security=Impersonation Dynamic Falseƿ䀀돢↱污谀爸ڎ礪r艎攁窥攁킴攞蠐ڎ२__"/>
        </w:smartTagPr>
        <w:r>
          <w:rPr>
            <w:i/>
            <w:sz w:val="16"/>
            <w:szCs w:val="16"/>
            <w:u w:val="single"/>
          </w:rPr>
          <w:t>la Fédération Wallonie-Bruxelles</w:t>
        </w:r>
      </w:smartTag>
      <w:r>
        <w:rPr>
          <w:i/>
          <w:sz w:val="16"/>
          <w:szCs w:val="16"/>
        </w:rPr>
        <w:t xml:space="preserve"> doivent préalablement en référer au Service général du réseau organisé par </w:t>
      </w:r>
      <w:smartTag w:uri="urn:schemas-microsoft-com:office:smarttags" w:element="PersonName">
        <w:smartTagPr>
          <w:attr w:name="ProductID" w:val="ity=Impersonation Dynamic False]동↱踀Security=Impersonation Dynamic Falseƿ䀀돢↱污谀爸ڎ礪r艎攁窥攁킴攞蠐ڎ२__"/>
        </w:smartTagPr>
        <w:r>
          <w:rPr>
            <w:i/>
            <w:sz w:val="16"/>
            <w:szCs w:val="16"/>
          </w:rPr>
          <w:t>la Fédération Wallonie-Bruxelles</w:t>
        </w:r>
      </w:smartTag>
      <w:r>
        <w:rPr>
          <w:i/>
          <w:sz w:val="16"/>
          <w:szCs w:val="16"/>
        </w:rPr>
        <w:t>.</w:t>
      </w:r>
    </w:p>
  </w:footnote>
  <w:footnote w:id="45">
    <w:p>
      <w:pPr>
        <w:pStyle w:val="Notedebasdepage"/>
        <w:ind w:left="180" w:hanging="180"/>
        <w:rPr>
          <w:i/>
          <w:sz w:val="16"/>
          <w:szCs w:val="16"/>
        </w:rPr>
      </w:pPr>
      <w:r>
        <w:rPr>
          <w:rStyle w:val="Appelnotedebasdep"/>
          <w:i/>
          <w:sz w:val="16"/>
          <w:szCs w:val="16"/>
        </w:rPr>
        <w:footnoteRef/>
      </w:r>
      <w:r>
        <w:rPr>
          <w:i/>
          <w:sz w:val="16"/>
          <w:szCs w:val="16"/>
        </w:rPr>
        <w:t xml:space="preserve"> Voir </w:t>
      </w:r>
      <w:smartTag w:uri="urn:schemas-microsoft-com:office:smarttags" w:element="PersonName">
        <w:smartTagPr>
          <w:attr w:name="ProductID" w:val="la Loi"/>
        </w:smartTagPr>
        <w:r>
          <w:rPr>
            <w:i/>
            <w:sz w:val="16"/>
            <w:szCs w:val="16"/>
          </w:rPr>
          <w:t>la Loi</w:t>
        </w:r>
      </w:smartTag>
      <w:r>
        <w:rPr>
          <w:i/>
          <w:sz w:val="16"/>
          <w:szCs w:val="16"/>
        </w:rPr>
        <w:t xml:space="preserve"> du 29/05/1959 modifiant certaines dispositions de la législation de l’enseignement (articles 24 et 37)</w:t>
      </w:r>
    </w:p>
  </w:footnote>
  <w:footnote w:id="46">
    <w:p>
      <w:pPr>
        <w:pStyle w:val="Notedebasdepage"/>
        <w:rPr>
          <w:sz w:val="16"/>
          <w:szCs w:val="16"/>
          <w:lang w:val="fr-BE"/>
        </w:rPr>
      </w:pPr>
      <w:r>
        <w:rPr>
          <w:rStyle w:val="Appelnotedebasdep"/>
          <w:sz w:val="16"/>
          <w:szCs w:val="16"/>
        </w:rPr>
        <w:footnoteRef/>
      </w:r>
      <w:r>
        <w:rPr>
          <w:sz w:val="16"/>
          <w:szCs w:val="16"/>
        </w:rPr>
        <w:t xml:space="preserve"> Ces périodes peuvent faire l’objet d’un engagement à titre définitif.</w:t>
      </w:r>
    </w:p>
  </w:footnote>
  <w:footnote w:id="47">
    <w:p>
      <w:pPr>
        <w:pStyle w:val="Notedebasdepage"/>
        <w:jc w:val="both"/>
      </w:pPr>
      <w:r>
        <w:rPr>
          <w:rStyle w:val="Appelnotedebasdep"/>
        </w:rPr>
        <w:footnoteRef/>
      </w:r>
      <w:r>
        <w:t xml:space="preserve"> </w:t>
      </w:r>
      <w:r>
        <w:rPr>
          <w:rFonts w:cs="Arial"/>
          <w:sz w:val="16"/>
          <w:szCs w:val="16"/>
        </w:rPr>
        <w:t>Le terme « inscription » est ici lié à la fréquentation scolaire effective. Le jour de l’inscription est donc le jour de l’entrée effective de l’élève dans un établissement</w:t>
      </w:r>
      <w:r>
        <w:t>.</w:t>
      </w:r>
    </w:p>
  </w:footnote>
  <w:footnote w:id="48">
    <w:p>
      <w:pPr>
        <w:pStyle w:val="Notedebasdepage"/>
        <w:jc w:val="both"/>
        <w:rPr>
          <w:sz w:val="16"/>
          <w:szCs w:val="16"/>
          <w:lang w:val="fr-BE"/>
        </w:rPr>
      </w:pPr>
      <w:r>
        <w:rPr>
          <w:rStyle w:val="Appelnotedebasdep"/>
          <w:sz w:val="16"/>
          <w:szCs w:val="16"/>
        </w:rPr>
        <w:footnoteRef/>
      </w:r>
      <w:r>
        <w:rPr>
          <w:sz w:val="16"/>
          <w:szCs w:val="16"/>
        </w:rPr>
        <w:t xml:space="preserve"> Exceptionnellement, les élèves qui s’inscrivent en septembre à l’âge de 2 ans et 5 mois et qui remplissent toutes les autres conditions, peuvent être considérés comme primo-arrivants. </w:t>
      </w:r>
    </w:p>
  </w:footnote>
  <w:footnote w:id="49">
    <w:p>
      <w:pPr>
        <w:pStyle w:val="Notedebasdepage"/>
      </w:pPr>
      <w:r>
        <w:rPr>
          <w:rStyle w:val="Appelnotedebasdep"/>
        </w:rPr>
        <w:footnoteRef/>
      </w:r>
      <w:r>
        <w:t xml:space="preserve"> </w:t>
      </w:r>
      <w:r>
        <w:rPr>
          <w:sz w:val="16"/>
          <w:szCs w:val="16"/>
        </w:rPr>
        <w:t>Etre ressortissant d’un pays signifie posséder la nationalité de ce pays.</w:t>
      </w:r>
    </w:p>
  </w:footnote>
  <w:footnote w:id="50">
    <w:p>
      <w:pPr>
        <w:pStyle w:val="Notedebasdepage"/>
      </w:pPr>
      <w:r>
        <w:rPr>
          <w:rStyle w:val="Appelnotedebasdep"/>
        </w:rPr>
        <w:footnoteRef/>
      </w:r>
      <w:r>
        <w:t xml:space="preserve"> </w:t>
      </w:r>
      <w:r>
        <w:rPr>
          <w:rFonts w:cs="Arial"/>
          <w:i/>
          <w:sz w:val="16"/>
          <w:szCs w:val="16"/>
        </w:rPr>
        <w:t>Le terme « inscription » est ici lié à la fréquentation scolaire effective. Le jour de l’inscription est donc le jour de l’entrée effective de l’élève dans un établissement</w:t>
      </w:r>
      <w:r>
        <w:t>.</w:t>
      </w:r>
    </w:p>
  </w:footnote>
  <w:footnote w:id="51">
    <w:p>
      <w:pPr>
        <w:pStyle w:val="Notedebasdepage"/>
        <w:rPr>
          <w:lang w:val="fr-BE"/>
        </w:rPr>
      </w:pPr>
      <w:r>
        <w:rPr>
          <w:rStyle w:val="Appelnotedebasdep"/>
        </w:rPr>
        <w:footnoteRef/>
      </w:r>
      <w:r>
        <w:t xml:space="preserve"> </w:t>
      </w:r>
      <w:r>
        <w:rPr>
          <w:i/>
          <w:sz w:val="16"/>
          <w:szCs w:val="16"/>
          <w:lang w:val="fr-BE"/>
        </w:rPr>
        <w:t>Pour rappel, la durée du passage en DASPA est comprise entre une semaine et un an. Elle peut être prolongée de 6 mois maximum.</w:t>
      </w:r>
    </w:p>
  </w:footnote>
  <w:footnote w:id="52">
    <w:p>
      <w:pPr>
        <w:pStyle w:val="Notedebasdepage"/>
        <w:rPr>
          <w:lang w:val="fr-BE"/>
        </w:rPr>
      </w:pPr>
      <w:r>
        <w:rPr>
          <w:rStyle w:val="Appelnotedebasdep"/>
        </w:rPr>
        <w:footnoteRef/>
      </w:r>
      <w:r>
        <w:t xml:space="preserve"> </w:t>
      </w:r>
      <w:r>
        <w:rPr>
          <w:i/>
          <w:sz w:val="16"/>
          <w:szCs w:val="16"/>
          <w:lang w:val="fr-BE"/>
        </w:rPr>
        <w:t>Pour rappel, la durée du passage en DASPA est comprise entre une semaine et un an. Elle peut être prolongée de 6 mois maximum.</w:t>
      </w:r>
    </w:p>
  </w:footnote>
  <w:footnote w:id="53">
    <w:p>
      <w:pPr>
        <w:pStyle w:val="Notedebasdepage"/>
        <w:jc w:val="both"/>
        <w:rPr>
          <w:sz w:val="16"/>
          <w:szCs w:val="16"/>
          <w:lang w:val="fr-BE"/>
        </w:rPr>
      </w:pPr>
      <w:r>
        <w:rPr>
          <w:rStyle w:val="Appelnotedebasdep"/>
          <w:sz w:val="16"/>
          <w:szCs w:val="16"/>
        </w:rPr>
        <w:footnoteRef/>
      </w:r>
      <w:r>
        <w:rPr>
          <w:sz w:val="16"/>
          <w:szCs w:val="16"/>
        </w:rPr>
        <w:t xml:space="preserve"> </w:t>
      </w:r>
      <w:r>
        <w:rPr>
          <w:rFonts w:cs="Arial"/>
          <w:sz w:val="16"/>
          <w:szCs w:val="16"/>
        </w:rPr>
        <w:t>Pour atteindre ce ratio, l’école peut utiliser des périodes du capital-périodes de base (titulaires- maîtres d’éducation physique-maîtres d’adaptation), les périodes complémentaires P1-P2, des périodes de reliquats-art 36-art 37, et le cas échéant les périodes dont bénéficient les écoles bénéficiaires de l’encadrement différencié.</w:t>
      </w:r>
    </w:p>
  </w:footnote>
  <w:footnote w:id="54">
    <w:p>
      <w:pPr>
        <w:pStyle w:val="Notedebasdepage"/>
        <w:jc w:val="both"/>
        <w:rPr>
          <w:sz w:val="16"/>
          <w:szCs w:val="16"/>
        </w:rPr>
      </w:pPr>
      <w:r>
        <w:rPr>
          <w:rStyle w:val="Appelnotedebasdep"/>
          <w:sz w:val="16"/>
          <w:szCs w:val="16"/>
        </w:rPr>
        <w:footnoteRef/>
      </w:r>
      <w:r>
        <w:rPr>
          <w:sz w:val="16"/>
          <w:szCs w:val="16"/>
        </w:rPr>
        <w:t xml:space="preserve"> </w:t>
      </w:r>
      <w:r>
        <w:rPr>
          <w:rFonts w:cs="Arial"/>
          <w:sz w:val="16"/>
          <w:szCs w:val="16"/>
        </w:rPr>
        <w:t>Pour atteindre ce ratio, l’école peut utiliser des périodes du capital-périodes de base (titulaires- maîtres d’éducation physique-maîtres d’adaptation), des périodes de reliquats-art 36-art 37, et le cas échéant les périodes dont bénéficient les écoles bénéficiaires de l’encadrement différencié, voire des périodes complémentaires P1-P2 transférées du P1-P2 car non nécessaires dans ce degré pour atteindre le ratio P1-P2.</w:t>
      </w:r>
    </w:p>
  </w:footnote>
  <w:footnote w:id="55">
    <w:p>
      <w:pPr>
        <w:pStyle w:val="Notedebasdepage"/>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Communes à statut linguistique particulier en application de la loi linguistique du 10 juillet 1963.</w:t>
      </w:r>
    </w:p>
  </w:footnote>
  <w:footnote w:id="56">
    <w:p>
      <w:pPr>
        <w:pStyle w:val="Notedebasdepage"/>
        <w:ind w:left="180" w:hanging="180"/>
        <w:jc w:val="both"/>
        <w:rPr>
          <w:sz w:val="16"/>
          <w:szCs w:val="16"/>
        </w:rPr>
      </w:pPr>
      <w:r>
        <w:rPr>
          <w:rStyle w:val="Appelnotedebasdep"/>
          <w:sz w:val="16"/>
          <w:szCs w:val="16"/>
        </w:rPr>
        <w:footnoteRef/>
      </w:r>
      <w:r>
        <w:rPr>
          <w:sz w:val="16"/>
          <w:szCs w:val="16"/>
        </w:rPr>
        <w:t xml:space="preserve"> </w:t>
      </w:r>
      <w:r>
        <w:rPr>
          <w:sz w:val="16"/>
          <w:szCs w:val="16"/>
          <w:lang w:val="fr-BE"/>
        </w:rPr>
        <w:t xml:space="preserve">Selon le cas du comité de concertation de base pour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sz w:val="16"/>
            <w:szCs w:val="16"/>
            <w:lang w:val="fr-BE"/>
          </w:rPr>
          <w:t>la Fédération Wallonie-Bruxelles</w:t>
        </w:r>
      </w:smartTag>
      <w:r>
        <w:rPr>
          <w:sz w:val="16"/>
          <w:szCs w:val="16"/>
          <w:lang w:val="fr-BE"/>
        </w:rPr>
        <w:t xml:space="preserve"> ou de la commission paritaire locale pour l’enseignement officiel subventionné ou de l’instance prévue à cet effet dans l’enseignement libre subventionné.</w:t>
      </w:r>
    </w:p>
  </w:footnote>
  <w:footnote w:id="57">
    <w:p>
      <w:pPr>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 xml:space="preserve">Dès lors que, dans les zones ou parties de zones déterminées par un rapport sur les données disponibles sur la démographie et l’état prospectif des besoins en termes de nombre de places à créer, demandé par le Gouvernement à son administration, tous les 3 ans minimum, il est avéré que le nombre de classes ne peut être augmenté sans la création de nouvelles implantations ou établissements scolaires. </w:t>
      </w:r>
    </w:p>
  </w:footnote>
  <w:footnote w:id="58">
    <w:p>
      <w:pPr>
        <w:pStyle w:val="Notedebasdepage"/>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Application de l’article 27 du Décret du 13/07/1998 portant organisation de l’enseignement maternel et primaire ordinaire et modifiant la réglementation de l’enseignement.</w:t>
      </w:r>
    </w:p>
  </w:footnote>
  <w:footnote w:id="59">
    <w:p>
      <w:pPr>
        <w:pStyle w:val="Notedebasdepage"/>
        <w:ind w:left="180" w:hanging="180"/>
        <w:jc w:val="both"/>
      </w:pPr>
      <w:r>
        <w:rPr>
          <w:rStyle w:val="Appelnotedebasdep"/>
          <w:sz w:val="16"/>
          <w:szCs w:val="16"/>
        </w:rPr>
        <w:footnoteRef/>
      </w:r>
      <w:r>
        <w:rPr>
          <w:sz w:val="16"/>
          <w:szCs w:val="16"/>
        </w:rPr>
        <w:t xml:space="preserve"> Application de l’article 21 de l’Arrêté royal du 02/08/1984 portant rationalisation et programmation de l’enseignement maternel et primaire ordinaire.</w:t>
      </w:r>
    </w:p>
  </w:footnote>
  <w:footnote w:id="60">
    <w:p>
      <w:pPr>
        <w:pStyle w:val="Notedebasdepage"/>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Direction générale de l’Enseignement obligatoire, bureau 2F202, rue A. Lavallée, 1 – 1080 Bruxelles</w:t>
      </w:r>
    </w:p>
  </w:footnote>
  <w:footnote w:id="61">
    <w:p>
      <w:pPr>
        <w:pStyle w:val="Notedebasdepage"/>
        <w:ind w:left="180" w:hanging="180"/>
        <w:jc w:val="both"/>
        <w:rPr>
          <w:sz w:val="16"/>
          <w:szCs w:val="16"/>
          <w:lang w:val="fr-BE"/>
        </w:rPr>
      </w:pPr>
      <w:r>
        <w:rPr>
          <w:rStyle w:val="Appelnotedebasdep"/>
          <w:sz w:val="16"/>
          <w:szCs w:val="16"/>
        </w:rPr>
        <w:footnoteRef/>
      </w:r>
      <w:r>
        <w:rPr>
          <w:sz w:val="16"/>
          <w:szCs w:val="16"/>
        </w:rPr>
        <w:t xml:space="preserve"> S</w:t>
      </w:r>
      <w:r>
        <w:rPr>
          <w:sz w:val="16"/>
          <w:szCs w:val="16"/>
          <w:lang w:val="fr-BE"/>
        </w:rPr>
        <w:t xml:space="preserve">elon le cas du comité de concertation de base pour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sz w:val="16"/>
            <w:szCs w:val="16"/>
            <w:lang w:val="fr-BE"/>
          </w:rPr>
          <w:t>la Fédération Wallonie-Bruxelles</w:t>
        </w:r>
      </w:smartTag>
      <w:r>
        <w:rPr>
          <w:sz w:val="16"/>
          <w:szCs w:val="16"/>
          <w:lang w:val="fr-BE"/>
        </w:rPr>
        <w:t xml:space="preserve"> ou de la commission paritaire locale pour l’enseignement officiel subventionné ou de l’instance prévue à cet effet dans l’enseignement libre subventionné</w:t>
      </w:r>
    </w:p>
  </w:footnote>
  <w:footnote w:id="62">
    <w:p>
      <w:pPr>
        <w:pStyle w:val="Notedebasdepage"/>
        <w:jc w:val="both"/>
        <w:rPr>
          <w:sz w:val="16"/>
          <w:szCs w:val="16"/>
        </w:rPr>
      </w:pPr>
      <w:r>
        <w:rPr>
          <w:rStyle w:val="Appelnotedebasdep"/>
          <w:sz w:val="16"/>
          <w:szCs w:val="16"/>
        </w:rPr>
        <w:footnoteRef/>
      </w:r>
      <w:r>
        <w:rPr>
          <w:sz w:val="16"/>
          <w:szCs w:val="16"/>
        </w:rPr>
        <w:t xml:space="preserve"> Voir </w:t>
      </w:r>
      <w:hyperlink w:anchor="Annexe_332" w:history="1">
        <w:r>
          <w:rPr>
            <w:rStyle w:val="Lienhypertexte"/>
            <w:color w:val="auto"/>
            <w:sz w:val="16"/>
            <w:szCs w:val="16"/>
          </w:rPr>
          <w:t>annexe 3.3.2</w:t>
        </w:r>
      </w:hyperlink>
    </w:p>
  </w:footnote>
  <w:footnote w:id="63">
    <w:p>
      <w:pPr>
        <w:pStyle w:val="Notedebasdepage"/>
        <w:ind w:left="180" w:hanging="180"/>
        <w:jc w:val="both"/>
        <w:rPr>
          <w:lang w:val="fr-BE"/>
        </w:rPr>
      </w:pPr>
      <w:r>
        <w:rPr>
          <w:rStyle w:val="Appelnotedebasdep"/>
          <w:sz w:val="16"/>
          <w:szCs w:val="16"/>
        </w:rPr>
        <w:footnoteRef/>
      </w:r>
      <w:r>
        <w:rPr>
          <w:sz w:val="16"/>
          <w:szCs w:val="16"/>
        </w:rPr>
        <w:t xml:space="preserve"> </w:t>
      </w:r>
      <w:r>
        <w:rPr>
          <w:sz w:val="16"/>
          <w:szCs w:val="16"/>
          <w:lang w:val="fr-BE"/>
        </w:rPr>
        <w:t xml:space="preserve">Selon le cas du comité de concertation de base pour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sz w:val="16"/>
            <w:szCs w:val="16"/>
            <w:lang w:val="fr-BE"/>
          </w:rPr>
          <w:t>la Fédération Wallonie-Bruxelles</w:t>
        </w:r>
      </w:smartTag>
      <w:r>
        <w:rPr>
          <w:sz w:val="16"/>
          <w:szCs w:val="16"/>
          <w:lang w:val="fr-BE"/>
        </w:rPr>
        <w:t xml:space="preserve"> ou de la commission paritaire locale pour l’enseignement officiel subventionné ou de l’instance prévue à cet effet dans l’enseignement libre subventionné</w:t>
      </w:r>
    </w:p>
  </w:footnote>
  <w:footnote w:id="64">
    <w:p>
      <w:pPr>
        <w:pStyle w:val="Notedebasdepage"/>
        <w:ind w:left="180" w:hanging="180"/>
        <w:jc w:val="both"/>
        <w:rPr>
          <w:sz w:val="16"/>
          <w:szCs w:val="16"/>
          <w:lang w:val="fr-BE"/>
        </w:rPr>
      </w:pPr>
      <w:r>
        <w:rPr>
          <w:rStyle w:val="Appelnotedebasdep"/>
          <w:sz w:val="16"/>
          <w:szCs w:val="16"/>
        </w:rPr>
        <w:footnoteRef/>
      </w:r>
      <w:r>
        <w:rPr>
          <w:sz w:val="16"/>
          <w:szCs w:val="16"/>
        </w:rPr>
        <w:t xml:space="preserve"> </w:t>
      </w:r>
      <w:r>
        <w:rPr>
          <w:sz w:val="16"/>
          <w:szCs w:val="16"/>
          <w:lang w:val="fr-BE"/>
        </w:rPr>
        <w:t xml:space="preserve">Selon le cas du comité de concertation de base pour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sz w:val="16"/>
            <w:szCs w:val="16"/>
            <w:lang w:val="fr-BE"/>
          </w:rPr>
          <w:t>la Fédération Wallonie-Bruxelles</w:t>
        </w:r>
      </w:smartTag>
      <w:r>
        <w:rPr>
          <w:sz w:val="16"/>
          <w:szCs w:val="16"/>
          <w:lang w:val="fr-BE"/>
        </w:rPr>
        <w:t xml:space="preserve"> ou de la commission paritaire locale pour l’enseignement officiel subventionné ou de l’instance prévue à cet effet dans l’enseignement libre subventionné</w:t>
      </w:r>
    </w:p>
  </w:footnote>
  <w:footnote w:id="65">
    <w:p>
      <w:pPr>
        <w:pStyle w:val="Notedebasdepage"/>
        <w:rPr>
          <w:sz w:val="16"/>
          <w:szCs w:val="16"/>
        </w:rPr>
      </w:pPr>
      <w:r>
        <w:rPr>
          <w:rStyle w:val="Appelnotedebasdep"/>
          <w:sz w:val="16"/>
          <w:szCs w:val="16"/>
        </w:rPr>
        <w:footnoteRef/>
      </w:r>
      <w:r>
        <w:rPr>
          <w:rFonts w:cs="Arial"/>
          <w:sz w:val="16"/>
          <w:szCs w:val="16"/>
        </w:rPr>
        <w:t xml:space="preserve"> Voir </w:t>
      </w:r>
      <w:hyperlink w:anchor="Annexe_331" w:history="1">
        <w:r>
          <w:rPr>
            <w:rStyle w:val="Lienhypertexte"/>
            <w:rFonts w:cs="Arial"/>
            <w:color w:val="auto"/>
            <w:sz w:val="16"/>
            <w:szCs w:val="16"/>
          </w:rPr>
          <w:t>Annexe 3.3.1</w:t>
        </w:r>
      </w:hyperlink>
    </w:p>
  </w:footnote>
  <w:footnote w:id="66">
    <w:p>
      <w:pPr>
        <w:pStyle w:val="Notedebasdepage"/>
      </w:pPr>
      <w:r>
        <w:rPr>
          <w:rStyle w:val="Appelnotedebasdep"/>
        </w:rPr>
        <w:footnoteRef/>
      </w:r>
      <w:r>
        <w:t xml:space="preserve"> </w:t>
      </w:r>
      <w:r>
        <w:rPr>
          <w:sz w:val="16"/>
          <w:szCs w:val="16"/>
        </w:rPr>
        <w:t xml:space="preserve">Voir également les définitions préalables et le </w:t>
      </w:r>
      <w:hyperlink w:anchor="Chapitre2_2" w:history="1">
        <w:r>
          <w:rPr>
            <w:rStyle w:val="Lienhypertexte"/>
            <w:color w:val="auto"/>
            <w:sz w:val="16"/>
            <w:szCs w:val="16"/>
          </w:rPr>
          <w:t>Titre 2</w:t>
        </w:r>
      </w:hyperlink>
      <w:r>
        <w:rPr>
          <w:sz w:val="16"/>
          <w:szCs w:val="16"/>
        </w:rPr>
        <w:t xml:space="preserve"> pour la définition d’un élève régulièrement inscrit.</w:t>
      </w:r>
    </w:p>
  </w:footnote>
  <w:footnote w:id="67">
    <w:p>
      <w:pPr>
        <w:pStyle w:val="Notedebasdepage"/>
        <w:rPr>
          <w:rFonts w:cs="Arial"/>
          <w:sz w:val="16"/>
          <w:szCs w:val="16"/>
        </w:rPr>
      </w:pPr>
      <w:r>
        <w:rPr>
          <w:rStyle w:val="Appelnotedebasdep"/>
          <w:sz w:val="16"/>
          <w:szCs w:val="16"/>
        </w:rPr>
        <w:footnoteRef/>
      </w:r>
      <w:r>
        <w:rPr>
          <w:sz w:val="16"/>
          <w:szCs w:val="16"/>
        </w:rPr>
        <w:t xml:space="preserve"> </w:t>
      </w:r>
      <w:r>
        <w:rPr>
          <w:rFonts w:cs="Arial"/>
          <w:sz w:val="16"/>
          <w:szCs w:val="16"/>
        </w:rPr>
        <w:t>Les élèves primo-arrivants de maternelle ne sont pas admis en DASPA.</w:t>
      </w:r>
    </w:p>
  </w:footnote>
  <w:footnote w:id="68">
    <w:p>
      <w:pPr>
        <w:pStyle w:val="Notedebasdepage"/>
        <w:jc w:val="both"/>
        <w:rPr>
          <w:sz w:val="16"/>
          <w:szCs w:val="16"/>
        </w:rPr>
      </w:pPr>
      <w:r>
        <w:rPr>
          <w:rStyle w:val="Appelnotedebasdep"/>
          <w:sz w:val="16"/>
          <w:szCs w:val="16"/>
        </w:rPr>
        <w:footnoteRef/>
      </w:r>
      <w:r>
        <w:rPr>
          <w:sz w:val="16"/>
          <w:szCs w:val="16"/>
        </w:rPr>
        <w:t xml:space="preserve"> </w:t>
      </w:r>
      <w:r>
        <w:rPr>
          <w:rFonts w:cs="Arial"/>
          <w:sz w:val="16"/>
          <w:szCs w:val="16"/>
        </w:rPr>
        <w:t>Le terme « inscription » est ici lié à la fréquentation scolaire effective. Le jour de l’inscription est donc le jour de l’entrée effective de l’élève dans un établissement</w:t>
      </w:r>
      <w:r>
        <w:rPr>
          <w:sz w:val="16"/>
          <w:szCs w:val="16"/>
        </w:rPr>
        <w:t>.</w:t>
      </w:r>
    </w:p>
  </w:footnote>
  <w:footnote w:id="69">
    <w:p>
      <w:pPr>
        <w:pStyle w:val="Notedebasdepage"/>
        <w:jc w:val="both"/>
        <w:rPr>
          <w:sz w:val="16"/>
          <w:szCs w:val="16"/>
        </w:rPr>
      </w:pPr>
      <w:r>
        <w:rPr>
          <w:rStyle w:val="Appelnotedebasdep"/>
          <w:sz w:val="16"/>
          <w:szCs w:val="16"/>
        </w:rPr>
        <w:footnoteRef/>
      </w:r>
      <w:r>
        <w:rPr>
          <w:sz w:val="16"/>
          <w:szCs w:val="16"/>
        </w:rPr>
        <w:t xml:space="preserve"> </w:t>
      </w:r>
      <w:r>
        <w:rPr>
          <w:rFonts w:cs="Arial"/>
          <w:sz w:val="16"/>
          <w:szCs w:val="16"/>
        </w:rPr>
        <w:t>Le terme « inscription » est ici lié à la fréquentation scolaire effective. Le jour de l’inscription est donc le jour de l’entrée effective de l’élève dans un établissement</w:t>
      </w:r>
      <w:r>
        <w:rPr>
          <w:sz w:val="16"/>
          <w:szCs w:val="16"/>
        </w:rPr>
        <w:t>.</w:t>
      </w:r>
    </w:p>
  </w:footnote>
  <w:footnote w:id="70">
    <w:p>
      <w:pPr>
        <w:pStyle w:val="Notedebasdepage"/>
        <w:jc w:val="both"/>
        <w:rPr>
          <w:sz w:val="16"/>
          <w:szCs w:val="16"/>
          <w:lang w:val="fr-BE"/>
        </w:rPr>
      </w:pPr>
      <w:r>
        <w:rPr>
          <w:rStyle w:val="Appelnotedebasdep"/>
          <w:sz w:val="16"/>
          <w:szCs w:val="16"/>
        </w:rPr>
        <w:footnoteRef/>
      </w:r>
      <w:r>
        <w:rPr>
          <w:sz w:val="16"/>
          <w:szCs w:val="16"/>
        </w:rPr>
        <w:t xml:space="preserve"> Exceptionnellement, les élèves qui s’inscrivent en septembre à l’âge de 2 ans et 5 mois et qui remplissent toutes les autres conditions, peuvent être considérés comme primo-arrivants. </w:t>
      </w:r>
    </w:p>
  </w:footnote>
  <w:footnote w:id="71">
    <w:p>
      <w:pPr>
        <w:pStyle w:val="Notedebasdepage"/>
        <w:jc w:val="both"/>
        <w:rPr>
          <w:sz w:val="16"/>
          <w:szCs w:val="16"/>
        </w:rPr>
      </w:pPr>
      <w:r>
        <w:rPr>
          <w:rStyle w:val="Appelnotedebasdep"/>
          <w:sz w:val="16"/>
          <w:szCs w:val="16"/>
        </w:rPr>
        <w:footnoteRef/>
      </w:r>
      <w:r>
        <w:rPr>
          <w:sz w:val="16"/>
          <w:szCs w:val="16"/>
        </w:rPr>
        <w:t xml:space="preserve"> Etre ressortissant d’un pays signifie posséder la nationalité de ce pays</w:t>
      </w:r>
    </w:p>
  </w:footnote>
  <w:footnote w:id="72">
    <w:p>
      <w:pPr>
        <w:pStyle w:val="Notedebasdepage"/>
        <w:jc w:val="both"/>
        <w:rPr>
          <w:sz w:val="16"/>
          <w:szCs w:val="16"/>
        </w:rPr>
      </w:pPr>
      <w:r>
        <w:rPr>
          <w:rStyle w:val="Appelnotedebasdep"/>
          <w:sz w:val="16"/>
          <w:szCs w:val="16"/>
        </w:rPr>
        <w:footnoteRef/>
      </w:r>
      <w:r>
        <w:rPr>
          <w:sz w:val="16"/>
          <w:szCs w:val="16"/>
        </w:rPr>
        <w:t xml:space="preserve"> </w:t>
      </w:r>
      <w:r>
        <w:rPr>
          <w:rFonts w:cs="Arial"/>
          <w:sz w:val="16"/>
          <w:szCs w:val="16"/>
        </w:rPr>
        <w:t>Le terme « inscription » est ici lié à la fréquentation scolaire effective (présence physique de l’élève). Le jour de l’inscription est donc le jour de l’entrée effective de l’élève dans un établissement</w:t>
      </w:r>
      <w:r>
        <w:rPr>
          <w:sz w:val="16"/>
          <w:szCs w:val="16"/>
        </w:rPr>
        <w:t>.</w:t>
      </w:r>
    </w:p>
  </w:footnote>
  <w:footnote w:id="73">
    <w:p>
      <w:pPr>
        <w:pStyle w:val="Notedebasdepage"/>
        <w:ind w:left="180" w:hanging="180"/>
        <w:jc w:val="both"/>
      </w:pPr>
      <w:r>
        <w:rPr>
          <w:rStyle w:val="Appelnotedebasdep"/>
          <w:sz w:val="16"/>
          <w:szCs w:val="16"/>
        </w:rPr>
        <w:footnoteRef/>
      </w:r>
      <w:r>
        <w:rPr>
          <w:sz w:val="16"/>
          <w:szCs w:val="16"/>
        </w:rPr>
        <w:t xml:space="preserve"> Conformément aux dispositions du Décret du 18/05/2012 visant à la mise en place d'un dispositif d'accueil et de scolarisation des élèves primo-arrivants dans l'enseignement organisé ou subventionné par </w:t>
      </w:r>
      <w:smartTag w:uri="urn:schemas-microsoft-com:office:smarttags" w:element="PersonName">
        <w:smartTagPr>
          <w:attr w:name="ProductID" w:val="la Communaut￩"/>
        </w:smartTagPr>
        <w:r>
          <w:rPr>
            <w:sz w:val="16"/>
            <w:szCs w:val="16"/>
          </w:rPr>
          <w:t>la Communauté</w:t>
        </w:r>
      </w:smartTag>
      <w:r>
        <w:rPr>
          <w:sz w:val="16"/>
          <w:szCs w:val="16"/>
        </w:rPr>
        <w:t xml:space="preserve"> française.</w:t>
      </w:r>
    </w:p>
  </w:footnote>
  <w:footnote w:id="74">
    <w:p>
      <w:pPr>
        <w:pStyle w:val="Notedebasdepage"/>
        <w:jc w:val="both"/>
      </w:pPr>
      <w:r>
        <w:rPr>
          <w:rStyle w:val="Appelnotedebasdep"/>
          <w:sz w:val="16"/>
          <w:szCs w:val="16"/>
        </w:rPr>
        <w:footnoteRef/>
      </w:r>
      <w:r>
        <w:rPr>
          <w:sz w:val="16"/>
          <w:szCs w:val="16"/>
        </w:rPr>
        <w:t xml:space="preserve"> Par enseignement de la religion, il faut entendre l'enseignement de la religion catholique, islamique, israélite, orthodoxe et protestante.</w:t>
      </w:r>
    </w:p>
  </w:footnote>
  <w:footnote w:id="75">
    <w:p>
      <w:pPr>
        <w:autoSpaceDE w:val="0"/>
        <w:autoSpaceDN w:val="0"/>
        <w:adjustRightInd w:val="0"/>
        <w:ind w:left="180" w:hanging="180"/>
        <w:jc w:val="both"/>
        <w:rPr>
          <w:sz w:val="16"/>
          <w:szCs w:val="16"/>
        </w:rPr>
      </w:pPr>
      <w:r>
        <w:rPr>
          <w:rStyle w:val="Appelnotedebasdep"/>
          <w:sz w:val="16"/>
          <w:szCs w:val="16"/>
        </w:rPr>
        <w:footnoteRef/>
      </w:r>
      <w:r>
        <w:rPr>
          <w:sz w:val="16"/>
          <w:szCs w:val="16"/>
        </w:rPr>
        <w:t>Article 19 § 1 du décret du 13 juillet 1998 portant organisation de l’enseignement primaire et maternel et modifiant la réglementation de l’enseignement</w:t>
      </w:r>
    </w:p>
  </w:footnote>
  <w:footnote w:id="76">
    <w:p>
      <w:pPr>
        <w:autoSpaceDE w:val="0"/>
        <w:autoSpaceDN w:val="0"/>
        <w:adjustRightInd w:val="0"/>
        <w:ind w:left="180" w:hanging="180"/>
        <w:jc w:val="both"/>
      </w:pPr>
      <w:r>
        <w:rPr>
          <w:rStyle w:val="Appelnotedebasdep"/>
          <w:sz w:val="16"/>
          <w:szCs w:val="16"/>
        </w:rPr>
        <w:footnoteRef/>
      </w:r>
      <w:r>
        <w:rPr>
          <w:sz w:val="16"/>
          <w:szCs w:val="16"/>
        </w:rPr>
        <w:t>Article 18 § 1 du Décret du 13 juillet 1998 portant organisation de l’enseignement primaire et maternel et modifiant la réglementation de l’enseignement</w:t>
      </w:r>
    </w:p>
  </w:footnote>
  <w:footnote w:id="77">
    <w:p>
      <w:pPr>
        <w:pStyle w:val="Notedebasdepage"/>
        <w:jc w:val="both"/>
        <w:rPr>
          <w:sz w:val="16"/>
          <w:szCs w:val="16"/>
        </w:rPr>
      </w:pPr>
      <w:r>
        <w:rPr>
          <w:rStyle w:val="Appelnotedebasdep"/>
          <w:sz w:val="16"/>
          <w:szCs w:val="16"/>
        </w:rPr>
        <w:footnoteRef/>
      </w:r>
      <w:r>
        <w:rPr>
          <w:sz w:val="16"/>
          <w:szCs w:val="16"/>
        </w:rPr>
        <w:t xml:space="preserve"> Ces prescrits légaux sont :</w:t>
      </w:r>
    </w:p>
    <w:p>
      <w:pPr>
        <w:pStyle w:val="Notedebasdepage"/>
        <w:jc w:val="both"/>
        <w:rPr>
          <w:sz w:val="16"/>
          <w:szCs w:val="16"/>
        </w:rPr>
      </w:pPr>
      <w:r>
        <w:rPr>
          <w:sz w:val="16"/>
          <w:szCs w:val="16"/>
        </w:rPr>
        <w:t xml:space="preserve">- l’article 38 de l’Arrêté du Gouvernement wallon du 13 juin 2013 déterminant les conditions sectorielles relatives aux bassins de natation couverts et ouverts utilisés à un titre autre que purement privatif dans le cadre du cercle familial, lorsque la surface est inférieure ou égale à </w:t>
      </w:r>
      <w:smartTag w:uri="urn:schemas-microsoft-com:office:smarttags" w:element="metricconverter">
        <w:smartTagPr>
          <w:attr w:name="ProductID" w:val="100 m2"/>
        </w:smartTagPr>
        <w:r>
          <w:rPr>
            <w:sz w:val="16"/>
            <w:szCs w:val="16"/>
          </w:rPr>
          <w:t>100 m</w:t>
        </w:r>
        <w:r>
          <w:rPr>
            <w:sz w:val="16"/>
            <w:szCs w:val="16"/>
            <w:vertAlign w:val="superscript"/>
          </w:rPr>
          <w:t>2</w:t>
        </w:r>
      </w:smartTag>
      <w:r>
        <w:rPr>
          <w:sz w:val="16"/>
          <w:szCs w:val="16"/>
        </w:rPr>
        <w:t xml:space="preserve"> ou la profondeur inférieure ou égale à </w:t>
      </w:r>
      <w:smartTag w:uri="urn:schemas-microsoft-com:office:smarttags" w:element="metricconverter">
        <w:smartTagPr>
          <w:attr w:name="ProductID" w:val="140 cm"/>
        </w:smartTagPr>
        <w:r>
          <w:rPr>
            <w:sz w:val="16"/>
            <w:szCs w:val="16"/>
          </w:rPr>
          <w:t>1</w:t>
        </w:r>
        <w:smartTag w:uri="urn:schemas-microsoft-com:office:smarttags" w:element="metricconverter">
          <w:smartTagPr>
            <w:attr w:name="ProductID" w:val="40 cm"/>
          </w:smartTagPr>
          <w:r>
            <w:rPr>
              <w:sz w:val="16"/>
              <w:szCs w:val="16"/>
            </w:rPr>
            <w:t>40 cm</w:t>
          </w:r>
        </w:smartTag>
      </w:smartTag>
      <w:r>
        <w:rPr>
          <w:sz w:val="16"/>
          <w:szCs w:val="16"/>
        </w:rPr>
        <w:t xml:space="preserve"> utilisant un procédé de désinfection autre que le chlore ou en combinaison avec du chlore ;</w:t>
      </w:r>
    </w:p>
    <w:p>
      <w:pPr>
        <w:pStyle w:val="Notedebasdepage"/>
        <w:jc w:val="both"/>
        <w:rPr>
          <w:sz w:val="16"/>
          <w:szCs w:val="16"/>
        </w:rPr>
      </w:pPr>
      <w:r>
        <w:rPr>
          <w:sz w:val="16"/>
          <w:szCs w:val="16"/>
        </w:rPr>
        <w:t xml:space="preserve">- l’article 31 de l’Arrêté du Gouvernement wallon du 13 juin 2013 déterminant les conditions sectorielles relatives aux bassins de natation couverts et ouverts utilisés à un titre autre que purement privatif dans le cadre du cercle familial, lorsque la surface est supérieure à </w:t>
      </w:r>
      <w:smartTag w:uri="urn:schemas-microsoft-com:office:smarttags" w:element="metricconverter">
        <w:smartTagPr>
          <w:attr w:name="ProductID" w:val="100 m2"/>
        </w:smartTagPr>
        <w:r>
          <w:rPr>
            <w:sz w:val="16"/>
            <w:szCs w:val="16"/>
          </w:rPr>
          <w:t>100 m</w:t>
        </w:r>
        <w:r>
          <w:rPr>
            <w:sz w:val="16"/>
            <w:szCs w:val="16"/>
            <w:vertAlign w:val="superscript"/>
          </w:rPr>
          <w:t>2</w:t>
        </w:r>
      </w:smartTag>
      <w:r>
        <w:rPr>
          <w:sz w:val="16"/>
          <w:szCs w:val="16"/>
        </w:rPr>
        <w:t xml:space="preserve"> et la profondeur supérieure à 140 cm ;</w:t>
      </w:r>
    </w:p>
    <w:p>
      <w:pPr>
        <w:pStyle w:val="Notedebasdepage"/>
        <w:jc w:val="both"/>
        <w:rPr>
          <w:sz w:val="16"/>
          <w:szCs w:val="16"/>
        </w:rPr>
      </w:pPr>
      <w:r>
        <w:rPr>
          <w:sz w:val="16"/>
          <w:szCs w:val="16"/>
        </w:rPr>
        <w:t xml:space="preserve">- l’article 20 de l’Arrêté du Gouvernement de Bruxelles-Capitale du 10 octobre 2002 fixant les conditions d’exploitation pour les bassins de natation. </w:t>
      </w:r>
    </w:p>
  </w:footnote>
  <w:footnote w:id="78">
    <w:p>
      <w:pPr>
        <w:ind w:left="180" w:hanging="180"/>
        <w:jc w:val="both"/>
        <w:rPr>
          <w:rFonts w:cs="Arial"/>
          <w:sz w:val="16"/>
          <w:szCs w:val="16"/>
        </w:rPr>
      </w:pPr>
      <w:r>
        <w:rPr>
          <w:rStyle w:val="Appelnotedebasdep"/>
          <w:rFonts w:cs="Arial"/>
          <w:sz w:val="16"/>
          <w:szCs w:val="16"/>
        </w:rPr>
        <w:footnoteRef/>
      </w:r>
      <w:r>
        <w:rPr>
          <w:rFonts w:cs="Arial"/>
          <w:sz w:val="16"/>
          <w:szCs w:val="16"/>
        </w:rPr>
        <w:t xml:space="preserve"> Une réduction de ce nombre jusqu'à 22 périodes, soit une réduction maximale de 4 périodes, peut être accordée par le Gouvernement sur demande du chef d’établissement dans l’enseignement organisé par </w:t>
      </w:r>
      <w:smartTag w:uri="urn:schemas-microsoft-com:office:smarttags" w:element="PersonName">
        <w:smartTagPr>
          <w:attr w:name="ProductID" w:val="ity=Impersonation Dynamic False]동↱踀Security=Impersonation Dynamic Falseƿ䀀돢↱污谀爸ڎ礪r艎攁窥攁킴攞蠐ڎ२__"/>
        </w:smartTagPr>
        <w:r>
          <w:rPr>
            <w:rFonts w:cs="Arial"/>
            <w:sz w:val="16"/>
            <w:szCs w:val="16"/>
          </w:rPr>
          <w:t>la Fédération Wallonie-Bruxelles</w:t>
        </w:r>
      </w:smartTag>
      <w:r>
        <w:rPr>
          <w:rFonts w:cs="Arial"/>
          <w:sz w:val="16"/>
          <w:szCs w:val="16"/>
        </w:rPr>
        <w:t xml:space="preserve"> ou du Pouvoir organisateur dans l’enseignement subventionné, après avoir procédé à la concertation avec les organisations syndicales représentatives.</w:t>
      </w:r>
    </w:p>
  </w:footnote>
  <w:footnote w:id="79">
    <w:p>
      <w:pPr>
        <w:pStyle w:val="Notedebasdepage"/>
        <w:ind w:left="180" w:hanging="180"/>
        <w:jc w:val="both"/>
        <w:rPr>
          <w:rFonts w:cs="Arial"/>
          <w:i/>
          <w:sz w:val="16"/>
          <w:szCs w:val="16"/>
        </w:rPr>
      </w:pPr>
      <w:r>
        <w:rPr>
          <w:rStyle w:val="Appelnotedebasdep"/>
          <w:rFonts w:cs="Arial"/>
          <w:sz w:val="16"/>
          <w:szCs w:val="16"/>
        </w:rPr>
        <w:footnoteRef/>
      </w:r>
      <w:r>
        <w:rPr>
          <w:rFonts w:cs="Arial"/>
          <w:sz w:val="16"/>
          <w:szCs w:val="16"/>
        </w:rPr>
        <w:t xml:space="preserve"> Une réduction de ce nombre jusqu'à 22 périodes, soit une réduction maximale de 2 périodes, peut être accordée par le Gouvernement sur demande du chef d’établissement dans l’enseignement organisé par la Fédération Wallonie-Bruxelles ou du Pouvoir organisateur dans l’enseignement subventionné après avoir procédé à la concertation avec les organisations syndicales représentatives.</w:t>
      </w:r>
    </w:p>
  </w:footnote>
  <w:footnote w:id="80">
    <w:p>
      <w:pPr>
        <w:pStyle w:val="Notedebasdepage"/>
        <w:jc w:val="both"/>
        <w:rPr>
          <w:sz w:val="16"/>
          <w:szCs w:val="16"/>
        </w:rPr>
      </w:pPr>
      <w:r>
        <w:rPr>
          <w:rStyle w:val="Appelnotedebasdep"/>
          <w:sz w:val="16"/>
          <w:szCs w:val="16"/>
        </w:rPr>
        <w:footnoteRef/>
      </w:r>
      <w:r>
        <w:rPr>
          <w:sz w:val="16"/>
          <w:szCs w:val="16"/>
        </w:rPr>
        <w:t xml:space="preserve"> Elève reconnu comme sportif de haut niveau et espoir sportif visé à l’article 12 du Décret du 8 décembre 2006 visant l’organisation et le subventionnement du sport en Communauté française. </w:t>
      </w:r>
    </w:p>
  </w:footnote>
  <w:footnote w:id="81">
    <w:p>
      <w:pPr>
        <w:pStyle w:val="Notedebasdepage"/>
      </w:pPr>
      <w:r>
        <w:rPr>
          <w:rStyle w:val="Appelnotedebasdep"/>
        </w:rPr>
        <w:footnoteRef/>
      </w:r>
      <w:r>
        <w:t xml:space="preserve"> </w:t>
      </w:r>
      <w:r>
        <w:rPr>
          <w:sz w:val="16"/>
        </w:rPr>
        <w:t>Article 32§1</w:t>
      </w:r>
      <w:r>
        <w:rPr>
          <w:sz w:val="16"/>
          <w:vertAlign w:val="superscript"/>
        </w:rPr>
        <w:t>er</w:t>
      </w:r>
      <w:r>
        <w:rPr>
          <w:sz w:val="16"/>
        </w:rPr>
        <w:t xml:space="preserve"> du décret du 13 juillet 1998.</w:t>
      </w:r>
    </w:p>
  </w:footnote>
  <w:footnote w:id="82">
    <w:p>
      <w:pPr>
        <w:pStyle w:val="Notedebasdepage"/>
        <w:jc w:val="both"/>
        <w:rPr>
          <w:rFonts w:cs="Arial"/>
          <w:sz w:val="16"/>
          <w:szCs w:val="16"/>
        </w:rPr>
      </w:pPr>
      <w:r>
        <w:rPr>
          <w:rStyle w:val="Appelnotedebasdep"/>
          <w:rFonts w:cs="Arial"/>
          <w:sz w:val="16"/>
          <w:szCs w:val="16"/>
        </w:rPr>
        <w:footnoteRef/>
      </w:r>
      <w:r>
        <w:rPr>
          <w:rFonts w:cs="Arial"/>
          <w:sz w:val="16"/>
          <w:szCs w:val="16"/>
        </w:rPr>
        <w:t xml:space="preserve"> Le terme « inscription » est ici lié à la fréquentation scolaire effective. Le jour de l’inscription est donc le jour de l’entrée effective de l’élève dans un établissement.</w:t>
      </w:r>
    </w:p>
  </w:footnote>
  <w:footnote w:id="83">
    <w:p>
      <w:pPr>
        <w:pStyle w:val="Notedebasdepage"/>
        <w:jc w:val="both"/>
        <w:rPr>
          <w:sz w:val="16"/>
          <w:szCs w:val="16"/>
          <w:lang w:val="fr-BE"/>
        </w:rPr>
      </w:pPr>
      <w:r>
        <w:rPr>
          <w:rStyle w:val="Appelnotedebasdep"/>
          <w:sz w:val="16"/>
          <w:szCs w:val="16"/>
        </w:rPr>
        <w:footnoteRef/>
      </w:r>
      <w:r>
        <w:rPr>
          <w:sz w:val="16"/>
          <w:szCs w:val="16"/>
        </w:rPr>
        <w:t xml:space="preserve"> Exceptionnellement, les élèves qui s’inscrivent en septembre à l’âge de 2 ans et 5 mois et qui remplissent toutes les autres conditions, peuvent être considérés comme primo-arrivants. </w:t>
      </w:r>
    </w:p>
  </w:footnote>
  <w:footnote w:id="84">
    <w:p>
      <w:pPr>
        <w:pStyle w:val="Notedebasdepage"/>
        <w:rPr>
          <w:rFonts w:cs="Arial"/>
          <w:sz w:val="16"/>
          <w:szCs w:val="16"/>
        </w:rPr>
      </w:pPr>
      <w:r>
        <w:rPr>
          <w:rStyle w:val="Appelnotedebasdep"/>
          <w:rFonts w:cs="Arial"/>
          <w:sz w:val="16"/>
          <w:szCs w:val="16"/>
        </w:rPr>
        <w:footnoteRef/>
      </w:r>
      <w:r>
        <w:rPr>
          <w:rFonts w:cs="Arial"/>
          <w:sz w:val="16"/>
          <w:szCs w:val="16"/>
        </w:rPr>
        <w:t xml:space="preserve"> Etre ressortissant d’un pays signifie posséder la nationalité de ce pays.</w:t>
      </w:r>
    </w:p>
  </w:footnote>
  <w:footnote w:id="85">
    <w:p>
      <w:pPr>
        <w:tabs>
          <w:tab w:val="left" w:pos="180"/>
        </w:tabs>
        <w:ind w:left="180" w:hanging="180"/>
        <w:jc w:val="both"/>
        <w:rPr>
          <w:rFonts w:cs="Arial"/>
          <w:sz w:val="16"/>
          <w:szCs w:val="16"/>
        </w:rPr>
      </w:pPr>
      <w:r>
        <w:rPr>
          <w:rStyle w:val="Appelnotedebasdep"/>
          <w:rFonts w:cs="Arial"/>
          <w:sz w:val="16"/>
          <w:szCs w:val="16"/>
        </w:rPr>
        <w:footnoteRef/>
      </w:r>
      <w:r>
        <w:rPr>
          <w:rFonts w:cs="Arial"/>
          <w:sz w:val="16"/>
          <w:szCs w:val="16"/>
        </w:rPr>
        <w:t xml:space="preserve"> Article 41§2 al.4 du Décret-Cadre du 13/07/1998.</w:t>
      </w:r>
    </w:p>
  </w:footnote>
  <w:footnote w:id="86">
    <w:p>
      <w:pPr>
        <w:tabs>
          <w:tab w:val="left" w:pos="180"/>
        </w:tabs>
        <w:ind w:left="180" w:hanging="180"/>
        <w:jc w:val="both"/>
        <w:rPr>
          <w:i/>
        </w:rPr>
      </w:pPr>
      <w:r>
        <w:rPr>
          <w:rStyle w:val="Appelnotedebasdep"/>
          <w:rFonts w:cs="Arial"/>
          <w:sz w:val="16"/>
          <w:szCs w:val="16"/>
        </w:rPr>
        <w:footnoteRef/>
      </w:r>
      <w:r>
        <w:rPr>
          <w:rFonts w:cs="Arial"/>
          <w:sz w:val="16"/>
          <w:szCs w:val="16"/>
        </w:rPr>
        <w:t xml:space="preserve"> Article 32§3 du Décret-Cadre du 13/07/1998 portant organisation de l’enseignement maternel et primaire ordinaire.</w:t>
      </w:r>
      <w:r>
        <w:rPr>
          <w:i/>
        </w:rPr>
        <w:t xml:space="preserve"> </w:t>
      </w:r>
    </w:p>
  </w:footnote>
  <w:footnote w:id="87">
    <w:p>
      <w:pPr>
        <w:pStyle w:val="Notedebasdepage"/>
      </w:pPr>
      <w:r>
        <w:rPr>
          <w:rStyle w:val="Appelnotedebasdep"/>
        </w:rPr>
        <w:footnoteRef/>
      </w:r>
      <w:r>
        <w:t xml:space="preserve"> </w:t>
      </w:r>
      <w:r>
        <w:rPr>
          <w:i/>
          <w:sz w:val="16"/>
          <w:szCs w:val="16"/>
        </w:rPr>
        <w:t>Etre ressortissant d’un pays signifie posséder la nationalité de ce pays</w:t>
      </w:r>
    </w:p>
  </w:footnote>
  <w:footnote w:id="88">
    <w:p>
      <w:pPr>
        <w:pStyle w:val="Notedebasdepage"/>
        <w:jc w:val="both"/>
        <w:rPr>
          <w:rFonts w:cs="Arial"/>
          <w:sz w:val="16"/>
          <w:szCs w:val="16"/>
        </w:rPr>
      </w:pPr>
      <w:r>
        <w:rPr>
          <w:rStyle w:val="Appelnotedebasdep"/>
          <w:rFonts w:cs="Arial"/>
          <w:sz w:val="16"/>
          <w:szCs w:val="16"/>
        </w:rPr>
        <w:footnoteRef/>
      </w:r>
      <w:r>
        <w:rPr>
          <w:rFonts w:cs="Arial"/>
          <w:sz w:val="16"/>
          <w:szCs w:val="16"/>
        </w:rPr>
        <w:t xml:space="preserve"> Article 32 de </w:t>
      </w:r>
      <w:smartTag w:uri="urn:schemas-microsoft-com:office:smarttags" w:element="PersonName">
        <w:smartTagPr>
          <w:attr w:name="ProductID" w:val="la Constitution"/>
        </w:smartTagPr>
        <w:r>
          <w:rPr>
            <w:rFonts w:cs="Arial"/>
            <w:sz w:val="16"/>
            <w:szCs w:val="16"/>
          </w:rPr>
          <w:t>la Constitution</w:t>
        </w:r>
      </w:smartTag>
      <w:r>
        <w:rPr>
          <w:rFonts w:cs="Arial"/>
          <w:sz w:val="16"/>
          <w:szCs w:val="16"/>
        </w:rPr>
        <w:t>, décret du 22 décembre 1994 relatif à la publicité de l'administration, loi du 12 novembre 1997  relative à la publicité de l'administration dans les provinces et les communes, article 96 du décret du 24 juillet 1997 dit décret « Missions ».</w:t>
      </w:r>
    </w:p>
  </w:footnote>
  <w:footnote w:id="89">
    <w:p>
      <w:pPr>
        <w:pStyle w:val="Notedebasdepage"/>
        <w:rPr>
          <w:lang w:val="fr-BE"/>
        </w:rPr>
      </w:pPr>
      <w:r>
        <w:rPr>
          <w:rStyle w:val="Appelnotedebasdep"/>
        </w:rPr>
        <w:footnoteRef/>
      </w:r>
      <w:r>
        <w:t xml:space="preserve"> </w:t>
      </w:r>
      <w:r>
        <w:rPr>
          <w:lang w:val="fr-BE"/>
        </w:rPr>
        <w:t xml:space="preserve">Le transfert des populations entraine le transfert des données de Siel. A noter que les écoles qui utilisent ProEco effectuent le transfert des populations depuis ce programme.  </w:t>
      </w:r>
    </w:p>
  </w:footnote>
  <w:footnote w:id="90">
    <w:p>
      <w:pPr>
        <w:pStyle w:val="Notedebasdepage"/>
        <w:jc w:val="both"/>
        <w:rPr>
          <w:sz w:val="16"/>
          <w:szCs w:val="16"/>
        </w:rPr>
      </w:pPr>
      <w:r>
        <w:rPr>
          <w:rStyle w:val="Appelnotedebasdep"/>
          <w:sz w:val="16"/>
          <w:szCs w:val="16"/>
        </w:rPr>
        <w:footnoteRef/>
      </w:r>
      <w:r>
        <w:rPr>
          <w:sz w:val="16"/>
          <w:szCs w:val="16"/>
        </w:rPr>
        <w:t xml:space="preserve"> Biffer les mentions inutiles</w:t>
      </w:r>
    </w:p>
  </w:footnote>
  <w:footnote w:id="91">
    <w:p>
      <w:pPr>
        <w:pStyle w:val="Notedebasdepage"/>
        <w:jc w:val="both"/>
        <w:rPr>
          <w:sz w:val="16"/>
          <w:szCs w:val="16"/>
        </w:rPr>
      </w:pPr>
      <w:r>
        <w:rPr>
          <w:rStyle w:val="Appelnotedebasdep"/>
          <w:sz w:val="16"/>
          <w:szCs w:val="16"/>
        </w:rPr>
        <w:footnoteRef/>
      </w:r>
      <w:r>
        <w:rPr>
          <w:sz w:val="16"/>
          <w:szCs w:val="16"/>
        </w:rPr>
        <w:t xml:space="preserve"> Document attestant du caractère exceptionnel de la demande délivré depuis moins de 6 mois par un spécialiste (logopède, neurologue, neuropédiatre, neuropsychiatre, neuropsychologue, oto-rhino-laryngologue, pédiatre ou psychiatre).</w:t>
      </w:r>
    </w:p>
  </w:footnote>
  <w:footnote w:id="92">
    <w:p>
      <w:pPr>
        <w:pStyle w:val="Notedebasdepage"/>
        <w:jc w:val="both"/>
        <w:rPr>
          <w:sz w:val="16"/>
          <w:szCs w:val="16"/>
        </w:rPr>
      </w:pPr>
      <w:r>
        <w:rPr>
          <w:rStyle w:val="Appelnotedebasdep"/>
          <w:sz w:val="16"/>
          <w:szCs w:val="16"/>
        </w:rPr>
        <w:footnoteRef/>
      </w:r>
      <w:r>
        <w:rPr>
          <w:sz w:val="16"/>
          <w:szCs w:val="16"/>
        </w:rPr>
        <w:t xml:space="preserve"> En cas de dérogation 2, l’enfant est tenu de fréquenter régulièrement l’école; cet avis est obligatoirement accompagné du dossier différencié d’apprentissage reprenant, pour l’élève concerné, les éléments motivés décrits à l’article 7 de l’arrêté du 8 mars 2017. </w:t>
      </w:r>
    </w:p>
  </w:footnote>
  <w:footnote w:id="93">
    <w:p>
      <w:pPr>
        <w:pStyle w:val="Notedebasdepage"/>
        <w:jc w:val="both"/>
        <w:rPr>
          <w:sz w:val="16"/>
          <w:szCs w:val="16"/>
        </w:rPr>
      </w:pPr>
      <w:r>
        <w:rPr>
          <w:rStyle w:val="Appelnotedebasdep"/>
          <w:sz w:val="16"/>
          <w:szCs w:val="16"/>
        </w:rPr>
        <w:footnoteRef/>
      </w:r>
      <w:r>
        <w:rPr>
          <w:sz w:val="16"/>
          <w:szCs w:val="16"/>
        </w:rPr>
        <w:t xml:space="preserve"> Biffer la mention inutile.</w:t>
      </w:r>
    </w:p>
  </w:footnote>
  <w:footnote w:id="94">
    <w:p>
      <w:pPr>
        <w:pStyle w:val="Notedebasdepage"/>
        <w:rPr>
          <w:sz w:val="16"/>
          <w:szCs w:val="16"/>
        </w:rPr>
      </w:pPr>
      <w:r>
        <w:rPr>
          <w:rStyle w:val="Appelnotedebasdep"/>
          <w:sz w:val="16"/>
          <w:szCs w:val="16"/>
        </w:rPr>
        <w:footnoteRef/>
      </w:r>
      <w:r>
        <w:rPr>
          <w:sz w:val="16"/>
          <w:szCs w:val="16"/>
        </w:rPr>
        <w:t xml:space="preserve"> Biffer la mention inutile.</w:t>
      </w:r>
    </w:p>
  </w:footnote>
  <w:footnote w:id="95">
    <w:p>
      <w:pPr>
        <w:pStyle w:val="Notedebasdepage"/>
      </w:pPr>
      <w:r>
        <w:rPr>
          <w:rStyle w:val="Appelnotedebasdep"/>
        </w:rPr>
        <w:footnoteRef/>
      </w:r>
      <w:r>
        <w:t xml:space="preserve"> </w:t>
      </w:r>
      <w:r>
        <w:rPr>
          <w:lang w:val="fr-BE"/>
        </w:rPr>
        <w:t>Biffer la mention inutile</w:t>
      </w:r>
    </w:p>
  </w:footnote>
  <w:footnote w:id="96">
    <w:p>
      <w:pPr>
        <w:pStyle w:val="Notedebasdepage"/>
      </w:pPr>
      <w:r>
        <w:rPr>
          <w:rStyle w:val="Appelnotedebasdep"/>
        </w:rPr>
        <w:footnoteRef/>
      </w:r>
      <w:r>
        <w:t xml:space="preserve"> Nombre minimum de périodes à affecter à l’encadrement  des élèves de P1-P2</w:t>
      </w:r>
    </w:p>
  </w:footnote>
  <w:footnote w:id="97">
    <w:p>
      <w:pPr>
        <w:pStyle w:val="Notedebasdepage"/>
      </w:pPr>
      <w:r>
        <w:rPr>
          <w:rStyle w:val="Appelnotedebasdep"/>
        </w:rPr>
        <w:footnoteRef/>
      </w:r>
      <w:r>
        <w:t xml:space="preserve"> Nombre minimum de périodes à affecter à l’encadrement  des élèves de P3 à P6</w:t>
      </w:r>
    </w:p>
  </w:footnote>
  <w:footnote w:id="98">
    <w:p>
      <w:pPr>
        <w:pStyle w:val="Notedebasdepage"/>
        <w:rPr>
          <w:sz w:val="16"/>
          <w:szCs w:val="16"/>
          <w:lang w:val="fr-BE"/>
        </w:rPr>
      </w:pPr>
      <w:r>
        <w:rPr>
          <w:rStyle w:val="Appelnotedebasdep"/>
          <w:sz w:val="16"/>
          <w:szCs w:val="16"/>
        </w:rPr>
        <w:footnoteRef/>
      </w:r>
      <w:r>
        <w:rPr>
          <w:sz w:val="16"/>
          <w:szCs w:val="16"/>
        </w:rPr>
        <w:t xml:space="preserve"> Joindre l’avis avec les signatures des représentants des organisations syndicales concernées.</w:t>
      </w:r>
    </w:p>
  </w:footnote>
  <w:footnote w:id="99">
    <w:p>
      <w:pPr>
        <w:pStyle w:val="Notedebasdepage"/>
        <w:rPr>
          <w:lang w:val="fr-BE"/>
        </w:rPr>
      </w:pPr>
      <w:r>
        <w:rPr>
          <w:rStyle w:val="Appelnotedebasdep"/>
          <w:sz w:val="16"/>
          <w:szCs w:val="16"/>
        </w:rPr>
        <w:footnoteRef/>
      </w:r>
      <w:r>
        <w:rPr>
          <w:sz w:val="16"/>
          <w:szCs w:val="16"/>
        </w:rPr>
        <w:t xml:space="preserve"> </w:t>
      </w:r>
      <w:r>
        <w:rPr>
          <w:sz w:val="16"/>
          <w:szCs w:val="16"/>
          <w:lang w:val="fr-BE"/>
        </w:rPr>
        <w:t>Biffer la mention inutile</w:t>
      </w:r>
    </w:p>
  </w:footnote>
  <w:footnote w:id="100">
    <w:p>
      <w:pPr>
        <w:pStyle w:val="Notedebasdepage"/>
        <w:rPr>
          <w:sz w:val="16"/>
          <w:szCs w:val="16"/>
          <w:lang w:val="fr-BE"/>
        </w:rPr>
      </w:pPr>
      <w:r>
        <w:rPr>
          <w:rStyle w:val="Appelnotedebasdep"/>
          <w:sz w:val="16"/>
          <w:szCs w:val="16"/>
        </w:rPr>
        <w:footnoteRef/>
      </w:r>
      <w:r>
        <w:rPr>
          <w:sz w:val="16"/>
          <w:szCs w:val="16"/>
        </w:rPr>
        <w:t xml:space="preserve"> Sans application des coefficients. </w:t>
      </w:r>
    </w:p>
  </w:footnote>
  <w:footnote w:id="101">
    <w:p>
      <w:pPr>
        <w:pStyle w:val="Notedebasdepage"/>
        <w:rPr>
          <w:lang w:val="fr-BE"/>
        </w:rPr>
      </w:pPr>
      <w:r>
        <w:rPr>
          <w:rStyle w:val="Appelnotedebasdep"/>
          <w:sz w:val="16"/>
          <w:szCs w:val="16"/>
        </w:rPr>
        <w:footnoteRef/>
      </w:r>
      <w:r>
        <w:rPr>
          <w:sz w:val="16"/>
          <w:szCs w:val="16"/>
        </w:rPr>
        <w:t xml:space="preserve"> </w:t>
      </w:r>
      <w:r>
        <w:rPr>
          <w:sz w:val="16"/>
          <w:szCs w:val="16"/>
          <w:lang w:val="fr-BE"/>
        </w:rPr>
        <w:t>Biffer la mention inutile.</w:t>
      </w:r>
    </w:p>
  </w:footnote>
  <w:footnote w:id="102">
    <w:p>
      <w:pPr>
        <w:pStyle w:val="Notedebasdepage"/>
        <w:rPr>
          <w:lang w:val="fr-BE"/>
        </w:rPr>
      </w:pPr>
      <w:r>
        <w:rPr>
          <w:rStyle w:val="Appelnotedebasdep"/>
          <w:sz w:val="16"/>
          <w:szCs w:val="16"/>
        </w:rPr>
        <w:footnoteRef/>
      </w:r>
      <w:r>
        <w:rPr>
          <w:sz w:val="16"/>
          <w:szCs w:val="16"/>
        </w:rPr>
        <w:t xml:space="preserve"> </w:t>
      </w:r>
      <w:r>
        <w:rPr>
          <w:sz w:val="16"/>
          <w:szCs w:val="16"/>
          <w:lang w:val="fr-BE"/>
        </w:rPr>
        <w:t>Biffer la mention inutile.</w:t>
      </w:r>
    </w:p>
  </w:footnote>
  <w:footnote w:id="103">
    <w:p>
      <w:pPr>
        <w:pStyle w:val="Notedebasdepage"/>
        <w:rPr>
          <w:sz w:val="16"/>
          <w:szCs w:val="16"/>
          <w:lang w:val="fr-BE"/>
        </w:rPr>
      </w:pPr>
      <w:r>
        <w:rPr>
          <w:rStyle w:val="Appelnotedebasdep"/>
          <w:sz w:val="16"/>
          <w:szCs w:val="16"/>
        </w:rPr>
        <w:footnoteRef/>
      </w:r>
      <w:r>
        <w:rPr>
          <w:sz w:val="16"/>
          <w:szCs w:val="16"/>
        </w:rPr>
        <w:t xml:space="preserve"> Sans application des coefficients.</w:t>
      </w:r>
    </w:p>
  </w:footnote>
  <w:footnote w:id="104">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 xml:space="preserve">Compléter l’année d’études primaire concernée. </w:t>
      </w:r>
    </w:p>
  </w:footnote>
  <w:footnote w:id="105">
    <w:p>
      <w:pPr>
        <w:pStyle w:val="Notedebasdepage"/>
        <w:rPr>
          <w:lang w:val="fr-BE"/>
        </w:rPr>
      </w:pPr>
      <w:r>
        <w:rPr>
          <w:rStyle w:val="Appelnotedebasdep"/>
          <w:sz w:val="16"/>
          <w:szCs w:val="16"/>
        </w:rPr>
        <w:footnoteRef/>
      </w:r>
      <w:r>
        <w:rPr>
          <w:sz w:val="16"/>
          <w:szCs w:val="16"/>
        </w:rPr>
        <w:t xml:space="preserve"> </w:t>
      </w:r>
      <w:r>
        <w:rPr>
          <w:sz w:val="16"/>
          <w:szCs w:val="16"/>
          <w:lang w:val="fr-BE"/>
        </w:rPr>
        <w:t>Biffer la mention inutile.</w:t>
      </w:r>
    </w:p>
  </w:footnote>
  <w:footnote w:id="106">
    <w:p>
      <w:pPr>
        <w:pStyle w:val="Notedebasdepage"/>
        <w:rPr>
          <w:lang w:val="fr-BE"/>
        </w:rPr>
      </w:pPr>
      <w:r>
        <w:rPr>
          <w:rStyle w:val="Appelnotedebasdep"/>
          <w:sz w:val="16"/>
          <w:szCs w:val="16"/>
        </w:rPr>
        <w:footnoteRef/>
      </w:r>
      <w:r>
        <w:rPr>
          <w:sz w:val="16"/>
          <w:szCs w:val="16"/>
        </w:rPr>
        <w:t xml:space="preserve"> </w:t>
      </w:r>
      <w:r>
        <w:rPr>
          <w:sz w:val="16"/>
          <w:szCs w:val="16"/>
          <w:lang w:val="fr-BE"/>
        </w:rPr>
        <w:t>Biffer la mention inutile.</w:t>
      </w:r>
    </w:p>
  </w:footnote>
  <w:footnote w:id="107">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08">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09">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l’élève</w:t>
      </w:r>
    </w:p>
  </w:footnote>
  <w:footnote w:id="110">
    <w:p>
      <w:pPr>
        <w:pStyle w:val="Notedebasdepage"/>
        <w:rPr>
          <w:lang w:val="fr-BE"/>
        </w:rPr>
      </w:pPr>
      <w:r>
        <w:rPr>
          <w:rStyle w:val="Appelnotedebasdep"/>
          <w:sz w:val="16"/>
          <w:szCs w:val="16"/>
        </w:rPr>
        <w:footnoteRef/>
      </w:r>
      <w:r>
        <w:rPr>
          <w:sz w:val="16"/>
          <w:szCs w:val="16"/>
        </w:rPr>
        <w:t xml:space="preserve"> </w:t>
      </w:r>
      <w:r>
        <w:rPr>
          <w:sz w:val="16"/>
          <w:szCs w:val="16"/>
          <w:lang w:val="fr-BE"/>
        </w:rPr>
        <w:t>Lieu de naissance de l’élève</w:t>
      </w:r>
    </w:p>
  </w:footnote>
  <w:footnote w:id="111">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12">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 w:id="113">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Nom, Prénom</w:t>
      </w:r>
    </w:p>
  </w:footnote>
  <w:footnote w:id="114">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Date de naissance de l’enfant</w:t>
      </w:r>
    </w:p>
  </w:footnote>
  <w:footnote w:id="115">
    <w:p>
      <w:pPr>
        <w:pStyle w:val="Notedebasdepage"/>
        <w:rPr>
          <w:sz w:val="16"/>
          <w:szCs w:val="16"/>
          <w:lang w:val="fr-BE"/>
        </w:rPr>
      </w:pPr>
      <w:r>
        <w:rPr>
          <w:rStyle w:val="Appelnotedebasdep"/>
          <w:sz w:val="16"/>
          <w:szCs w:val="16"/>
        </w:rPr>
        <w:footnoteRef/>
      </w:r>
      <w:r>
        <w:rPr>
          <w:sz w:val="16"/>
          <w:szCs w:val="16"/>
        </w:rPr>
        <w:t xml:space="preserve"> </w:t>
      </w:r>
      <w:r>
        <w:rPr>
          <w:sz w:val="16"/>
          <w:szCs w:val="16"/>
          <w:lang w:val="fr-BE"/>
        </w:rPr>
        <w:t>Lieu de naissance de l’enfant</w:t>
      </w:r>
    </w:p>
  </w:footnote>
  <w:footnote w:id="116">
    <w:p>
      <w:pPr>
        <w:pStyle w:val="Notedebasdepage"/>
        <w:rPr>
          <w:lang w:val="fr-BE"/>
        </w:rPr>
      </w:pPr>
      <w:r>
        <w:rPr>
          <w:rStyle w:val="Appelnotedebasdep"/>
          <w:sz w:val="16"/>
          <w:szCs w:val="16"/>
        </w:rPr>
        <w:footnoteRef/>
      </w:r>
      <w:r>
        <w:rPr>
          <w:sz w:val="16"/>
          <w:szCs w:val="16"/>
        </w:rPr>
        <w:t xml:space="preserve"> </w:t>
      </w:r>
      <w:r>
        <w:rPr>
          <w:sz w:val="16"/>
          <w:szCs w:val="16"/>
          <w:lang w:val="fr-BE"/>
        </w:rPr>
        <w:t>Biffer les mentions inutiles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pt;height:9.3pt" o:bullet="t">
        <v:imagedata r:id="rId1" o:title="BD15061_"/>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3B243D90"/>
    <w:lvl w:ilvl="0">
      <w:start w:val="1"/>
      <w:numFmt w:val="decimal"/>
      <w:isLgl/>
      <w:lvlText w:val="%1."/>
      <w:lvlJc w:val="left"/>
      <w:pPr>
        <w:tabs>
          <w:tab w:val="num" w:pos="363"/>
        </w:tabs>
        <w:ind w:left="363" w:firstLine="357"/>
      </w:pPr>
      <w:rPr>
        <w:rFonts w:hint="default"/>
        <w:color w:val="000000"/>
        <w:position w:val="0"/>
        <w:sz w:val="22"/>
      </w:rPr>
    </w:lvl>
    <w:lvl w:ilvl="1">
      <w:start w:val="1"/>
      <w:numFmt w:val="lowerLetter"/>
      <w:lvlText w:val="%2."/>
      <w:lvlJc w:val="left"/>
      <w:pPr>
        <w:tabs>
          <w:tab w:val="num" w:pos="360"/>
        </w:tabs>
        <w:ind w:left="360" w:firstLine="1080"/>
      </w:pPr>
      <w:rPr>
        <w:rFonts w:hint="default"/>
        <w:color w:val="000000"/>
        <w:position w:val="0"/>
        <w:sz w:val="22"/>
      </w:rPr>
    </w:lvl>
    <w:lvl w:ilvl="2">
      <w:start w:val="1"/>
      <w:numFmt w:val="lowerRoman"/>
      <w:lvlText w:val="%3."/>
      <w:lvlJc w:val="left"/>
      <w:pPr>
        <w:tabs>
          <w:tab w:val="num" w:pos="360"/>
        </w:tabs>
        <w:ind w:left="360" w:firstLine="1800"/>
      </w:pPr>
      <w:rPr>
        <w:rFonts w:hint="default"/>
        <w:color w:val="000000"/>
        <w:position w:val="0"/>
        <w:sz w:val="22"/>
      </w:rPr>
    </w:lvl>
    <w:lvl w:ilvl="3">
      <w:start w:val="1"/>
      <w:numFmt w:val="decimal"/>
      <w:isLgl/>
      <w:lvlText w:val="%4."/>
      <w:lvlJc w:val="left"/>
      <w:pPr>
        <w:tabs>
          <w:tab w:val="num" w:pos="360"/>
        </w:tabs>
        <w:ind w:left="360" w:firstLine="2520"/>
      </w:pPr>
      <w:rPr>
        <w:rFonts w:ascii="Arial" w:eastAsia="Times New Roman" w:hAnsi="Arial" w:cs="Arial" w:hint="default"/>
        <w:color w:val="000000"/>
        <w:position w:val="0"/>
        <w:sz w:val="22"/>
      </w:rPr>
    </w:lvl>
    <w:lvl w:ilvl="4">
      <w:start w:val="1"/>
      <w:numFmt w:val="lowerLetter"/>
      <w:lvlText w:val="%5."/>
      <w:lvlJc w:val="left"/>
      <w:pPr>
        <w:tabs>
          <w:tab w:val="num" w:pos="360"/>
        </w:tabs>
        <w:ind w:left="360" w:firstLine="3240"/>
      </w:pPr>
      <w:rPr>
        <w:rFonts w:hint="default"/>
        <w:color w:val="000000"/>
        <w:position w:val="0"/>
        <w:sz w:val="22"/>
      </w:rPr>
    </w:lvl>
    <w:lvl w:ilvl="5">
      <w:start w:val="1"/>
      <w:numFmt w:val="lowerRoman"/>
      <w:lvlText w:val="%6."/>
      <w:lvlJc w:val="left"/>
      <w:pPr>
        <w:tabs>
          <w:tab w:val="num" w:pos="360"/>
        </w:tabs>
        <w:ind w:left="360" w:firstLine="3960"/>
      </w:pPr>
      <w:rPr>
        <w:rFonts w:hint="default"/>
        <w:color w:val="000000"/>
        <w:position w:val="0"/>
        <w:sz w:val="22"/>
      </w:rPr>
    </w:lvl>
    <w:lvl w:ilvl="6">
      <w:start w:val="1"/>
      <w:numFmt w:val="decimal"/>
      <w:isLgl/>
      <w:lvlText w:val="%7."/>
      <w:lvlJc w:val="left"/>
      <w:pPr>
        <w:tabs>
          <w:tab w:val="num" w:pos="360"/>
        </w:tabs>
        <w:ind w:left="360" w:firstLine="4680"/>
      </w:pPr>
      <w:rPr>
        <w:rFonts w:hint="default"/>
        <w:color w:val="000000"/>
        <w:position w:val="0"/>
        <w:sz w:val="22"/>
      </w:rPr>
    </w:lvl>
    <w:lvl w:ilvl="7">
      <w:start w:val="1"/>
      <w:numFmt w:val="lowerLetter"/>
      <w:lvlText w:val="%8."/>
      <w:lvlJc w:val="left"/>
      <w:pPr>
        <w:tabs>
          <w:tab w:val="num" w:pos="360"/>
        </w:tabs>
        <w:ind w:left="360" w:firstLine="5400"/>
      </w:pPr>
      <w:rPr>
        <w:rFonts w:hint="default"/>
        <w:color w:val="000000"/>
        <w:position w:val="0"/>
        <w:sz w:val="22"/>
      </w:rPr>
    </w:lvl>
    <w:lvl w:ilvl="8">
      <w:start w:val="1"/>
      <w:numFmt w:val="lowerRoman"/>
      <w:lvlText w:val="%9."/>
      <w:lvlJc w:val="left"/>
      <w:pPr>
        <w:tabs>
          <w:tab w:val="num" w:pos="360"/>
        </w:tabs>
        <w:ind w:left="360" w:firstLine="6120"/>
      </w:pPr>
      <w:rPr>
        <w:rFonts w:hint="default"/>
        <w:color w:val="000000"/>
        <w:position w:val="0"/>
        <w:sz w:val="22"/>
      </w:rPr>
    </w:lvl>
  </w:abstractNum>
  <w:abstractNum w:abstractNumId="2" w15:restartNumberingAfterBreak="0">
    <w:nsid w:val="000000F5"/>
    <w:multiLevelType w:val="singleLevel"/>
    <w:tmpl w:val="000000F5"/>
    <w:name w:val="WW8Num245"/>
    <w:lvl w:ilvl="0">
      <w:start w:val="1"/>
      <w:numFmt w:val="bullet"/>
      <w:lvlText w:val=""/>
      <w:lvlJc w:val="left"/>
      <w:pPr>
        <w:tabs>
          <w:tab w:val="num" w:pos="360"/>
        </w:tabs>
        <w:ind w:left="360" w:hanging="360"/>
      </w:pPr>
      <w:rPr>
        <w:rFonts w:ascii="Wingdings" w:hAnsi="Wingdings" w:cs="Times New Roman"/>
      </w:rPr>
    </w:lvl>
  </w:abstractNum>
  <w:abstractNum w:abstractNumId="3" w15:restartNumberingAfterBreak="0">
    <w:nsid w:val="000C7422"/>
    <w:multiLevelType w:val="hybridMultilevel"/>
    <w:tmpl w:val="15304188"/>
    <w:lvl w:ilvl="0" w:tplc="E51E64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145703E"/>
    <w:multiLevelType w:val="hybridMultilevel"/>
    <w:tmpl w:val="8B3ABD54"/>
    <w:lvl w:ilvl="0" w:tplc="FFFFFFFF">
      <w:start w:val="1"/>
      <w:numFmt w:val="bullet"/>
      <w:lvlText w:val=""/>
      <w:lvlJc w:val="left"/>
      <w:pPr>
        <w:tabs>
          <w:tab w:val="num" w:pos="812"/>
        </w:tabs>
        <w:ind w:left="452" w:firstLine="0"/>
      </w:pPr>
      <w:rPr>
        <w:rFonts w:ascii="Symbol" w:hAnsi="Symbol" w:hint="default"/>
      </w:rPr>
    </w:lvl>
    <w:lvl w:ilvl="1" w:tplc="FFFFFFFF" w:tentative="1">
      <w:start w:val="1"/>
      <w:numFmt w:val="bullet"/>
      <w:lvlText w:val="o"/>
      <w:lvlJc w:val="left"/>
      <w:pPr>
        <w:tabs>
          <w:tab w:val="num" w:pos="1608"/>
        </w:tabs>
        <w:ind w:left="1608" w:hanging="360"/>
      </w:pPr>
      <w:rPr>
        <w:rFonts w:ascii="Courier New" w:hAnsi="Courier New" w:hint="default"/>
      </w:rPr>
    </w:lvl>
    <w:lvl w:ilvl="2" w:tplc="FFFFFFFF" w:tentative="1">
      <w:start w:val="1"/>
      <w:numFmt w:val="bullet"/>
      <w:lvlText w:val=""/>
      <w:lvlJc w:val="left"/>
      <w:pPr>
        <w:tabs>
          <w:tab w:val="num" w:pos="2328"/>
        </w:tabs>
        <w:ind w:left="2328" w:hanging="360"/>
      </w:pPr>
      <w:rPr>
        <w:rFonts w:ascii="Wingdings" w:hAnsi="Wingdings" w:hint="default"/>
      </w:rPr>
    </w:lvl>
    <w:lvl w:ilvl="3" w:tplc="FFFFFFFF" w:tentative="1">
      <w:start w:val="1"/>
      <w:numFmt w:val="bullet"/>
      <w:lvlText w:val=""/>
      <w:lvlJc w:val="left"/>
      <w:pPr>
        <w:tabs>
          <w:tab w:val="num" w:pos="3048"/>
        </w:tabs>
        <w:ind w:left="3048" w:hanging="360"/>
      </w:pPr>
      <w:rPr>
        <w:rFonts w:ascii="Symbol" w:hAnsi="Symbol" w:hint="default"/>
      </w:rPr>
    </w:lvl>
    <w:lvl w:ilvl="4" w:tplc="FFFFFFFF" w:tentative="1">
      <w:start w:val="1"/>
      <w:numFmt w:val="bullet"/>
      <w:lvlText w:val="o"/>
      <w:lvlJc w:val="left"/>
      <w:pPr>
        <w:tabs>
          <w:tab w:val="num" w:pos="3768"/>
        </w:tabs>
        <w:ind w:left="3768" w:hanging="360"/>
      </w:pPr>
      <w:rPr>
        <w:rFonts w:ascii="Courier New" w:hAnsi="Courier New" w:hint="default"/>
      </w:rPr>
    </w:lvl>
    <w:lvl w:ilvl="5" w:tplc="FFFFFFFF" w:tentative="1">
      <w:start w:val="1"/>
      <w:numFmt w:val="bullet"/>
      <w:lvlText w:val=""/>
      <w:lvlJc w:val="left"/>
      <w:pPr>
        <w:tabs>
          <w:tab w:val="num" w:pos="4488"/>
        </w:tabs>
        <w:ind w:left="4488" w:hanging="360"/>
      </w:pPr>
      <w:rPr>
        <w:rFonts w:ascii="Wingdings" w:hAnsi="Wingdings" w:hint="default"/>
      </w:rPr>
    </w:lvl>
    <w:lvl w:ilvl="6" w:tplc="FFFFFFFF" w:tentative="1">
      <w:start w:val="1"/>
      <w:numFmt w:val="bullet"/>
      <w:lvlText w:val=""/>
      <w:lvlJc w:val="left"/>
      <w:pPr>
        <w:tabs>
          <w:tab w:val="num" w:pos="5208"/>
        </w:tabs>
        <w:ind w:left="5208" w:hanging="360"/>
      </w:pPr>
      <w:rPr>
        <w:rFonts w:ascii="Symbol" w:hAnsi="Symbol" w:hint="default"/>
      </w:rPr>
    </w:lvl>
    <w:lvl w:ilvl="7" w:tplc="FFFFFFFF" w:tentative="1">
      <w:start w:val="1"/>
      <w:numFmt w:val="bullet"/>
      <w:lvlText w:val="o"/>
      <w:lvlJc w:val="left"/>
      <w:pPr>
        <w:tabs>
          <w:tab w:val="num" w:pos="5928"/>
        </w:tabs>
        <w:ind w:left="5928" w:hanging="360"/>
      </w:pPr>
      <w:rPr>
        <w:rFonts w:ascii="Courier New" w:hAnsi="Courier New" w:hint="default"/>
      </w:rPr>
    </w:lvl>
    <w:lvl w:ilvl="8" w:tplc="FFFFFFFF" w:tentative="1">
      <w:start w:val="1"/>
      <w:numFmt w:val="bullet"/>
      <w:lvlText w:val=""/>
      <w:lvlJc w:val="left"/>
      <w:pPr>
        <w:tabs>
          <w:tab w:val="num" w:pos="6648"/>
        </w:tabs>
        <w:ind w:left="6648" w:hanging="360"/>
      </w:pPr>
      <w:rPr>
        <w:rFonts w:ascii="Wingdings" w:hAnsi="Wingdings" w:hint="default"/>
      </w:rPr>
    </w:lvl>
  </w:abstractNum>
  <w:abstractNum w:abstractNumId="5" w15:restartNumberingAfterBreak="0">
    <w:nsid w:val="01C936EF"/>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2EB19C0"/>
    <w:multiLevelType w:val="hybridMultilevel"/>
    <w:tmpl w:val="1EA62244"/>
    <w:lvl w:ilvl="0" w:tplc="FFFFFFFF">
      <w:start w:val="1"/>
      <w:numFmt w:val="bullet"/>
      <w:lvlText w:val=""/>
      <w:lvlJc w:val="left"/>
      <w:pPr>
        <w:tabs>
          <w:tab w:val="num" w:pos="1440"/>
        </w:tabs>
        <w:ind w:left="1440"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45572B1"/>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04781222"/>
    <w:multiLevelType w:val="hybridMultilevel"/>
    <w:tmpl w:val="BA86389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54A0B04"/>
    <w:multiLevelType w:val="hybridMultilevel"/>
    <w:tmpl w:val="B06CB56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4C5265"/>
    <w:multiLevelType w:val="hybridMultilevel"/>
    <w:tmpl w:val="9FDAF5A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571CE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07D81943"/>
    <w:multiLevelType w:val="hybridMultilevel"/>
    <w:tmpl w:val="BCC4346A"/>
    <w:lvl w:ilvl="0" w:tplc="A9FCA0CE">
      <w:start w:val="1"/>
      <w:numFmt w:val="bullet"/>
      <w:lvlText w:val=" "/>
      <w:lvlJc w:val="left"/>
      <w:pPr>
        <w:tabs>
          <w:tab w:val="num" w:pos="1068"/>
        </w:tabs>
        <w:ind w:left="1068" w:hanging="360"/>
      </w:pPr>
      <w:rPr>
        <w:rFonts w:ascii="Arial" w:hAnsi="Arial" w:hint="default"/>
      </w:rPr>
    </w:lvl>
    <w:lvl w:ilvl="1" w:tplc="040C0003" w:tentative="1">
      <w:start w:val="1"/>
      <w:numFmt w:val="bullet"/>
      <w:lvlText w:val="o"/>
      <w:lvlJc w:val="left"/>
      <w:pPr>
        <w:tabs>
          <w:tab w:val="num" w:pos="2148"/>
        </w:tabs>
        <w:ind w:left="2148" w:hanging="360"/>
      </w:pPr>
      <w:rPr>
        <w:rFonts w:ascii="Courier New" w:hAnsi="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08F54F0B"/>
    <w:multiLevelType w:val="hybridMultilevel"/>
    <w:tmpl w:val="B532F710"/>
    <w:lvl w:ilvl="0" w:tplc="929CDE18">
      <w:start w:val="1"/>
      <w:numFmt w:val="bullet"/>
      <w:lvlText w:val=""/>
      <w:lvlJc w:val="left"/>
      <w:pPr>
        <w:tabs>
          <w:tab w:val="num" w:pos="360"/>
        </w:tabs>
        <w:ind w:left="360" w:firstLine="0"/>
      </w:pPr>
      <w:rPr>
        <w:rFonts w:ascii="Symbol" w:hAnsi="Symbol" w:hint="default"/>
      </w:rPr>
    </w:lvl>
    <w:lvl w:ilvl="1" w:tplc="F6C4758E">
      <w:start w:val="1"/>
      <w:numFmt w:val="bullet"/>
      <w:lvlText w:val=""/>
      <w:lvlJc w:val="left"/>
      <w:pPr>
        <w:tabs>
          <w:tab w:val="num" w:pos="720"/>
        </w:tabs>
        <w:ind w:left="720" w:hanging="360"/>
      </w:pPr>
      <w:rPr>
        <w:rFonts w:ascii="Wingdings" w:hAnsi="Wingdings" w:hint="default"/>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0A06315F"/>
    <w:multiLevelType w:val="hybridMultilevel"/>
    <w:tmpl w:val="9CD2C406"/>
    <w:lvl w:ilvl="0" w:tplc="040C0001">
      <w:start w:val="1"/>
      <w:numFmt w:val="bullet"/>
      <w:lvlText w:val=""/>
      <w:lvlJc w:val="left"/>
      <w:pPr>
        <w:tabs>
          <w:tab w:val="num" w:pos="720"/>
        </w:tabs>
        <w:ind w:left="720" w:hanging="360"/>
      </w:pPr>
      <w:rPr>
        <w:rFonts w:ascii="Symbol" w:hAnsi="Symbol" w:hint="default"/>
      </w:rPr>
    </w:lvl>
    <w:lvl w:ilvl="1" w:tplc="E1749DF4">
      <w:start w:val="1"/>
      <w:numFmt w:val="upperLetter"/>
      <w:lvlText w:val="%2."/>
      <w:lvlJc w:val="left"/>
      <w:pPr>
        <w:tabs>
          <w:tab w:val="num" w:pos="1800"/>
        </w:tabs>
        <w:ind w:left="1800" w:hanging="360"/>
      </w:pPr>
      <w:rPr>
        <w:rFonts w:hint="default"/>
        <w:b/>
      </w:rPr>
    </w:lvl>
    <w:lvl w:ilvl="2" w:tplc="FD7E5204">
      <w:start w:val="1"/>
      <w:numFmt w:val="decimal"/>
      <w:lvlText w:val="%3."/>
      <w:lvlJc w:val="left"/>
      <w:pPr>
        <w:tabs>
          <w:tab w:val="num" w:pos="2160"/>
        </w:tabs>
        <w:ind w:left="2160" w:hanging="360"/>
      </w:pPr>
      <w:rPr>
        <w:rFonts w:hint="default"/>
      </w:rPr>
    </w:lvl>
    <w:lvl w:ilvl="3" w:tplc="040C000F">
      <w:start w:val="1"/>
      <w:numFmt w:val="decimal"/>
      <w:lvlText w:val="%4."/>
      <w:lvlJc w:val="left"/>
      <w:pPr>
        <w:tabs>
          <w:tab w:val="num" w:pos="2880"/>
        </w:tabs>
        <w:ind w:left="2880" w:hanging="360"/>
      </w:pPr>
      <w:rPr>
        <w:rFonts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A1E64E0"/>
    <w:multiLevelType w:val="hybridMultilevel"/>
    <w:tmpl w:val="52BEB404"/>
    <w:lvl w:ilvl="0" w:tplc="040C0001">
      <w:start w:val="1"/>
      <w:numFmt w:val="bullet"/>
      <w:lvlText w:val=""/>
      <w:lvlJc w:val="left"/>
      <w:pPr>
        <w:tabs>
          <w:tab w:val="num" w:pos="1260"/>
        </w:tabs>
        <w:ind w:left="1260" w:hanging="360"/>
      </w:pPr>
      <w:rPr>
        <w:rFonts w:ascii="Symbol" w:hAnsi="Symbol"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0A2B3AA3"/>
    <w:multiLevelType w:val="hybridMultilevel"/>
    <w:tmpl w:val="A27851F8"/>
    <w:lvl w:ilvl="0" w:tplc="FFFFFFFF">
      <w:start w:val="1"/>
      <w:numFmt w:val="bullet"/>
      <w:lvlText w:val=""/>
      <w:lvlJc w:val="left"/>
      <w:pPr>
        <w:tabs>
          <w:tab w:val="num" w:pos="1004"/>
        </w:tabs>
        <w:ind w:left="1004" w:hanging="360"/>
      </w:pPr>
      <w:rPr>
        <w:rFonts w:ascii="Wingdings" w:hAnsi="Wingdings" w:hint="default"/>
        <w:sz w:val="16"/>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0A907A5F"/>
    <w:multiLevelType w:val="hybridMultilevel"/>
    <w:tmpl w:val="39CA723C"/>
    <w:lvl w:ilvl="0" w:tplc="0128C3C0">
      <w:start w:val="1"/>
      <w:numFmt w:val="bullet"/>
      <w:lvlText w:val="□"/>
      <w:lvlJc w:val="left"/>
      <w:pPr>
        <w:tabs>
          <w:tab w:val="num" w:pos="360"/>
        </w:tabs>
        <w:ind w:left="360" w:hanging="360"/>
      </w:pPr>
      <w:rPr>
        <w:rFonts w:ascii="Arial" w:eastAsia="Times New Roman" w:hAnsi="Arial" w:hint="default"/>
        <w:sz w:val="36"/>
        <w:szCs w:val="36"/>
      </w:rPr>
    </w:lvl>
    <w:lvl w:ilvl="1" w:tplc="040C0003">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B126EE1"/>
    <w:multiLevelType w:val="hybridMultilevel"/>
    <w:tmpl w:val="F75C3062"/>
    <w:lvl w:ilvl="0" w:tplc="FFFFFFFF">
      <w:start w:val="1"/>
      <w:numFmt w:val="bullet"/>
      <w:lvlText w:val=""/>
      <w:lvlJc w:val="left"/>
      <w:pPr>
        <w:tabs>
          <w:tab w:val="num" w:pos="1004"/>
        </w:tabs>
        <w:ind w:left="1004" w:hanging="360"/>
      </w:pPr>
      <w:rPr>
        <w:rFonts w:ascii="Wingdings" w:hAnsi="Wingdings" w:hint="default"/>
      </w:rPr>
    </w:lvl>
    <w:lvl w:ilvl="1" w:tplc="FFFFFFFF">
      <w:start w:val="1"/>
      <w:numFmt w:val="bullet"/>
      <w:lvlText w:val=""/>
      <w:lvlJc w:val="left"/>
      <w:pPr>
        <w:tabs>
          <w:tab w:val="num" w:pos="1724"/>
        </w:tabs>
        <w:ind w:left="1724" w:hanging="360"/>
      </w:pPr>
      <w:rPr>
        <w:rFonts w:ascii="Wingdings 2" w:hAnsi="Wingdings 2" w:hint="default"/>
      </w:rPr>
    </w:lvl>
    <w:lvl w:ilvl="2" w:tplc="FFFFFFFF">
      <w:start w:val="1"/>
      <w:numFmt w:val="bullet"/>
      <w:lvlText w:val=""/>
      <w:lvlJc w:val="left"/>
      <w:pPr>
        <w:tabs>
          <w:tab w:val="num" w:pos="2444"/>
        </w:tabs>
        <w:ind w:left="2444" w:hanging="360"/>
      </w:pPr>
      <w:rPr>
        <w:rFonts w:ascii="Wingdings" w:hAnsi="Wingdings" w:hint="default"/>
        <w:sz w:val="16"/>
      </w:rPr>
    </w:lvl>
    <w:lvl w:ilvl="3" w:tplc="FFFFFFFF">
      <w:start w:val="1"/>
      <w:numFmt w:val="bullet"/>
      <w:lvlText w:val=""/>
      <w:lvlJc w:val="left"/>
      <w:pPr>
        <w:tabs>
          <w:tab w:val="num" w:pos="3164"/>
        </w:tabs>
        <w:ind w:left="3164" w:hanging="360"/>
      </w:pPr>
      <w:rPr>
        <w:rFonts w:ascii="Wingdings 2" w:hAnsi="Wingdings 2" w:hint="default"/>
      </w:rPr>
    </w:lvl>
    <w:lvl w:ilvl="4" w:tplc="FFFFFFFF">
      <w:start w:val="1"/>
      <w:numFmt w:val="bullet"/>
      <w:lvlText w:val=""/>
      <w:lvlJc w:val="left"/>
      <w:pPr>
        <w:tabs>
          <w:tab w:val="num" w:pos="3884"/>
        </w:tabs>
        <w:ind w:left="3884" w:hanging="360"/>
      </w:pPr>
      <w:rPr>
        <w:rFonts w:ascii="Wingdings" w:hAnsi="Wingdings" w:hint="default"/>
        <w:sz w:val="16"/>
      </w:rPr>
    </w:lvl>
    <w:lvl w:ilvl="5" w:tplc="FFFFFFFF">
      <w:start w:val="1"/>
      <w:numFmt w:val="bullet"/>
      <w:lvlText w:val=""/>
      <w:lvlJc w:val="left"/>
      <w:pPr>
        <w:tabs>
          <w:tab w:val="num" w:pos="4604"/>
        </w:tabs>
        <w:ind w:left="4604" w:hanging="360"/>
      </w:pPr>
      <w:rPr>
        <w:rFonts w:ascii="Wingdings 2" w:hAnsi="Wingdings 2"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0B381872"/>
    <w:multiLevelType w:val="hybridMultilevel"/>
    <w:tmpl w:val="E2A0B6EC"/>
    <w:lvl w:ilvl="0" w:tplc="15BE8736">
      <w:start w:val="1"/>
      <w:numFmt w:val="decimal"/>
      <w:lvlText w:val="%1."/>
      <w:lvlJc w:val="left"/>
      <w:pPr>
        <w:tabs>
          <w:tab w:val="num" w:pos="720"/>
        </w:tabs>
        <w:ind w:left="720" w:hanging="360"/>
      </w:pPr>
      <w:rPr>
        <w:rFonts w:hint="default"/>
      </w:rPr>
    </w:lvl>
    <w:lvl w:ilvl="1" w:tplc="BFF0D716">
      <w:numFmt w:val="none"/>
      <w:lvlText w:val=""/>
      <w:lvlJc w:val="left"/>
      <w:pPr>
        <w:tabs>
          <w:tab w:val="num" w:pos="360"/>
        </w:tabs>
      </w:pPr>
    </w:lvl>
    <w:lvl w:ilvl="2" w:tplc="E3ACE154">
      <w:numFmt w:val="none"/>
      <w:lvlText w:val=""/>
      <w:lvlJc w:val="left"/>
      <w:pPr>
        <w:tabs>
          <w:tab w:val="num" w:pos="360"/>
        </w:tabs>
      </w:pPr>
    </w:lvl>
    <w:lvl w:ilvl="3" w:tplc="D688E1A2">
      <w:numFmt w:val="none"/>
      <w:lvlText w:val=""/>
      <w:lvlJc w:val="left"/>
      <w:pPr>
        <w:tabs>
          <w:tab w:val="num" w:pos="360"/>
        </w:tabs>
      </w:pPr>
    </w:lvl>
    <w:lvl w:ilvl="4" w:tplc="AFDC34C4">
      <w:numFmt w:val="none"/>
      <w:lvlText w:val=""/>
      <w:lvlJc w:val="left"/>
      <w:pPr>
        <w:tabs>
          <w:tab w:val="num" w:pos="360"/>
        </w:tabs>
      </w:pPr>
    </w:lvl>
    <w:lvl w:ilvl="5" w:tplc="B5C286CC">
      <w:numFmt w:val="none"/>
      <w:lvlText w:val=""/>
      <w:lvlJc w:val="left"/>
      <w:pPr>
        <w:tabs>
          <w:tab w:val="num" w:pos="360"/>
        </w:tabs>
      </w:pPr>
    </w:lvl>
    <w:lvl w:ilvl="6" w:tplc="A98CDF38">
      <w:numFmt w:val="none"/>
      <w:lvlText w:val=""/>
      <w:lvlJc w:val="left"/>
      <w:pPr>
        <w:tabs>
          <w:tab w:val="num" w:pos="360"/>
        </w:tabs>
      </w:pPr>
    </w:lvl>
    <w:lvl w:ilvl="7" w:tplc="296C61CE">
      <w:numFmt w:val="none"/>
      <w:lvlText w:val=""/>
      <w:lvlJc w:val="left"/>
      <w:pPr>
        <w:tabs>
          <w:tab w:val="num" w:pos="360"/>
        </w:tabs>
      </w:pPr>
    </w:lvl>
    <w:lvl w:ilvl="8" w:tplc="7C507A34">
      <w:numFmt w:val="none"/>
      <w:lvlText w:val=""/>
      <w:lvlJc w:val="left"/>
      <w:pPr>
        <w:tabs>
          <w:tab w:val="num" w:pos="360"/>
        </w:tabs>
      </w:pPr>
    </w:lvl>
  </w:abstractNum>
  <w:abstractNum w:abstractNumId="20" w15:restartNumberingAfterBreak="0">
    <w:nsid w:val="0BED374A"/>
    <w:multiLevelType w:val="hybridMultilevel"/>
    <w:tmpl w:val="8D36F61A"/>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D2B6ECF"/>
    <w:multiLevelType w:val="hybridMultilevel"/>
    <w:tmpl w:val="A956EF54"/>
    <w:lvl w:ilvl="0" w:tplc="040C0001">
      <w:start w:val="1"/>
      <w:numFmt w:val="bullet"/>
      <w:lvlText w:val=""/>
      <w:lvlJc w:val="left"/>
      <w:pPr>
        <w:tabs>
          <w:tab w:val="num" w:pos="1077"/>
        </w:tabs>
        <w:ind w:left="107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22" w15:restartNumberingAfterBreak="0">
    <w:nsid w:val="0DB046AB"/>
    <w:multiLevelType w:val="hybridMultilevel"/>
    <w:tmpl w:val="85160D8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0DC323BF"/>
    <w:multiLevelType w:val="hybridMultilevel"/>
    <w:tmpl w:val="1D8E0FD6"/>
    <w:lvl w:ilvl="0" w:tplc="FFFFFFFF">
      <w:start w:val="1"/>
      <w:numFmt w:val="bullet"/>
      <w:lvlText w:val="o"/>
      <w:lvlJc w:val="left"/>
      <w:pPr>
        <w:ind w:left="720" w:hanging="360"/>
      </w:pPr>
      <w:rPr>
        <w:rFonts w:ascii="Courier New" w:hAnsi="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0DDF6363"/>
    <w:multiLevelType w:val="hybridMultilevel"/>
    <w:tmpl w:val="4746B064"/>
    <w:lvl w:ilvl="0" w:tplc="040C000F">
      <w:start w:val="1"/>
      <w:numFmt w:val="decimal"/>
      <w:lvlText w:val="%1."/>
      <w:lvlJc w:val="left"/>
      <w:pPr>
        <w:tabs>
          <w:tab w:val="num" w:pos="720"/>
        </w:tabs>
        <w:ind w:left="720" w:hanging="36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ECE16F5"/>
    <w:multiLevelType w:val="hybridMultilevel"/>
    <w:tmpl w:val="C9C889F8"/>
    <w:lvl w:ilvl="0" w:tplc="040C0001">
      <w:start w:val="1"/>
      <w:numFmt w:val="bullet"/>
      <w:lvlText w:val=""/>
      <w:lvlJc w:val="left"/>
      <w:pPr>
        <w:tabs>
          <w:tab w:val="num" w:pos="1077"/>
        </w:tabs>
        <w:ind w:left="1077" w:hanging="360"/>
      </w:pPr>
      <w:rPr>
        <w:rFonts w:ascii="Symbol" w:hAnsi="Symbol"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abstractNum w:abstractNumId="26" w15:restartNumberingAfterBreak="0">
    <w:nsid w:val="0F711AAF"/>
    <w:multiLevelType w:val="hybridMultilevel"/>
    <w:tmpl w:val="4746A15A"/>
    <w:lvl w:ilvl="0" w:tplc="273EF5B8">
      <w:start w:val="3"/>
      <w:numFmt w:val="bullet"/>
      <w:lvlText w:val=""/>
      <w:lvlJc w:val="left"/>
      <w:pPr>
        <w:ind w:left="720" w:hanging="360"/>
      </w:pPr>
      <w:rPr>
        <w:rFonts w:ascii="Symbol" w:eastAsia="Times New Roman"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7" w15:restartNumberingAfterBreak="0">
    <w:nsid w:val="0F852021"/>
    <w:multiLevelType w:val="hybridMultilevel"/>
    <w:tmpl w:val="895AD2D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F962282"/>
    <w:multiLevelType w:val="hybridMultilevel"/>
    <w:tmpl w:val="1742ABE4"/>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sz w:val="16"/>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0FD062D0"/>
    <w:multiLevelType w:val="hybridMultilevel"/>
    <w:tmpl w:val="301C0BBE"/>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numFmt w:val="bullet"/>
      <w:lvlText w:val="-"/>
      <w:lvlJc w:val="left"/>
      <w:pPr>
        <w:tabs>
          <w:tab w:val="num" w:pos="360"/>
        </w:tabs>
        <w:ind w:left="360" w:hanging="360"/>
      </w:pPr>
      <w:rPr>
        <w:rFonts w:ascii="Times New Roman" w:eastAsia="Times New Roman" w:hAnsi="Times New Roman" w:cs="Times New Roman" w:hint="default"/>
      </w:rPr>
    </w:lvl>
    <w:lvl w:ilvl="2" w:tplc="FFFFFFFF">
      <w:start w:val="1"/>
      <w:numFmt w:val="bullet"/>
      <w:lvlText w:val=""/>
      <w:lvlJc w:val="left"/>
      <w:pPr>
        <w:tabs>
          <w:tab w:val="num" w:pos="1080"/>
        </w:tabs>
        <w:ind w:left="1080" w:hanging="360"/>
      </w:pPr>
      <w:rPr>
        <w:rFonts w:ascii="Wingdings" w:hAnsi="Wingdings" w:hint="default"/>
      </w:rPr>
    </w:lvl>
    <w:lvl w:ilvl="3" w:tplc="FFFFFFFF">
      <w:start w:val="1"/>
      <w:numFmt w:val="bullet"/>
      <w:lvlText w:val=""/>
      <w:lvlJc w:val="left"/>
      <w:pPr>
        <w:tabs>
          <w:tab w:val="num" w:pos="1800"/>
        </w:tabs>
        <w:ind w:left="1800" w:hanging="360"/>
      </w:pPr>
      <w:rPr>
        <w:rFonts w:ascii="Symbol" w:hAnsi="Symbol" w:hint="default"/>
      </w:rPr>
    </w:lvl>
    <w:lvl w:ilvl="4" w:tplc="FFFFFFFF" w:tentative="1">
      <w:start w:val="1"/>
      <w:numFmt w:val="bullet"/>
      <w:lvlText w:val="o"/>
      <w:lvlJc w:val="left"/>
      <w:pPr>
        <w:tabs>
          <w:tab w:val="num" w:pos="2520"/>
        </w:tabs>
        <w:ind w:left="2520" w:hanging="360"/>
      </w:pPr>
      <w:rPr>
        <w:rFonts w:ascii="Courier New" w:hAnsi="Courier New" w:hint="default"/>
      </w:rPr>
    </w:lvl>
    <w:lvl w:ilvl="5" w:tplc="FFFFFFFF" w:tentative="1">
      <w:start w:val="1"/>
      <w:numFmt w:val="bullet"/>
      <w:lvlText w:val=""/>
      <w:lvlJc w:val="left"/>
      <w:pPr>
        <w:tabs>
          <w:tab w:val="num" w:pos="3240"/>
        </w:tabs>
        <w:ind w:left="3240" w:hanging="360"/>
      </w:pPr>
      <w:rPr>
        <w:rFonts w:ascii="Wingdings" w:hAnsi="Wingdings" w:hint="default"/>
      </w:rPr>
    </w:lvl>
    <w:lvl w:ilvl="6" w:tplc="FFFFFFFF" w:tentative="1">
      <w:start w:val="1"/>
      <w:numFmt w:val="bullet"/>
      <w:lvlText w:val=""/>
      <w:lvlJc w:val="left"/>
      <w:pPr>
        <w:tabs>
          <w:tab w:val="num" w:pos="3960"/>
        </w:tabs>
        <w:ind w:left="3960" w:hanging="360"/>
      </w:pPr>
      <w:rPr>
        <w:rFonts w:ascii="Symbol" w:hAnsi="Symbol" w:hint="default"/>
      </w:rPr>
    </w:lvl>
    <w:lvl w:ilvl="7" w:tplc="FFFFFFFF" w:tentative="1">
      <w:start w:val="1"/>
      <w:numFmt w:val="bullet"/>
      <w:lvlText w:val="o"/>
      <w:lvlJc w:val="left"/>
      <w:pPr>
        <w:tabs>
          <w:tab w:val="num" w:pos="4680"/>
        </w:tabs>
        <w:ind w:left="4680" w:hanging="360"/>
      </w:pPr>
      <w:rPr>
        <w:rFonts w:ascii="Courier New" w:hAnsi="Courier New" w:hint="default"/>
      </w:rPr>
    </w:lvl>
    <w:lvl w:ilvl="8" w:tplc="FFFFFFFF" w:tentative="1">
      <w:start w:val="1"/>
      <w:numFmt w:val="bullet"/>
      <w:lvlText w:val=""/>
      <w:lvlJc w:val="left"/>
      <w:pPr>
        <w:tabs>
          <w:tab w:val="num" w:pos="5400"/>
        </w:tabs>
        <w:ind w:left="5400" w:hanging="360"/>
      </w:pPr>
      <w:rPr>
        <w:rFonts w:ascii="Wingdings" w:hAnsi="Wingdings" w:hint="default"/>
      </w:rPr>
    </w:lvl>
  </w:abstractNum>
  <w:abstractNum w:abstractNumId="30" w15:restartNumberingAfterBreak="0">
    <w:nsid w:val="107167EF"/>
    <w:multiLevelType w:val="hybridMultilevel"/>
    <w:tmpl w:val="2E76EED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0B10E17"/>
    <w:multiLevelType w:val="hybridMultilevel"/>
    <w:tmpl w:val="6CCAF164"/>
    <w:lvl w:ilvl="0" w:tplc="040C0005">
      <w:start w:val="1"/>
      <w:numFmt w:val="bullet"/>
      <w:lvlText w:val=""/>
      <w:lvlJc w:val="left"/>
      <w:pPr>
        <w:tabs>
          <w:tab w:val="num" w:pos="1080"/>
        </w:tabs>
        <w:ind w:left="1080" w:hanging="360"/>
      </w:pPr>
      <w:rPr>
        <w:rFonts w:ascii="Wingdings" w:hAnsi="Wingdings"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10CD4E88"/>
    <w:multiLevelType w:val="hybridMultilevel"/>
    <w:tmpl w:val="E8A6EEA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D12246"/>
    <w:multiLevelType w:val="hybridMultilevel"/>
    <w:tmpl w:val="AC945CB0"/>
    <w:lvl w:ilvl="0" w:tplc="FFFFFFFF">
      <w:start w:val="1"/>
      <w:numFmt w:val="bullet"/>
      <w:lvlText w:val=""/>
      <w:lvlJc w:val="left"/>
      <w:pPr>
        <w:tabs>
          <w:tab w:val="num" w:pos="1260"/>
        </w:tabs>
        <w:ind w:left="1260" w:hanging="360"/>
      </w:pPr>
      <w:rPr>
        <w:rFonts w:ascii="Symbol" w:hAnsi="Symbol" w:hint="default"/>
        <w:sz w:val="16"/>
      </w:rPr>
    </w:lvl>
    <w:lvl w:ilvl="1" w:tplc="FFFFFFFF">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12045B03"/>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13502125"/>
    <w:multiLevelType w:val="hybridMultilevel"/>
    <w:tmpl w:val="8D36F61A"/>
    <w:lvl w:ilvl="0" w:tplc="040C0017">
      <w:start w:val="1"/>
      <w:numFmt w:val="lowerLetter"/>
      <w:lvlText w:val="%1)"/>
      <w:lvlJc w:val="left"/>
      <w:pPr>
        <w:tabs>
          <w:tab w:val="num" w:pos="720"/>
        </w:tabs>
        <w:ind w:left="720" w:hanging="360"/>
      </w:pPr>
    </w:lvl>
    <w:lvl w:ilvl="1" w:tplc="501EF67E" w:tentative="1">
      <w:start w:val="1"/>
      <w:numFmt w:val="bullet"/>
      <w:lvlText w:val="o"/>
      <w:lvlJc w:val="left"/>
      <w:pPr>
        <w:tabs>
          <w:tab w:val="num" w:pos="1440"/>
        </w:tabs>
        <w:ind w:left="1440" w:hanging="360"/>
      </w:pPr>
      <w:rPr>
        <w:rFonts w:ascii="Courier New" w:hAnsi="Courier New" w:hint="default"/>
      </w:rPr>
    </w:lvl>
    <w:lvl w:ilvl="2" w:tplc="05D40AF6" w:tentative="1">
      <w:start w:val="1"/>
      <w:numFmt w:val="bullet"/>
      <w:lvlText w:val=""/>
      <w:lvlJc w:val="left"/>
      <w:pPr>
        <w:tabs>
          <w:tab w:val="num" w:pos="2160"/>
        </w:tabs>
        <w:ind w:left="2160" w:hanging="360"/>
      </w:pPr>
      <w:rPr>
        <w:rFonts w:ascii="Wingdings" w:hAnsi="Wingdings" w:hint="default"/>
      </w:rPr>
    </w:lvl>
    <w:lvl w:ilvl="3" w:tplc="EFBE005E" w:tentative="1">
      <w:start w:val="1"/>
      <w:numFmt w:val="bullet"/>
      <w:lvlText w:val=""/>
      <w:lvlJc w:val="left"/>
      <w:pPr>
        <w:tabs>
          <w:tab w:val="num" w:pos="2880"/>
        </w:tabs>
        <w:ind w:left="2880" w:hanging="360"/>
      </w:pPr>
      <w:rPr>
        <w:rFonts w:ascii="Symbol" w:hAnsi="Symbol" w:hint="default"/>
      </w:rPr>
    </w:lvl>
    <w:lvl w:ilvl="4" w:tplc="75941234" w:tentative="1">
      <w:start w:val="1"/>
      <w:numFmt w:val="bullet"/>
      <w:lvlText w:val="o"/>
      <w:lvlJc w:val="left"/>
      <w:pPr>
        <w:tabs>
          <w:tab w:val="num" w:pos="3600"/>
        </w:tabs>
        <w:ind w:left="3600" w:hanging="360"/>
      </w:pPr>
      <w:rPr>
        <w:rFonts w:ascii="Courier New" w:hAnsi="Courier New" w:hint="default"/>
      </w:rPr>
    </w:lvl>
    <w:lvl w:ilvl="5" w:tplc="90F4737E" w:tentative="1">
      <w:start w:val="1"/>
      <w:numFmt w:val="bullet"/>
      <w:lvlText w:val=""/>
      <w:lvlJc w:val="left"/>
      <w:pPr>
        <w:tabs>
          <w:tab w:val="num" w:pos="4320"/>
        </w:tabs>
        <w:ind w:left="4320" w:hanging="360"/>
      </w:pPr>
      <w:rPr>
        <w:rFonts w:ascii="Wingdings" w:hAnsi="Wingdings" w:hint="default"/>
      </w:rPr>
    </w:lvl>
    <w:lvl w:ilvl="6" w:tplc="45D2F1AE" w:tentative="1">
      <w:start w:val="1"/>
      <w:numFmt w:val="bullet"/>
      <w:lvlText w:val=""/>
      <w:lvlJc w:val="left"/>
      <w:pPr>
        <w:tabs>
          <w:tab w:val="num" w:pos="5040"/>
        </w:tabs>
        <w:ind w:left="5040" w:hanging="360"/>
      </w:pPr>
      <w:rPr>
        <w:rFonts w:ascii="Symbol" w:hAnsi="Symbol" w:hint="default"/>
      </w:rPr>
    </w:lvl>
    <w:lvl w:ilvl="7" w:tplc="4C8C0DE2" w:tentative="1">
      <w:start w:val="1"/>
      <w:numFmt w:val="bullet"/>
      <w:lvlText w:val="o"/>
      <w:lvlJc w:val="left"/>
      <w:pPr>
        <w:tabs>
          <w:tab w:val="num" w:pos="5760"/>
        </w:tabs>
        <w:ind w:left="5760" w:hanging="360"/>
      </w:pPr>
      <w:rPr>
        <w:rFonts w:ascii="Courier New" w:hAnsi="Courier New" w:hint="default"/>
      </w:rPr>
    </w:lvl>
    <w:lvl w:ilvl="8" w:tplc="DBBE8BF6"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3711418"/>
    <w:multiLevelType w:val="hybridMultilevel"/>
    <w:tmpl w:val="748817B6"/>
    <w:lvl w:ilvl="0" w:tplc="FFFFFFFF">
      <w:start w:val="1"/>
      <w:numFmt w:val="decimal"/>
      <w:lvlText w:val="%1."/>
      <w:lvlJc w:val="left"/>
      <w:pPr>
        <w:tabs>
          <w:tab w:val="num" w:pos="720"/>
        </w:tabs>
        <w:ind w:left="720" w:hanging="360"/>
      </w:pPr>
      <w:rPr>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14610DE5"/>
    <w:multiLevelType w:val="hybridMultilevel"/>
    <w:tmpl w:val="9F3C2AA2"/>
    <w:lvl w:ilvl="0" w:tplc="D3D63902">
      <w:numFmt w:val="bullet"/>
      <w:lvlText w:val=""/>
      <w:lvlJc w:val="left"/>
      <w:pPr>
        <w:tabs>
          <w:tab w:val="num" w:pos="720"/>
        </w:tabs>
        <w:ind w:left="720" w:hanging="360"/>
      </w:pPr>
      <w:rPr>
        <w:rFonts w:ascii="Symbol" w:eastAsia="Times New Roman" w:hAnsi="Symbol" w:cs="Arial" w:hint="default"/>
      </w:rPr>
    </w:lvl>
    <w:lvl w:ilvl="1" w:tplc="FFFFFFFF">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8" w15:restartNumberingAfterBreak="0">
    <w:nsid w:val="154479DA"/>
    <w:multiLevelType w:val="hybridMultilevel"/>
    <w:tmpl w:val="DE60B260"/>
    <w:lvl w:ilvl="0" w:tplc="040C0011">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5A1044E"/>
    <w:multiLevelType w:val="hybridMultilevel"/>
    <w:tmpl w:val="A83A4378"/>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0" w15:restartNumberingAfterBreak="0">
    <w:nsid w:val="15FE6198"/>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1" w15:restartNumberingAfterBreak="0">
    <w:nsid w:val="16D21B2A"/>
    <w:multiLevelType w:val="hybridMultilevel"/>
    <w:tmpl w:val="BC582A36"/>
    <w:lvl w:ilvl="0" w:tplc="0128C3C0">
      <w:start w:val="1"/>
      <w:numFmt w:val="bullet"/>
      <w:lvlText w:val="□"/>
      <w:lvlJc w:val="left"/>
      <w:pPr>
        <w:tabs>
          <w:tab w:val="num" w:pos="360"/>
        </w:tabs>
        <w:ind w:left="360" w:hanging="360"/>
      </w:pPr>
      <w:rPr>
        <w:rFonts w:ascii="Arial" w:eastAsia="Times New Roman" w:hAnsi="Arial" w:hint="default"/>
        <w:sz w:val="36"/>
        <w:szCs w:val="36"/>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2" w15:restartNumberingAfterBreak="0">
    <w:nsid w:val="17571FC6"/>
    <w:multiLevelType w:val="multilevel"/>
    <w:tmpl w:val="040C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3" w15:restartNumberingAfterBreak="0">
    <w:nsid w:val="17B51E00"/>
    <w:multiLevelType w:val="hybridMultilevel"/>
    <w:tmpl w:val="B97A1F3E"/>
    <w:lvl w:ilvl="0" w:tplc="E760CE8E">
      <w:start w:val="1"/>
      <w:numFmt w:val="decimal"/>
      <w:lvlText w:val="%1."/>
      <w:lvlJc w:val="left"/>
      <w:pPr>
        <w:tabs>
          <w:tab w:val="num" w:pos="1324"/>
        </w:tabs>
        <w:ind w:left="1324" w:hanging="360"/>
      </w:pPr>
    </w:lvl>
    <w:lvl w:ilvl="1" w:tplc="C91A6CE4">
      <w:numFmt w:val="none"/>
      <w:lvlText w:val=""/>
      <w:lvlJc w:val="left"/>
      <w:pPr>
        <w:tabs>
          <w:tab w:val="num" w:pos="360"/>
        </w:tabs>
      </w:pPr>
    </w:lvl>
    <w:lvl w:ilvl="2" w:tplc="093CBC0A">
      <w:numFmt w:val="none"/>
      <w:lvlText w:val=""/>
      <w:lvlJc w:val="left"/>
      <w:pPr>
        <w:tabs>
          <w:tab w:val="num" w:pos="360"/>
        </w:tabs>
      </w:pPr>
    </w:lvl>
    <w:lvl w:ilvl="3" w:tplc="45320012">
      <w:numFmt w:val="none"/>
      <w:lvlText w:val=""/>
      <w:lvlJc w:val="left"/>
      <w:pPr>
        <w:tabs>
          <w:tab w:val="num" w:pos="360"/>
        </w:tabs>
      </w:pPr>
    </w:lvl>
    <w:lvl w:ilvl="4" w:tplc="013A4D3A">
      <w:numFmt w:val="none"/>
      <w:lvlText w:val=""/>
      <w:lvlJc w:val="left"/>
      <w:pPr>
        <w:tabs>
          <w:tab w:val="num" w:pos="360"/>
        </w:tabs>
      </w:pPr>
    </w:lvl>
    <w:lvl w:ilvl="5" w:tplc="02D641BC">
      <w:numFmt w:val="none"/>
      <w:lvlText w:val=""/>
      <w:lvlJc w:val="left"/>
      <w:pPr>
        <w:tabs>
          <w:tab w:val="num" w:pos="360"/>
        </w:tabs>
      </w:pPr>
    </w:lvl>
    <w:lvl w:ilvl="6" w:tplc="1C9A8F42">
      <w:numFmt w:val="none"/>
      <w:lvlText w:val=""/>
      <w:lvlJc w:val="left"/>
      <w:pPr>
        <w:tabs>
          <w:tab w:val="num" w:pos="360"/>
        </w:tabs>
      </w:pPr>
    </w:lvl>
    <w:lvl w:ilvl="7" w:tplc="6D8E5292">
      <w:numFmt w:val="none"/>
      <w:lvlText w:val=""/>
      <w:lvlJc w:val="left"/>
      <w:pPr>
        <w:tabs>
          <w:tab w:val="num" w:pos="360"/>
        </w:tabs>
      </w:pPr>
    </w:lvl>
    <w:lvl w:ilvl="8" w:tplc="3D2ADD44">
      <w:numFmt w:val="none"/>
      <w:lvlText w:val=""/>
      <w:lvlJc w:val="left"/>
      <w:pPr>
        <w:tabs>
          <w:tab w:val="num" w:pos="360"/>
        </w:tabs>
      </w:pPr>
    </w:lvl>
  </w:abstractNum>
  <w:abstractNum w:abstractNumId="44" w15:restartNumberingAfterBreak="0">
    <w:nsid w:val="188557BE"/>
    <w:multiLevelType w:val="hybridMultilevel"/>
    <w:tmpl w:val="C69ABF34"/>
    <w:lvl w:ilvl="0" w:tplc="FFFFFFFF">
      <w:start w:val="1"/>
      <w:numFmt w:val="bullet"/>
      <w:lvlText w:val=""/>
      <w:lvlJc w:val="left"/>
      <w:pPr>
        <w:tabs>
          <w:tab w:val="num" w:pos="894"/>
        </w:tabs>
        <w:ind w:left="894" w:hanging="360"/>
      </w:pPr>
      <w:rPr>
        <w:rFonts w:ascii="Symbol" w:hAnsi="Symbol" w:hint="default"/>
        <w:sz w:val="16"/>
      </w:rPr>
    </w:lvl>
    <w:lvl w:ilvl="1" w:tplc="FFFFFFFF" w:tentative="1">
      <w:start w:val="1"/>
      <w:numFmt w:val="bullet"/>
      <w:lvlText w:val="o"/>
      <w:lvlJc w:val="left"/>
      <w:pPr>
        <w:tabs>
          <w:tab w:val="num" w:pos="894"/>
        </w:tabs>
        <w:ind w:left="894" w:hanging="360"/>
      </w:pPr>
      <w:rPr>
        <w:rFonts w:ascii="Courier New" w:hAnsi="Courier New" w:hint="default"/>
      </w:rPr>
    </w:lvl>
    <w:lvl w:ilvl="2" w:tplc="FFFFFFFF" w:tentative="1">
      <w:start w:val="1"/>
      <w:numFmt w:val="bullet"/>
      <w:lvlText w:val=""/>
      <w:lvlJc w:val="left"/>
      <w:pPr>
        <w:tabs>
          <w:tab w:val="num" w:pos="1614"/>
        </w:tabs>
        <w:ind w:left="1614" w:hanging="360"/>
      </w:pPr>
      <w:rPr>
        <w:rFonts w:ascii="Wingdings" w:hAnsi="Wingdings" w:hint="default"/>
      </w:rPr>
    </w:lvl>
    <w:lvl w:ilvl="3" w:tplc="FFFFFFFF" w:tentative="1">
      <w:start w:val="1"/>
      <w:numFmt w:val="bullet"/>
      <w:lvlText w:val=""/>
      <w:lvlJc w:val="left"/>
      <w:pPr>
        <w:tabs>
          <w:tab w:val="num" w:pos="2334"/>
        </w:tabs>
        <w:ind w:left="2334" w:hanging="360"/>
      </w:pPr>
      <w:rPr>
        <w:rFonts w:ascii="Symbol" w:hAnsi="Symbol" w:hint="default"/>
      </w:rPr>
    </w:lvl>
    <w:lvl w:ilvl="4" w:tplc="FFFFFFFF" w:tentative="1">
      <w:start w:val="1"/>
      <w:numFmt w:val="bullet"/>
      <w:lvlText w:val="o"/>
      <w:lvlJc w:val="left"/>
      <w:pPr>
        <w:tabs>
          <w:tab w:val="num" w:pos="3054"/>
        </w:tabs>
        <w:ind w:left="3054" w:hanging="360"/>
      </w:pPr>
      <w:rPr>
        <w:rFonts w:ascii="Courier New" w:hAnsi="Courier New" w:hint="default"/>
      </w:rPr>
    </w:lvl>
    <w:lvl w:ilvl="5" w:tplc="FFFFFFFF" w:tentative="1">
      <w:start w:val="1"/>
      <w:numFmt w:val="bullet"/>
      <w:lvlText w:val=""/>
      <w:lvlJc w:val="left"/>
      <w:pPr>
        <w:tabs>
          <w:tab w:val="num" w:pos="3774"/>
        </w:tabs>
        <w:ind w:left="3774" w:hanging="360"/>
      </w:pPr>
      <w:rPr>
        <w:rFonts w:ascii="Wingdings" w:hAnsi="Wingdings" w:hint="default"/>
      </w:rPr>
    </w:lvl>
    <w:lvl w:ilvl="6" w:tplc="FFFFFFFF" w:tentative="1">
      <w:start w:val="1"/>
      <w:numFmt w:val="bullet"/>
      <w:lvlText w:val=""/>
      <w:lvlJc w:val="left"/>
      <w:pPr>
        <w:tabs>
          <w:tab w:val="num" w:pos="4494"/>
        </w:tabs>
        <w:ind w:left="4494" w:hanging="360"/>
      </w:pPr>
      <w:rPr>
        <w:rFonts w:ascii="Symbol" w:hAnsi="Symbol" w:hint="default"/>
      </w:rPr>
    </w:lvl>
    <w:lvl w:ilvl="7" w:tplc="FFFFFFFF" w:tentative="1">
      <w:start w:val="1"/>
      <w:numFmt w:val="bullet"/>
      <w:lvlText w:val="o"/>
      <w:lvlJc w:val="left"/>
      <w:pPr>
        <w:tabs>
          <w:tab w:val="num" w:pos="5214"/>
        </w:tabs>
        <w:ind w:left="5214" w:hanging="360"/>
      </w:pPr>
      <w:rPr>
        <w:rFonts w:ascii="Courier New" w:hAnsi="Courier New" w:hint="default"/>
      </w:rPr>
    </w:lvl>
    <w:lvl w:ilvl="8" w:tplc="FFFFFFFF" w:tentative="1">
      <w:start w:val="1"/>
      <w:numFmt w:val="bullet"/>
      <w:lvlText w:val=""/>
      <w:lvlJc w:val="left"/>
      <w:pPr>
        <w:tabs>
          <w:tab w:val="num" w:pos="5934"/>
        </w:tabs>
        <w:ind w:left="5934" w:hanging="360"/>
      </w:pPr>
      <w:rPr>
        <w:rFonts w:ascii="Wingdings" w:hAnsi="Wingdings" w:hint="default"/>
      </w:rPr>
    </w:lvl>
  </w:abstractNum>
  <w:abstractNum w:abstractNumId="45" w15:restartNumberingAfterBreak="0">
    <w:nsid w:val="1895438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46" w15:restartNumberingAfterBreak="0">
    <w:nsid w:val="192E30CA"/>
    <w:multiLevelType w:val="hybridMultilevel"/>
    <w:tmpl w:val="C12E7A84"/>
    <w:lvl w:ilvl="0" w:tplc="024ECA58">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360"/>
        </w:tabs>
        <w:ind w:left="360" w:hanging="360"/>
      </w:pPr>
      <w:rPr>
        <w:rFonts w:ascii="Courier New" w:hAnsi="Courier New" w:cs="Courier New" w:hint="default"/>
      </w:rPr>
    </w:lvl>
    <w:lvl w:ilvl="2" w:tplc="040C0005">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47" w15:restartNumberingAfterBreak="0">
    <w:nsid w:val="19D40421"/>
    <w:multiLevelType w:val="hybridMultilevel"/>
    <w:tmpl w:val="0832E23E"/>
    <w:lvl w:ilvl="0" w:tplc="860CF1CA">
      <w:start w:val="1"/>
      <w:numFmt w:val="bullet"/>
      <w:lvlText w:val=""/>
      <w:lvlJc w:val="left"/>
      <w:pPr>
        <w:tabs>
          <w:tab w:val="num" w:pos="1068"/>
        </w:tabs>
        <w:ind w:left="1068" w:hanging="360"/>
      </w:pPr>
      <w:rPr>
        <w:rFonts w:ascii="Wingdings" w:hAnsi="Wingdings"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48" w15:restartNumberingAfterBreak="0">
    <w:nsid w:val="1AD22056"/>
    <w:multiLevelType w:val="hybridMultilevel"/>
    <w:tmpl w:val="76DEB4A8"/>
    <w:lvl w:ilvl="0" w:tplc="39D86A0E">
      <w:start w:val="1"/>
      <w:numFmt w:val="bullet"/>
      <w:lvlText w:val=""/>
      <w:lvlPicBulletId w:val="0"/>
      <w:lvlJc w:val="left"/>
      <w:pPr>
        <w:tabs>
          <w:tab w:val="num" w:pos="720"/>
        </w:tabs>
        <w:ind w:left="720" w:hanging="360"/>
      </w:pPr>
      <w:rPr>
        <w:rFonts w:ascii="Symbol" w:hAnsi="Symbol" w:hint="default"/>
      </w:rPr>
    </w:lvl>
    <w:lvl w:ilvl="1" w:tplc="0842237C" w:tentative="1">
      <w:start w:val="1"/>
      <w:numFmt w:val="bullet"/>
      <w:lvlText w:val=""/>
      <w:lvlJc w:val="left"/>
      <w:pPr>
        <w:tabs>
          <w:tab w:val="num" w:pos="1440"/>
        </w:tabs>
        <w:ind w:left="1440" w:hanging="360"/>
      </w:pPr>
      <w:rPr>
        <w:rFonts w:ascii="Symbol" w:hAnsi="Symbol" w:hint="default"/>
      </w:rPr>
    </w:lvl>
    <w:lvl w:ilvl="2" w:tplc="B77CBD96" w:tentative="1">
      <w:start w:val="1"/>
      <w:numFmt w:val="bullet"/>
      <w:lvlText w:val=""/>
      <w:lvlJc w:val="left"/>
      <w:pPr>
        <w:tabs>
          <w:tab w:val="num" w:pos="2160"/>
        </w:tabs>
        <w:ind w:left="2160" w:hanging="360"/>
      </w:pPr>
      <w:rPr>
        <w:rFonts w:ascii="Symbol" w:hAnsi="Symbol" w:hint="default"/>
      </w:rPr>
    </w:lvl>
    <w:lvl w:ilvl="3" w:tplc="DA8CAB7E" w:tentative="1">
      <w:start w:val="1"/>
      <w:numFmt w:val="bullet"/>
      <w:lvlText w:val=""/>
      <w:lvlJc w:val="left"/>
      <w:pPr>
        <w:tabs>
          <w:tab w:val="num" w:pos="2880"/>
        </w:tabs>
        <w:ind w:left="2880" w:hanging="360"/>
      </w:pPr>
      <w:rPr>
        <w:rFonts w:ascii="Symbol" w:hAnsi="Symbol" w:hint="default"/>
      </w:rPr>
    </w:lvl>
    <w:lvl w:ilvl="4" w:tplc="AFE42D7C" w:tentative="1">
      <w:start w:val="1"/>
      <w:numFmt w:val="bullet"/>
      <w:lvlText w:val=""/>
      <w:lvlJc w:val="left"/>
      <w:pPr>
        <w:tabs>
          <w:tab w:val="num" w:pos="3600"/>
        </w:tabs>
        <w:ind w:left="3600" w:hanging="360"/>
      </w:pPr>
      <w:rPr>
        <w:rFonts w:ascii="Symbol" w:hAnsi="Symbol" w:hint="default"/>
      </w:rPr>
    </w:lvl>
    <w:lvl w:ilvl="5" w:tplc="7C6A8BC4" w:tentative="1">
      <w:start w:val="1"/>
      <w:numFmt w:val="bullet"/>
      <w:lvlText w:val=""/>
      <w:lvlJc w:val="left"/>
      <w:pPr>
        <w:tabs>
          <w:tab w:val="num" w:pos="4320"/>
        </w:tabs>
        <w:ind w:left="4320" w:hanging="360"/>
      </w:pPr>
      <w:rPr>
        <w:rFonts w:ascii="Symbol" w:hAnsi="Symbol" w:hint="default"/>
      </w:rPr>
    </w:lvl>
    <w:lvl w:ilvl="6" w:tplc="73FAD726" w:tentative="1">
      <w:start w:val="1"/>
      <w:numFmt w:val="bullet"/>
      <w:lvlText w:val=""/>
      <w:lvlJc w:val="left"/>
      <w:pPr>
        <w:tabs>
          <w:tab w:val="num" w:pos="5040"/>
        </w:tabs>
        <w:ind w:left="5040" w:hanging="360"/>
      </w:pPr>
      <w:rPr>
        <w:rFonts w:ascii="Symbol" w:hAnsi="Symbol" w:hint="default"/>
      </w:rPr>
    </w:lvl>
    <w:lvl w:ilvl="7" w:tplc="4380020C" w:tentative="1">
      <w:start w:val="1"/>
      <w:numFmt w:val="bullet"/>
      <w:lvlText w:val=""/>
      <w:lvlJc w:val="left"/>
      <w:pPr>
        <w:tabs>
          <w:tab w:val="num" w:pos="5760"/>
        </w:tabs>
        <w:ind w:left="5760" w:hanging="360"/>
      </w:pPr>
      <w:rPr>
        <w:rFonts w:ascii="Symbol" w:hAnsi="Symbol" w:hint="default"/>
      </w:rPr>
    </w:lvl>
    <w:lvl w:ilvl="8" w:tplc="CF92A112"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1C4530AF"/>
    <w:multiLevelType w:val="hybridMultilevel"/>
    <w:tmpl w:val="BEB808D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1CA813D9"/>
    <w:multiLevelType w:val="hybridMultilevel"/>
    <w:tmpl w:val="645229F4"/>
    <w:lvl w:ilvl="0" w:tplc="FFFFFFFF">
      <w:start w:val="1"/>
      <w:numFmt w:val="bullet"/>
      <w:lvlText w:val=""/>
      <w:lvlJc w:val="left"/>
      <w:pPr>
        <w:tabs>
          <w:tab w:val="num" w:pos="2291"/>
        </w:tabs>
        <w:ind w:left="229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D1563B0"/>
    <w:multiLevelType w:val="hybridMultilevel"/>
    <w:tmpl w:val="6E9CDA1E"/>
    <w:lvl w:ilvl="0" w:tplc="040C0001">
      <w:start w:val="1"/>
      <w:numFmt w:val="bullet"/>
      <w:lvlText w:val=""/>
      <w:lvlJc w:val="left"/>
      <w:pPr>
        <w:tabs>
          <w:tab w:val="num" w:pos="1176"/>
        </w:tabs>
        <w:ind w:left="1176" w:hanging="360"/>
      </w:pPr>
      <w:rPr>
        <w:rFonts w:ascii="Symbol" w:hAnsi="Symbol" w:hint="default"/>
      </w:rPr>
    </w:lvl>
    <w:lvl w:ilvl="1" w:tplc="040C0003">
      <w:start w:val="1"/>
      <w:numFmt w:val="bullet"/>
      <w:lvlText w:val="o"/>
      <w:lvlJc w:val="left"/>
      <w:pPr>
        <w:tabs>
          <w:tab w:val="num" w:pos="1896"/>
        </w:tabs>
        <w:ind w:left="1896" w:hanging="360"/>
      </w:pPr>
      <w:rPr>
        <w:rFonts w:ascii="Courier New" w:hAnsi="Courier New" w:hint="default"/>
      </w:rPr>
    </w:lvl>
    <w:lvl w:ilvl="2" w:tplc="040C0005" w:tentative="1">
      <w:start w:val="1"/>
      <w:numFmt w:val="bullet"/>
      <w:lvlText w:val=""/>
      <w:lvlJc w:val="left"/>
      <w:pPr>
        <w:tabs>
          <w:tab w:val="num" w:pos="2616"/>
        </w:tabs>
        <w:ind w:left="2616" w:hanging="360"/>
      </w:pPr>
      <w:rPr>
        <w:rFonts w:ascii="Wingdings" w:hAnsi="Wingdings" w:hint="default"/>
      </w:rPr>
    </w:lvl>
    <w:lvl w:ilvl="3" w:tplc="040C0001" w:tentative="1">
      <w:start w:val="1"/>
      <w:numFmt w:val="bullet"/>
      <w:lvlText w:val=""/>
      <w:lvlJc w:val="left"/>
      <w:pPr>
        <w:tabs>
          <w:tab w:val="num" w:pos="3336"/>
        </w:tabs>
        <w:ind w:left="3336" w:hanging="360"/>
      </w:pPr>
      <w:rPr>
        <w:rFonts w:ascii="Symbol" w:hAnsi="Symbol" w:hint="default"/>
      </w:rPr>
    </w:lvl>
    <w:lvl w:ilvl="4" w:tplc="040C0003" w:tentative="1">
      <w:start w:val="1"/>
      <w:numFmt w:val="bullet"/>
      <w:lvlText w:val="o"/>
      <w:lvlJc w:val="left"/>
      <w:pPr>
        <w:tabs>
          <w:tab w:val="num" w:pos="4056"/>
        </w:tabs>
        <w:ind w:left="4056" w:hanging="360"/>
      </w:pPr>
      <w:rPr>
        <w:rFonts w:ascii="Courier New" w:hAnsi="Courier New" w:hint="default"/>
      </w:rPr>
    </w:lvl>
    <w:lvl w:ilvl="5" w:tplc="040C0005" w:tentative="1">
      <w:start w:val="1"/>
      <w:numFmt w:val="bullet"/>
      <w:lvlText w:val=""/>
      <w:lvlJc w:val="left"/>
      <w:pPr>
        <w:tabs>
          <w:tab w:val="num" w:pos="4776"/>
        </w:tabs>
        <w:ind w:left="4776" w:hanging="360"/>
      </w:pPr>
      <w:rPr>
        <w:rFonts w:ascii="Wingdings" w:hAnsi="Wingdings" w:hint="default"/>
      </w:rPr>
    </w:lvl>
    <w:lvl w:ilvl="6" w:tplc="040C0001" w:tentative="1">
      <w:start w:val="1"/>
      <w:numFmt w:val="bullet"/>
      <w:lvlText w:val=""/>
      <w:lvlJc w:val="left"/>
      <w:pPr>
        <w:tabs>
          <w:tab w:val="num" w:pos="5496"/>
        </w:tabs>
        <w:ind w:left="5496" w:hanging="360"/>
      </w:pPr>
      <w:rPr>
        <w:rFonts w:ascii="Symbol" w:hAnsi="Symbol" w:hint="default"/>
      </w:rPr>
    </w:lvl>
    <w:lvl w:ilvl="7" w:tplc="040C0003" w:tentative="1">
      <w:start w:val="1"/>
      <w:numFmt w:val="bullet"/>
      <w:lvlText w:val="o"/>
      <w:lvlJc w:val="left"/>
      <w:pPr>
        <w:tabs>
          <w:tab w:val="num" w:pos="6216"/>
        </w:tabs>
        <w:ind w:left="6216" w:hanging="360"/>
      </w:pPr>
      <w:rPr>
        <w:rFonts w:ascii="Courier New" w:hAnsi="Courier New" w:hint="default"/>
      </w:rPr>
    </w:lvl>
    <w:lvl w:ilvl="8" w:tplc="040C0005" w:tentative="1">
      <w:start w:val="1"/>
      <w:numFmt w:val="bullet"/>
      <w:lvlText w:val=""/>
      <w:lvlJc w:val="left"/>
      <w:pPr>
        <w:tabs>
          <w:tab w:val="num" w:pos="6936"/>
        </w:tabs>
        <w:ind w:left="6936" w:hanging="360"/>
      </w:pPr>
      <w:rPr>
        <w:rFonts w:ascii="Wingdings" w:hAnsi="Wingdings" w:hint="default"/>
      </w:rPr>
    </w:lvl>
  </w:abstractNum>
  <w:abstractNum w:abstractNumId="52" w15:restartNumberingAfterBreak="0">
    <w:nsid w:val="1E710DE4"/>
    <w:multiLevelType w:val="hybridMultilevel"/>
    <w:tmpl w:val="9D6016B0"/>
    <w:lvl w:ilvl="0" w:tplc="040C000F">
      <w:start w:val="1"/>
      <w:numFmt w:val="decimal"/>
      <w:lvlText w:val="%1."/>
      <w:lvlJc w:val="left"/>
      <w:pPr>
        <w:tabs>
          <w:tab w:val="num" w:pos="720"/>
        </w:tabs>
        <w:ind w:left="720" w:hanging="360"/>
      </w:pPr>
    </w:lvl>
    <w:lvl w:ilvl="1" w:tplc="E4FC55A6">
      <w:numFmt w:val="bullet"/>
      <w:lvlText w:val=""/>
      <w:lvlJc w:val="left"/>
      <w:pPr>
        <w:tabs>
          <w:tab w:val="num" w:pos="1440"/>
        </w:tabs>
        <w:ind w:left="1440" w:hanging="360"/>
      </w:pPr>
      <w:rPr>
        <w:rFonts w:ascii="Wingdings" w:eastAsia="Times New Roman" w:hAnsi="Wingdings" w:cs="Aria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3" w15:restartNumberingAfterBreak="0">
    <w:nsid w:val="1F1D406B"/>
    <w:multiLevelType w:val="hybridMultilevel"/>
    <w:tmpl w:val="7B9ED4FA"/>
    <w:lvl w:ilvl="0" w:tplc="26363B1E">
      <w:start w:val="7"/>
      <w:numFmt w:val="bullet"/>
      <w:lvlText w:val="-"/>
      <w:lvlJc w:val="left"/>
      <w:pPr>
        <w:tabs>
          <w:tab w:val="num" w:pos="720"/>
        </w:tabs>
        <w:ind w:left="720" w:hanging="360"/>
      </w:pPr>
      <w:rPr>
        <w:rFonts w:ascii="Georgia" w:eastAsia="Times New Roman" w:hAnsi="Georgia"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0342506"/>
    <w:multiLevelType w:val="hybridMultilevel"/>
    <w:tmpl w:val="103E6E06"/>
    <w:lvl w:ilvl="0" w:tplc="FFFFFFFF">
      <w:start w:val="1"/>
      <w:numFmt w:val="bullet"/>
      <w:lvlText w:val=""/>
      <w:lvlJc w:val="left"/>
      <w:pPr>
        <w:tabs>
          <w:tab w:val="num" w:pos="2291"/>
        </w:tabs>
        <w:ind w:left="229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0650D35"/>
    <w:multiLevelType w:val="hybridMultilevel"/>
    <w:tmpl w:val="8D36F61A"/>
    <w:lvl w:ilvl="0" w:tplc="2826959C">
      <w:start w:val="1"/>
      <w:numFmt w:val="bullet"/>
      <w:lvlText w:val=""/>
      <w:lvlJc w:val="left"/>
      <w:pPr>
        <w:tabs>
          <w:tab w:val="num" w:pos="720"/>
        </w:tabs>
        <w:ind w:left="720" w:hanging="360"/>
      </w:pPr>
      <w:rPr>
        <w:rFonts w:ascii="Symbol" w:hAnsi="Symbol" w:hint="default"/>
        <w:color w:val="auto"/>
        <w:sz w:val="20"/>
      </w:rPr>
    </w:lvl>
    <w:lvl w:ilvl="1" w:tplc="052E36A2" w:tentative="1">
      <w:start w:val="1"/>
      <w:numFmt w:val="bullet"/>
      <w:lvlText w:val="o"/>
      <w:lvlJc w:val="left"/>
      <w:pPr>
        <w:tabs>
          <w:tab w:val="num" w:pos="1440"/>
        </w:tabs>
        <w:ind w:left="1440" w:hanging="360"/>
      </w:pPr>
      <w:rPr>
        <w:rFonts w:ascii="Courier New" w:hAnsi="Courier New" w:hint="default"/>
      </w:rPr>
    </w:lvl>
    <w:lvl w:ilvl="2" w:tplc="2FFE9564" w:tentative="1">
      <w:start w:val="1"/>
      <w:numFmt w:val="bullet"/>
      <w:lvlText w:val=""/>
      <w:lvlJc w:val="left"/>
      <w:pPr>
        <w:tabs>
          <w:tab w:val="num" w:pos="2160"/>
        </w:tabs>
        <w:ind w:left="2160" w:hanging="360"/>
      </w:pPr>
      <w:rPr>
        <w:rFonts w:ascii="Wingdings" w:hAnsi="Wingdings" w:hint="default"/>
      </w:rPr>
    </w:lvl>
    <w:lvl w:ilvl="3" w:tplc="BCB27D4E" w:tentative="1">
      <w:start w:val="1"/>
      <w:numFmt w:val="bullet"/>
      <w:lvlText w:val=""/>
      <w:lvlJc w:val="left"/>
      <w:pPr>
        <w:tabs>
          <w:tab w:val="num" w:pos="2880"/>
        </w:tabs>
        <w:ind w:left="2880" w:hanging="360"/>
      </w:pPr>
      <w:rPr>
        <w:rFonts w:ascii="Symbol" w:hAnsi="Symbol" w:hint="default"/>
      </w:rPr>
    </w:lvl>
    <w:lvl w:ilvl="4" w:tplc="8BAA9E40" w:tentative="1">
      <w:start w:val="1"/>
      <w:numFmt w:val="bullet"/>
      <w:lvlText w:val="o"/>
      <w:lvlJc w:val="left"/>
      <w:pPr>
        <w:tabs>
          <w:tab w:val="num" w:pos="3600"/>
        </w:tabs>
        <w:ind w:left="3600" w:hanging="360"/>
      </w:pPr>
      <w:rPr>
        <w:rFonts w:ascii="Courier New" w:hAnsi="Courier New" w:hint="default"/>
      </w:rPr>
    </w:lvl>
    <w:lvl w:ilvl="5" w:tplc="8C46C8C6" w:tentative="1">
      <w:start w:val="1"/>
      <w:numFmt w:val="bullet"/>
      <w:lvlText w:val=""/>
      <w:lvlJc w:val="left"/>
      <w:pPr>
        <w:tabs>
          <w:tab w:val="num" w:pos="4320"/>
        </w:tabs>
        <w:ind w:left="4320" w:hanging="360"/>
      </w:pPr>
      <w:rPr>
        <w:rFonts w:ascii="Wingdings" w:hAnsi="Wingdings" w:hint="default"/>
      </w:rPr>
    </w:lvl>
    <w:lvl w:ilvl="6" w:tplc="00AAE5AA" w:tentative="1">
      <w:start w:val="1"/>
      <w:numFmt w:val="bullet"/>
      <w:lvlText w:val=""/>
      <w:lvlJc w:val="left"/>
      <w:pPr>
        <w:tabs>
          <w:tab w:val="num" w:pos="5040"/>
        </w:tabs>
        <w:ind w:left="5040" w:hanging="360"/>
      </w:pPr>
      <w:rPr>
        <w:rFonts w:ascii="Symbol" w:hAnsi="Symbol" w:hint="default"/>
      </w:rPr>
    </w:lvl>
    <w:lvl w:ilvl="7" w:tplc="4D4CE888" w:tentative="1">
      <w:start w:val="1"/>
      <w:numFmt w:val="bullet"/>
      <w:lvlText w:val="o"/>
      <w:lvlJc w:val="left"/>
      <w:pPr>
        <w:tabs>
          <w:tab w:val="num" w:pos="5760"/>
        </w:tabs>
        <w:ind w:left="5760" w:hanging="360"/>
      </w:pPr>
      <w:rPr>
        <w:rFonts w:ascii="Courier New" w:hAnsi="Courier New" w:hint="default"/>
      </w:rPr>
    </w:lvl>
    <w:lvl w:ilvl="8" w:tplc="26608A44"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06751FE"/>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57" w15:restartNumberingAfterBreak="0">
    <w:nsid w:val="20CE333F"/>
    <w:multiLevelType w:val="hybridMultilevel"/>
    <w:tmpl w:val="7EC82EDE"/>
    <w:lvl w:ilvl="0" w:tplc="024ECA58">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2116020F"/>
    <w:multiLevelType w:val="hybridMultilevel"/>
    <w:tmpl w:val="362A7718"/>
    <w:lvl w:ilvl="0" w:tplc="E16EBA3C">
      <w:start w:val="1"/>
      <w:numFmt w:val="bullet"/>
      <w:lvlText w:val="o"/>
      <w:lvlJc w:val="left"/>
      <w:pPr>
        <w:tabs>
          <w:tab w:val="num" w:pos="1440"/>
        </w:tabs>
        <w:ind w:left="1440" w:hanging="360"/>
      </w:pPr>
      <w:rPr>
        <w:rFonts w:ascii="Courier New" w:hAnsi="Courier New" w:hint="default"/>
        <w:sz w:val="44"/>
      </w:rPr>
    </w:lvl>
    <w:lvl w:ilvl="1" w:tplc="44D62394">
      <w:start w:val="1"/>
      <w:numFmt w:val="bullet"/>
      <w:lvlText w:val="o"/>
      <w:lvlJc w:val="left"/>
      <w:pPr>
        <w:tabs>
          <w:tab w:val="num" w:pos="1440"/>
        </w:tabs>
        <w:ind w:left="1440" w:hanging="360"/>
      </w:pPr>
      <w:rPr>
        <w:rFonts w:ascii="Courier New" w:hAnsi="Courier New" w:hint="default"/>
        <w:sz w:val="72"/>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214213A2"/>
    <w:multiLevelType w:val="singleLevel"/>
    <w:tmpl w:val="BBF2A4A8"/>
    <w:lvl w:ilvl="0">
      <w:start w:val="1"/>
      <w:numFmt w:val="bullet"/>
      <w:lvlText w:val=""/>
      <w:lvlJc w:val="left"/>
      <w:pPr>
        <w:tabs>
          <w:tab w:val="num" w:pos="360"/>
        </w:tabs>
        <w:ind w:left="360" w:hanging="360"/>
      </w:pPr>
      <w:rPr>
        <w:rFonts w:ascii="Wingdings" w:hAnsi="Wingdings" w:hint="default"/>
      </w:rPr>
    </w:lvl>
  </w:abstractNum>
  <w:abstractNum w:abstractNumId="60" w15:restartNumberingAfterBreak="0">
    <w:nsid w:val="21E7506E"/>
    <w:multiLevelType w:val="hybridMultilevel"/>
    <w:tmpl w:val="F8A0AE42"/>
    <w:lvl w:ilvl="0" w:tplc="040C0011">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1" w15:restartNumberingAfterBreak="0">
    <w:nsid w:val="22413E16"/>
    <w:multiLevelType w:val="hybridMultilevel"/>
    <w:tmpl w:val="1560545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24444B9"/>
    <w:multiLevelType w:val="hybridMultilevel"/>
    <w:tmpl w:val="F3AA519A"/>
    <w:lvl w:ilvl="0" w:tplc="080C0001">
      <w:start w:val="1"/>
      <w:numFmt w:val="bullet"/>
      <w:lvlText w:val=""/>
      <w:lvlJc w:val="left"/>
      <w:pPr>
        <w:ind w:left="780" w:hanging="360"/>
      </w:pPr>
      <w:rPr>
        <w:rFonts w:ascii="Symbol" w:hAnsi="Symbol" w:hint="default"/>
      </w:rPr>
    </w:lvl>
    <w:lvl w:ilvl="1" w:tplc="080C0003" w:tentative="1">
      <w:start w:val="1"/>
      <w:numFmt w:val="bullet"/>
      <w:lvlText w:val="o"/>
      <w:lvlJc w:val="left"/>
      <w:pPr>
        <w:ind w:left="1500" w:hanging="360"/>
      </w:pPr>
      <w:rPr>
        <w:rFonts w:ascii="Courier New" w:hAnsi="Courier New" w:cs="Courier New" w:hint="default"/>
      </w:rPr>
    </w:lvl>
    <w:lvl w:ilvl="2" w:tplc="080C0005" w:tentative="1">
      <w:start w:val="1"/>
      <w:numFmt w:val="bullet"/>
      <w:lvlText w:val=""/>
      <w:lvlJc w:val="left"/>
      <w:pPr>
        <w:ind w:left="2220" w:hanging="360"/>
      </w:pPr>
      <w:rPr>
        <w:rFonts w:ascii="Wingdings" w:hAnsi="Wingdings" w:hint="default"/>
      </w:rPr>
    </w:lvl>
    <w:lvl w:ilvl="3" w:tplc="080C0001" w:tentative="1">
      <w:start w:val="1"/>
      <w:numFmt w:val="bullet"/>
      <w:lvlText w:val=""/>
      <w:lvlJc w:val="left"/>
      <w:pPr>
        <w:ind w:left="2940" w:hanging="360"/>
      </w:pPr>
      <w:rPr>
        <w:rFonts w:ascii="Symbol" w:hAnsi="Symbol" w:hint="default"/>
      </w:rPr>
    </w:lvl>
    <w:lvl w:ilvl="4" w:tplc="080C0003" w:tentative="1">
      <w:start w:val="1"/>
      <w:numFmt w:val="bullet"/>
      <w:lvlText w:val="o"/>
      <w:lvlJc w:val="left"/>
      <w:pPr>
        <w:ind w:left="3660" w:hanging="360"/>
      </w:pPr>
      <w:rPr>
        <w:rFonts w:ascii="Courier New" w:hAnsi="Courier New" w:cs="Courier New" w:hint="default"/>
      </w:rPr>
    </w:lvl>
    <w:lvl w:ilvl="5" w:tplc="080C0005" w:tentative="1">
      <w:start w:val="1"/>
      <w:numFmt w:val="bullet"/>
      <w:lvlText w:val=""/>
      <w:lvlJc w:val="left"/>
      <w:pPr>
        <w:ind w:left="4380" w:hanging="360"/>
      </w:pPr>
      <w:rPr>
        <w:rFonts w:ascii="Wingdings" w:hAnsi="Wingdings" w:hint="default"/>
      </w:rPr>
    </w:lvl>
    <w:lvl w:ilvl="6" w:tplc="080C0001" w:tentative="1">
      <w:start w:val="1"/>
      <w:numFmt w:val="bullet"/>
      <w:lvlText w:val=""/>
      <w:lvlJc w:val="left"/>
      <w:pPr>
        <w:ind w:left="5100" w:hanging="360"/>
      </w:pPr>
      <w:rPr>
        <w:rFonts w:ascii="Symbol" w:hAnsi="Symbol" w:hint="default"/>
      </w:rPr>
    </w:lvl>
    <w:lvl w:ilvl="7" w:tplc="080C0003" w:tentative="1">
      <w:start w:val="1"/>
      <w:numFmt w:val="bullet"/>
      <w:lvlText w:val="o"/>
      <w:lvlJc w:val="left"/>
      <w:pPr>
        <w:ind w:left="5820" w:hanging="360"/>
      </w:pPr>
      <w:rPr>
        <w:rFonts w:ascii="Courier New" w:hAnsi="Courier New" w:cs="Courier New" w:hint="default"/>
      </w:rPr>
    </w:lvl>
    <w:lvl w:ilvl="8" w:tplc="080C0005" w:tentative="1">
      <w:start w:val="1"/>
      <w:numFmt w:val="bullet"/>
      <w:lvlText w:val=""/>
      <w:lvlJc w:val="left"/>
      <w:pPr>
        <w:ind w:left="6540" w:hanging="360"/>
      </w:pPr>
      <w:rPr>
        <w:rFonts w:ascii="Wingdings" w:hAnsi="Wingdings" w:hint="default"/>
      </w:rPr>
    </w:lvl>
  </w:abstractNum>
  <w:abstractNum w:abstractNumId="63" w15:restartNumberingAfterBreak="0">
    <w:nsid w:val="23022AF4"/>
    <w:multiLevelType w:val="hybridMultilevel"/>
    <w:tmpl w:val="3EBC27B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4" w15:restartNumberingAfterBreak="0">
    <w:nsid w:val="2317648F"/>
    <w:multiLevelType w:val="hybridMultilevel"/>
    <w:tmpl w:val="0996317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232915B2"/>
    <w:multiLevelType w:val="hybridMultilevel"/>
    <w:tmpl w:val="F30EF8D8"/>
    <w:lvl w:ilvl="0" w:tplc="FFFFFFFF">
      <w:start w:val="1"/>
      <w:numFmt w:val="bullet"/>
      <w:lvlText w:val=""/>
      <w:lvlJc w:val="left"/>
      <w:pPr>
        <w:tabs>
          <w:tab w:val="num" w:pos="2291"/>
        </w:tabs>
        <w:ind w:left="229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38677AF"/>
    <w:multiLevelType w:val="hybridMultilevel"/>
    <w:tmpl w:val="8D36F61A"/>
    <w:lvl w:ilvl="0" w:tplc="FFFFFFFF">
      <w:start w:val="1"/>
      <w:numFmt w:val="bullet"/>
      <w:lvlText w:val=""/>
      <w:lvlJc w:val="left"/>
      <w:pPr>
        <w:tabs>
          <w:tab w:val="num" w:pos="720"/>
        </w:tabs>
        <w:ind w:left="720"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43A70D2"/>
    <w:multiLevelType w:val="hybridMultilevel"/>
    <w:tmpl w:val="D168431C"/>
    <w:lvl w:ilvl="0" w:tplc="FFFFFFFF">
      <w:start w:val="1"/>
      <w:numFmt w:val="bullet"/>
      <w:lvlText w:val=""/>
      <w:lvlJc w:val="left"/>
      <w:pPr>
        <w:tabs>
          <w:tab w:val="num" w:pos="900"/>
        </w:tabs>
        <w:ind w:left="900" w:hanging="360"/>
      </w:pPr>
      <w:rPr>
        <w:rFonts w:ascii="Wingdings" w:hAnsi="Wingding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5561F24"/>
    <w:multiLevelType w:val="hybridMultilevel"/>
    <w:tmpl w:val="122A4174"/>
    <w:lvl w:ilvl="0" w:tplc="040C0011">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BE2766"/>
    <w:multiLevelType w:val="hybridMultilevel"/>
    <w:tmpl w:val="D44AADA0"/>
    <w:lvl w:ilvl="0" w:tplc="FFFFFFFF">
      <w:start w:val="1"/>
      <w:numFmt w:val="bullet"/>
      <w:lvlText w:val=""/>
      <w:lvlJc w:val="left"/>
      <w:pPr>
        <w:tabs>
          <w:tab w:val="num" w:pos="1440"/>
        </w:tabs>
        <w:ind w:left="1440" w:hanging="360"/>
      </w:pPr>
      <w:rPr>
        <w:rFonts w:ascii="Symbol" w:hAnsi="Symbol" w:hint="default"/>
        <w:sz w:val="16"/>
      </w:rPr>
    </w:lvl>
    <w:lvl w:ilvl="1" w:tplc="FFFFFFFF">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70" w15:restartNumberingAfterBreak="0">
    <w:nsid w:val="2634508B"/>
    <w:multiLevelType w:val="hybridMultilevel"/>
    <w:tmpl w:val="91E2284E"/>
    <w:lvl w:ilvl="0" w:tplc="ED6E1CB8">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64D249F"/>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271205AC"/>
    <w:multiLevelType w:val="hybridMultilevel"/>
    <w:tmpl w:val="9E2C8816"/>
    <w:lvl w:ilvl="0" w:tplc="024ECA58">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360"/>
        </w:tabs>
        <w:ind w:left="360" w:hanging="360"/>
      </w:pPr>
      <w:rPr>
        <w:rFonts w:ascii="Courier New" w:hAnsi="Courier New" w:cs="Courier New" w:hint="default"/>
      </w:rPr>
    </w:lvl>
    <w:lvl w:ilvl="2" w:tplc="040C0005">
      <w:start w:val="1"/>
      <w:numFmt w:val="bullet"/>
      <w:lvlText w:val=""/>
      <w:lvlJc w:val="left"/>
      <w:pPr>
        <w:tabs>
          <w:tab w:val="num" w:pos="1080"/>
        </w:tabs>
        <w:ind w:left="1080" w:hanging="360"/>
      </w:pPr>
      <w:rPr>
        <w:rFonts w:ascii="Wingdings" w:hAnsi="Wingdings" w:hint="default"/>
      </w:rPr>
    </w:lvl>
    <w:lvl w:ilvl="3" w:tplc="040C0001" w:tentative="1">
      <w:start w:val="1"/>
      <w:numFmt w:val="bullet"/>
      <w:lvlText w:val=""/>
      <w:lvlJc w:val="left"/>
      <w:pPr>
        <w:tabs>
          <w:tab w:val="num" w:pos="1800"/>
        </w:tabs>
        <w:ind w:left="1800" w:hanging="360"/>
      </w:pPr>
      <w:rPr>
        <w:rFonts w:ascii="Symbol" w:hAnsi="Symbol" w:hint="default"/>
      </w:rPr>
    </w:lvl>
    <w:lvl w:ilvl="4" w:tplc="040C0003" w:tentative="1">
      <w:start w:val="1"/>
      <w:numFmt w:val="bullet"/>
      <w:lvlText w:val="o"/>
      <w:lvlJc w:val="left"/>
      <w:pPr>
        <w:tabs>
          <w:tab w:val="num" w:pos="2520"/>
        </w:tabs>
        <w:ind w:left="2520" w:hanging="360"/>
      </w:pPr>
      <w:rPr>
        <w:rFonts w:ascii="Courier New" w:hAnsi="Courier New" w:cs="Courier New" w:hint="default"/>
      </w:rPr>
    </w:lvl>
    <w:lvl w:ilvl="5" w:tplc="040C0005" w:tentative="1">
      <w:start w:val="1"/>
      <w:numFmt w:val="bullet"/>
      <w:lvlText w:val=""/>
      <w:lvlJc w:val="left"/>
      <w:pPr>
        <w:tabs>
          <w:tab w:val="num" w:pos="3240"/>
        </w:tabs>
        <w:ind w:left="3240" w:hanging="360"/>
      </w:pPr>
      <w:rPr>
        <w:rFonts w:ascii="Wingdings" w:hAnsi="Wingdings" w:hint="default"/>
      </w:rPr>
    </w:lvl>
    <w:lvl w:ilvl="6" w:tplc="040C0001" w:tentative="1">
      <w:start w:val="1"/>
      <w:numFmt w:val="bullet"/>
      <w:lvlText w:val=""/>
      <w:lvlJc w:val="left"/>
      <w:pPr>
        <w:tabs>
          <w:tab w:val="num" w:pos="3960"/>
        </w:tabs>
        <w:ind w:left="3960" w:hanging="360"/>
      </w:pPr>
      <w:rPr>
        <w:rFonts w:ascii="Symbol" w:hAnsi="Symbol" w:hint="default"/>
      </w:rPr>
    </w:lvl>
    <w:lvl w:ilvl="7" w:tplc="040C0003" w:tentative="1">
      <w:start w:val="1"/>
      <w:numFmt w:val="bullet"/>
      <w:lvlText w:val="o"/>
      <w:lvlJc w:val="left"/>
      <w:pPr>
        <w:tabs>
          <w:tab w:val="num" w:pos="4680"/>
        </w:tabs>
        <w:ind w:left="4680" w:hanging="360"/>
      </w:pPr>
      <w:rPr>
        <w:rFonts w:ascii="Courier New" w:hAnsi="Courier New" w:cs="Courier New" w:hint="default"/>
      </w:rPr>
    </w:lvl>
    <w:lvl w:ilvl="8" w:tplc="040C0005" w:tentative="1">
      <w:start w:val="1"/>
      <w:numFmt w:val="bullet"/>
      <w:lvlText w:val=""/>
      <w:lvlJc w:val="left"/>
      <w:pPr>
        <w:tabs>
          <w:tab w:val="num" w:pos="5400"/>
        </w:tabs>
        <w:ind w:left="5400" w:hanging="360"/>
      </w:pPr>
      <w:rPr>
        <w:rFonts w:ascii="Wingdings" w:hAnsi="Wingdings" w:hint="default"/>
      </w:rPr>
    </w:lvl>
  </w:abstractNum>
  <w:abstractNum w:abstractNumId="73" w15:restartNumberingAfterBreak="0">
    <w:nsid w:val="28200371"/>
    <w:multiLevelType w:val="hybridMultilevel"/>
    <w:tmpl w:val="4FE6B054"/>
    <w:lvl w:ilvl="0" w:tplc="FFFFFFFF">
      <w:start w:val="1"/>
      <w:numFmt w:val="bullet"/>
      <w:lvlText w:val=""/>
      <w:lvlJc w:val="left"/>
      <w:pPr>
        <w:tabs>
          <w:tab w:val="num" w:pos="1440"/>
        </w:tabs>
        <w:ind w:left="1440"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286202B5"/>
    <w:multiLevelType w:val="hybridMultilevel"/>
    <w:tmpl w:val="2250BE7A"/>
    <w:lvl w:ilvl="0" w:tplc="2826959C">
      <w:start w:val="1"/>
      <w:numFmt w:val="bullet"/>
      <w:lvlText w:val=""/>
      <w:lvlJc w:val="left"/>
      <w:pPr>
        <w:tabs>
          <w:tab w:val="num" w:pos="2460"/>
        </w:tabs>
        <w:ind w:left="2460" w:hanging="360"/>
      </w:pPr>
      <w:rPr>
        <w:rFonts w:ascii="Symbol" w:hAnsi="Symbol" w:hint="default"/>
        <w:color w:val="auto"/>
        <w:sz w:val="20"/>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91414F8"/>
    <w:multiLevelType w:val="hybridMultilevel"/>
    <w:tmpl w:val="484ABE5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AED0483"/>
    <w:multiLevelType w:val="hybridMultilevel"/>
    <w:tmpl w:val="6868F512"/>
    <w:lvl w:ilvl="0" w:tplc="040C0005">
      <w:start w:val="1"/>
      <w:numFmt w:val="bullet"/>
      <w:lvlText w:val=""/>
      <w:lvlJc w:val="left"/>
      <w:pPr>
        <w:tabs>
          <w:tab w:val="num" w:pos="1623"/>
        </w:tabs>
        <w:ind w:left="1623" w:hanging="360"/>
      </w:pPr>
      <w:rPr>
        <w:rFonts w:ascii="Wingdings" w:hAnsi="Wingdings" w:hint="default"/>
      </w:rPr>
    </w:lvl>
    <w:lvl w:ilvl="1" w:tplc="040C0003" w:tentative="1">
      <w:start w:val="1"/>
      <w:numFmt w:val="bullet"/>
      <w:lvlText w:val="o"/>
      <w:lvlJc w:val="left"/>
      <w:pPr>
        <w:tabs>
          <w:tab w:val="num" w:pos="2343"/>
        </w:tabs>
        <w:ind w:left="2343" w:hanging="360"/>
      </w:pPr>
      <w:rPr>
        <w:rFonts w:ascii="Courier New" w:hAnsi="Courier New" w:hint="default"/>
      </w:rPr>
    </w:lvl>
    <w:lvl w:ilvl="2" w:tplc="040C0005" w:tentative="1">
      <w:start w:val="1"/>
      <w:numFmt w:val="bullet"/>
      <w:lvlText w:val=""/>
      <w:lvlJc w:val="left"/>
      <w:pPr>
        <w:tabs>
          <w:tab w:val="num" w:pos="3063"/>
        </w:tabs>
        <w:ind w:left="3063" w:hanging="360"/>
      </w:pPr>
      <w:rPr>
        <w:rFonts w:ascii="Wingdings" w:hAnsi="Wingdings" w:hint="default"/>
      </w:rPr>
    </w:lvl>
    <w:lvl w:ilvl="3" w:tplc="040C0001" w:tentative="1">
      <w:start w:val="1"/>
      <w:numFmt w:val="bullet"/>
      <w:lvlText w:val=""/>
      <w:lvlJc w:val="left"/>
      <w:pPr>
        <w:tabs>
          <w:tab w:val="num" w:pos="3783"/>
        </w:tabs>
        <w:ind w:left="3783" w:hanging="360"/>
      </w:pPr>
      <w:rPr>
        <w:rFonts w:ascii="Symbol" w:hAnsi="Symbol" w:hint="default"/>
      </w:rPr>
    </w:lvl>
    <w:lvl w:ilvl="4" w:tplc="040C0003" w:tentative="1">
      <w:start w:val="1"/>
      <w:numFmt w:val="bullet"/>
      <w:lvlText w:val="o"/>
      <w:lvlJc w:val="left"/>
      <w:pPr>
        <w:tabs>
          <w:tab w:val="num" w:pos="4503"/>
        </w:tabs>
        <w:ind w:left="4503" w:hanging="360"/>
      </w:pPr>
      <w:rPr>
        <w:rFonts w:ascii="Courier New" w:hAnsi="Courier New" w:hint="default"/>
      </w:rPr>
    </w:lvl>
    <w:lvl w:ilvl="5" w:tplc="040C0005" w:tentative="1">
      <w:start w:val="1"/>
      <w:numFmt w:val="bullet"/>
      <w:lvlText w:val=""/>
      <w:lvlJc w:val="left"/>
      <w:pPr>
        <w:tabs>
          <w:tab w:val="num" w:pos="5223"/>
        </w:tabs>
        <w:ind w:left="5223" w:hanging="360"/>
      </w:pPr>
      <w:rPr>
        <w:rFonts w:ascii="Wingdings" w:hAnsi="Wingdings" w:hint="default"/>
      </w:rPr>
    </w:lvl>
    <w:lvl w:ilvl="6" w:tplc="040C0001" w:tentative="1">
      <w:start w:val="1"/>
      <w:numFmt w:val="bullet"/>
      <w:lvlText w:val=""/>
      <w:lvlJc w:val="left"/>
      <w:pPr>
        <w:tabs>
          <w:tab w:val="num" w:pos="5943"/>
        </w:tabs>
        <w:ind w:left="5943" w:hanging="360"/>
      </w:pPr>
      <w:rPr>
        <w:rFonts w:ascii="Symbol" w:hAnsi="Symbol" w:hint="default"/>
      </w:rPr>
    </w:lvl>
    <w:lvl w:ilvl="7" w:tplc="040C0003" w:tentative="1">
      <w:start w:val="1"/>
      <w:numFmt w:val="bullet"/>
      <w:lvlText w:val="o"/>
      <w:lvlJc w:val="left"/>
      <w:pPr>
        <w:tabs>
          <w:tab w:val="num" w:pos="6663"/>
        </w:tabs>
        <w:ind w:left="6663" w:hanging="360"/>
      </w:pPr>
      <w:rPr>
        <w:rFonts w:ascii="Courier New" w:hAnsi="Courier New" w:hint="default"/>
      </w:rPr>
    </w:lvl>
    <w:lvl w:ilvl="8" w:tplc="040C0005" w:tentative="1">
      <w:start w:val="1"/>
      <w:numFmt w:val="bullet"/>
      <w:lvlText w:val=""/>
      <w:lvlJc w:val="left"/>
      <w:pPr>
        <w:tabs>
          <w:tab w:val="num" w:pos="7383"/>
        </w:tabs>
        <w:ind w:left="7383" w:hanging="360"/>
      </w:pPr>
      <w:rPr>
        <w:rFonts w:ascii="Wingdings" w:hAnsi="Wingdings" w:hint="default"/>
      </w:rPr>
    </w:lvl>
  </w:abstractNum>
  <w:abstractNum w:abstractNumId="77" w15:restartNumberingAfterBreak="0">
    <w:nsid w:val="2BB616F3"/>
    <w:multiLevelType w:val="hybridMultilevel"/>
    <w:tmpl w:val="16F28A8E"/>
    <w:lvl w:ilvl="0" w:tplc="FFFFFFF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8" w15:restartNumberingAfterBreak="0">
    <w:nsid w:val="2CE86908"/>
    <w:multiLevelType w:val="hybridMultilevel"/>
    <w:tmpl w:val="4CEC7B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2D8E4B9B"/>
    <w:multiLevelType w:val="hybridMultilevel"/>
    <w:tmpl w:val="8910A054"/>
    <w:lvl w:ilvl="0" w:tplc="040C0003">
      <w:start w:val="1"/>
      <w:numFmt w:val="bullet"/>
      <w:lvlText w:val="o"/>
      <w:lvlJc w:val="left"/>
      <w:pPr>
        <w:tabs>
          <w:tab w:val="num" w:pos="1068"/>
        </w:tabs>
        <w:ind w:left="1068" w:hanging="360"/>
      </w:pPr>
      <w:rPr>
        <w:rFonts w:ascii="Courier New" w:hAnsi="Courier New" w:cs="Courier New" w:hint="default"/>
      </w:rPr>
    </w:lvl>
    <w:lvl w:ilvl="1" w:tplc="040C0003" w:tentative="1">
      <w:start w:val="1"/>
      <w:numFmt w:val="bullet"/>
      <w:lvlText w:val="o"/>
      <w:lvlJc w:val="left"/>
      <w:pPr>
        <w:tabs>
          <w:tab w:val="num" w:pos="1788"/>
        </w:tabs>
        <w:ind w:left="1788" w:hanging="360"/>
      </w:pPr>
      <w:rPr>
        <w:rFonts w:ascii="Courier New" w:hAnsi="Courier New" w:cs="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cs="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cs="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80" w15:restartNumberingAfterBreak="0">
    <w:nsid w:val="2F0E6578"/>
    <w:multiLevelType w:val="hybridMultilevel"/>
    <w:tmpl w:val="D7BA7DBE"/>
    <w:lvl w:ilvl="0" w:tplc="2826959C">
      <w:start w:val="1"/>
      <w:numFmt w:val="bullet"/>
      <w:lvlText w:val=""/>
      <w:lvlJc w:val="left"/>
      <w:pPr>
        <w:tabs>
          <w:tab w:val="num" w:pos="2460"/>
        </w:tabs>
        <w:ind w:left="2460" w:hanging="360"/>
      </w:pPr>
      <w:rPr>
        <w:rFonts w:ascii="Symbol" w:hAnsi="Symbol" w:hint="default"/>
        <w:color w:val="auto"/>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2F8542C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82" w15:restartNumberingAfterBreak="0">
    <w:nsid w:val="30933AD5"/>
    <w:multiLevelType w:val="hybridMultilevel"/>
    <w:tmpl w:val="A4D042C2"/>
    <w:lvl w:ilvl="0" w:tplc="4B68437C">
      <w:start w:val="1"/>
      <w:numFmt w:val="bullet"/>
      <w:lvlText w:val=""/>
      <w:lvlJc w:val="left"/>
      <w:pPr>
        <w:tabs>
          <w:tab w:val="num" w:pos="567"/>
        </w:tabs>
        <w:ind w:left="567" w:hanging="397"/>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1827A68"/>
    <w:multiLevelType w:val="hybridMultilevel"/>
    <w:tmpl w:val="571C3FAE"/>
    <w:lvl w:ilvl="0" w:tplc="FFFFFFFF">
      <w:start w:val="1"/>
      <w:numFmt w:val="bullet"/>
      <w:lvlText w:val=""/>
      <w:lvlJc w:val="left"/>
      <w:pPr>
        <w:tabs>
          <w:tab w:val="num" w:pos="2291"/>
        </w:tabs>
        <w:ind w:left="229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32BB7A37"/>
    <w:multiLevelType w:val="hybridMultilevel"/>
    <w:tmpl w:val="EAB60534"/>
    <w:lvl w:ilvl="0" w:tplc="FFFFFFFF">
      <w:numFmt w:val="bullet"/>
      <w:lvlText w:val="-"/>
      <w:lvlJc w:val="left"/>
      <w:pPr>
        <w:ind w:left="1259" w:hanging="360"/>
      </w:pPr>
      <w:rPr>
        <w:rFonts w:ascii="Times New Roman" w:eastAsia="Times New Roman" w:hAnsi="Times New Roman" w:cs="Times New Roman" w:hint="default"/>
      </w:rPr>
    </w:lvl>
    <w:lvl w:ilvl="1" w:tplc="080C0003" w:tentative="1">
      <w:start w:val="1"/>
      <w:numFmt w:val="bullet"/>
      <w:lvlText w:val="o"/>
      <w:lvlJc w:val="left"/>
      <w:pPr>
        <w:ind w:left="1979" w:hanging="360"/>
      </w:pPr>
      <w:rPr>
        <w:rFonts w:ascii="Courier New" w:hAnsi="Courier New" w:cs="Courier New" w:hint="default"/>
      </w:rPr>
    </w:lvl>
    <w:lvl w:ilvl="2" w:tplc="080C0005" w:tentative="1">
      <w:start w:val="1"/>
      <w:numFmt w:val="bullet"/>
      <w:lvlText w:val=""/>
      <w:lvlJc w:val="left"/>
      <w:pPr>
        <w:ind w:left="2699" w:hanging="360"/>
      </w:pPr>
      <w:rPr>
        <w:rFonts w:ascii="Wingdings" w:hAnsi="Wingdings" w:hint="default"/>
      </w:rPr>
    </w:lvl>
    <w:lvl w:ilvl="3" w:tplc="080C0001" w:tentative="1">
      <w:start w:val="1"/>
      <w:numFmt w:val="bullet"/>
      <w:lvlText w:val=""/>
      <w:lvlJc w:val="left"/>
      <w:pPr>
        <w:ind w:left="3419" w:hanging="360"/>
      </w:pPr>
      <w:rPr>
        <w:rFonts w:ascii="Symbol" w:hAnsi="Symbol" w:hint="default"/>
      </w:rPr>
    </w:lvl>
    <w:lvl w:ilvl="4" w:tplc="080C0003" w:tentative="1">
      <w:start w:val="1"/>
      <w:numFmt w:val="bullet"/>
      <w:lvlText w:val="o"/>
      <w:lvlJc w:val="left"/>
      <w:pPr>
        <w:ind w:left="4139" w:hanging="360"/>
      </w:pPr>
      <w:rPr>
        <w:rFonts w:ascii="Courier New" w:hAnsi="Courier New" w:cs="Courier New" w:hint="default"/>
      </w:rPr>
    </w:lvl>
    <w:lvl w:ilvl="5" w:tplc="080C0005" w:tentative="1">
      <w:start w:val="1"/>
      <w:numFmt w:val="bullet"/>
      <w:lvlText w:val=""/>
      <w:lvlJc w:val="left"/>
      <w:pPr>
        <w:ind w:left="4859" w:hanging="360"/>
      </w:pPr>
      <w:rPr>
        <w:rFonts w:ascii="Wingdings" w:hAnsi="Wingdings" w:hint="default"/>
      </w:rPr>
    </w:lvl>
    <w:lvl w:ilvl="6" w:tplc="080C0001" w:tentative="1">
      <w:start w:val="1"/>
      <w:numFmt w:val="bullet"/>
      <w:lvlText w:val=""/>
      <w:lvlJc w:val="left"/>
      <w:pPr>
        <w:ind w:left="5579" w:hanging="360"/>
      </w:pPr>
      <w:rPr>
        <w:rFonts w:ascii="Symbol" w:hAnsi="Symbol" w:hint="default"/>
      </w:rPr>
    </w:lvl>
    <w:lvl w:ilvl="7" w:tplc="080C0003" w:tentative="1">
      <w:start w:val="1"/>
      <w:numFmt w:val="bullet"/>
      <w:lvlText w:val="o"/>
      <w:lvlJc w:val="left"/>
      <w:pPr>
        <w:ind w:left="6299" w:hanging="360"/>
      </w:pPr>
      <w:rPr>
        <w:rFonts w:ascii="Courier New" w:hAnsi="Courier New" w:cs="Courier New" w:hint="default"/>
      </w:rPr>
    </w:lvl>
    <w:lvl w:ilvl="8" w:tplc="080C0005" w:tentative="1">
      <w:start w:val="1"/>
      <w:numFmt w:val="bullet"/>
      <w:lvlText w:val=""/>
      <w:lvlJc w:val="left"/>
      <w:pPr>
        <w:ind w:left="7019" w:hanging="360"/>
      </w:pPr>
      <w:rPr>
        <w:rFonts w:ascii="Wingdings" w:hAnsi="Wingdings" w:hint="default"/>
      </w:rPr>
    </w:lvl>
  </w:abstractNum>
  <w:abstractNum w:abstractNumId="85" w15:restartNumberingAfterBreak="0">
    <w:nsid w:val="339A5BB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86" w15:restartNumberingAfterBreak="0">
    <w:nsid w:val="33A15C33"/>
    <w:multiLevelType w:val="hybridMultilevel"/>
    <w:tmpl w:val="979A5CA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33AD4320"/>
    <w:multiLevelType w:val="hybridMultilevel"/>
    <w:tmpl w:val="DDCEC80C"/>
    <w:lvl w:ilvl="0" w:tplc="929CDE18">
      <w:start w:val="1"/>
      <w:numFmt w:val="bullet"/>
      <w:lvlText w:val=""/>
      <w:lvlJc w:val="left"/>
      <w:pPr>
        <w:tabs>
          <w:tab w:val="num" w:pos="360"/>
        </w:tabs>
        <w:ind w:left="360" w:firstLine="0"/>
      </w:pPr>
      <w:rPr>
        <w:rFonts w:ascii="Symbol" w:hAnsi="Symbol" w:hint="default"/>
      </w:rPr>
    </w:lvl>
    <w:lvl w:ilvl="1" w:tplc="7E5A9FBC">
      <w:start w:val="1"/>
      <w:numFmt w:val="bullet"/>
      <w:lvlText w:val=""/>
      <w:lvlJc w:val="left"/>
      <w:pPr>
        <w:tabs>
          <w:tab w:val="num" w:pos="717"/>
        </w:tabs>
        <w:ind w:left="700" w:hanging="340"/>
      </w:pPr>
      <w:rPr>
        <w:rFonts w:ascii="Wingdings" w:hAnsi="Wingdings" w:hint="default"/>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88" w15:restartNumberingAfterBreak="0">
    <w:nsid w:val="36094391"/>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89" w15:restartNumberingAfterBreak="0">
    <w:nsid w:val="362A39AB"/>
    <w:multiLevelType w:val="hybridMultilevel"/>
    <w:tmpl w:val="2F8800B4"/>
    <w:lvl w:ilvl="0" w:tplc="5B704BBE">
      <w:numFmt w:val="bullet"/>
      <w:lvlText w:val=""/>
      <w:lvlJc w:val="left"/>
      <w:pPr>
        <w:ind w:left="720" w:hanging="360"/>
      </w:pPr>
      <w:rPr>
        <w:rFonts w:ascii="Symbol" w:eastAsia="Times New Roman" w:hAnsi="Symbo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0" w15:restartNumberingAfterBreak="0">
    <w:nsid w:val="38EA3824"/>
    <w:multiLevelType w:val="hybridMultilevel"/>
    <w:tmpl w:val="BBD679D2"/>
    <w:lvl w:ilvl="0" w:tplc="EE4C5A1E">
      <w:start w:val="1"/>
      <w:numFmt w:val="lowerLetter"/>
      <w:lvlText w:val="%1)"/>
      <w:lvlJc w:val="left"/>
      <w:pPr>
        <w:ind w:left="1769" w:hanging="360"/>
      </w:pPr>
      <w:rPr>
        <w:rFonts w:hint="default"/>
        <w:color w:val="auto"/>
      </w:rPr>
    </w:lvl>
    <w:lvl w:ilvl="1" w:tplc="080C0019" w:tentative="1">
      <w:start w:val="1"/>
      <w:numFmt w:val="lowerLetter"/>
      <w:lvlText w:val="%2."/>
      <w:lvlJc w:val="left"/>
      <w:pPr>
        <w:ind w:left="2489" w:hanging="360"/>
      </w:pPr>
    </w:lvl>
    <w:lvl w:ilvl="2" w:tplc="080C001B" w:tentative="1">
      <w:start w:val="1"/>
      <w:numFmt w:val="lowerRoman"/>
      <w:lvlText w:val="%3."/>
      <w:lvlJc w:val="right"/>
      <w:pPr>
        <w:ind w:left="3209" w:hanging="180"/>
      </w:pPr>
    </w:lvl>
    <w:lvl w:ilvl="3" w:tplc="080C000F" w:tentative="1">
      <w:start w:val="1"/>
      <w:numFmt w:val="decimal"/>
      <w:lvlText w:val="%4."/>
      <w:lvlJc w:val="left"/>
      <w:pPr>
        <w:ind w:left="3929" w:hanging="360"/>
      </w:pPr>
    </w:lvl>
    <w:lvl w:ilvl="4" w:tplc="080C0019" w:tentative="1">
      <w:start w:val="1"/>
      <w:numFmt w:val="lowerLetter"/>
      <w:lvlText w:val="%5."/>
      <w:lvlJc w:val="left"/>
      <w:pPr>
        <w:ind w:left="4649" w:hanging="360"/>
      </w:pPr>
    </w:lvl>
    <w:lvl w:ilvl="5" w:tplc="080C001B" w:tentative="1">
      <w:start w:val="1"/>
      <w:numFmt w:val="lowerRoman"/>
      <w:lvlText w:val="%6."/>
      <w:lvlJc w:val="right"/>
      <w:pPr>
        <w:ind w:left="5369" w:hanging="180"/>
      </w:pPr>
    </w:lvl>
    <w:lvl w:ilvl="6" w:tplc="080C000F" w:tentative="1">
      <w:start w:val="1"/>
      <w:numFmt w:val="decimal"/>
      <w:lvlText w:val="%7."/>
      <w:lvlJc w:val="left"/>
      <w:pPr>
        <w:ind w:left="6089" w:hanging="360"/>
      </w:pPr>
    </w:lvl>
    <w:lvl w:ilvl="7" w:tplc="080C0019" w:tentative="1">
      <w:start w:val="1"/>
      <w:numFmt w:val="lowerLetter"/>
      <w:lvlText w:val="%8."/>
      <w:lvlJc w:val="left"/>
      <w:pPr>
        <w:ind w:left="6809" w:hanging="360"/>
      </w:pPr>
    </w:lvl>
    <w:lvl w:ilvl="8" w:tplc="080C001B" w:tentative="1">
      <w:start w:val="1"/>
      <w:numFmt w:val="lowerRoman"/>
      <w:lvlText w:val="%9."/>
      <w:lvlJc w:val="right"/>
      <w:pPr>
        <w:ind w:left="7529" w:hanging="180"/>
      </w:pPr>
    </w:lvl>
  </w:abstractNum>
  <w:abstractNum w:abstractNumId="91" w15:restartNumberingAfterBreak="0">
    <w:nsid w:val="3A7142BA"/>
    <w:multiLevelType w:val="hybridMultilevel"/>
    <w:tmpl w:val="67C0B1C4"/>
    <w:lvl w:ilvl="0" w:tplc="D3F02DFA">
      <w:start w:val="1"/>
      <w:numFmt w:val="lowerLetter"/>
      <w:lvlText w:val="%1)"/>
      <w:lvlJc w:val="left"/>
      <w:pPr>
        <w:tabs>
          <w:tab w:val="num" w:pos="360"/>
        </w:tabs>
        <w:ind w:left="360" w:hanging="360"/>
      </w:pPr>
      <w:rPr>
        <w:rFonts w:hint="default"/>
      </w:rPr>
    </w:lvl>
    <w:lvl w:ilvl="1" w:tplc="DDCEE1A4">
      <w:start w:val="1"/>
      <w:numFmt w:val="decimal"/>
      <w:lvlText w:val="%2)"/>
      <w:lvlJc w:val="left"/>
      <w:pPr>
        <w:tabs>
          <w:tab w:val="num" w:pos="1080"/>
        </w:tabs>
        <w:ind w:left="1080" w:hanging="360"/>
      </w:pPr>
      <w:rPr>
        <w:rFonts w:hint="default"/>
      </w:r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92" w15:restartNumberingAfterBreak="0">
    <w:nsid w:val="3C636C19"/>
    <w:multiLevelType w:val="hybridMultilevel"/>
    <w:tmpl w:val="0FFCBB76"/>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C7929D9"/>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4" w15:restartNumberingAfterBreak="0">
    <w:nsid w:val="3CCD45C4"/>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95" w15:restartNumberingAfterBreak="0">
    <w:nsid w:val="3D830302"/>
    <w:multiLevelType w:val="hybridMultilevel"/>
    <w:tmpl w:val="42622EDA"/>
    <w:lvl w:ilvl="0" w:tplc="3FB690D4">
      <w:start w:val="1"/>
      <w:numFmt w:val="decimal"/>
      <w:lvlText w:val="%1."/>
      <w:lvlJc w:val="left"/>
      <w:pPr>
        <w:tabs>
          <w:tab w:val="num" w:pos="360"/>
        </w:tabs>
        <w:ind w:left="360" w:hanging="360"/>
      </w:pPr>
      <w:rPr>
        <w:color w:val="auto"/>
      </w:r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96" w15:restartNumberingAfterBreak="0">
    <w:nsid w:val="3F5E28C7"/>
    <w:multiLevelType w:val="hybridMultilevel"/>
    <w:tmpl w:val="15F6C56C"/>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F7705E8"/>
    <w:multiLevelType w:val="hybridMultilevel"/>
    <w:tmpl w:val="B0BEE518"/>
    <w:lvl w:ilvl="0" w:tplc="FFFFFFFF">
      <w:start w:val="1"/>
      <w:numFmt w:val="bullet"/>
      <w:lvlText w:val=""/>
      <w:lvlJc w:val="left"/>
      <w:pPr>
        <w:tabs>
          <w:tab w:val="num" w:pos="1440"/>
        </w:tabs>
        <w:ind w:left="1440" w:hanging="360"/>
      </w:pPr>
      <w:rPr>
        <w:rFonts w:ascii="Symbol" w:hAnsi="Symbol" w:hint="default"/>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0344E7B"/>
    <w:multiLevelType w:val="hybridMultilevel"/>
    <w:tmpl w:val="35D6E49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9" w15:restartNumberingAfterBreak="0">
    <w:nsid w:val="405A7E42"/>
    <w:multiLevelType w:val="hybridMultilevel"/>
    <w:tmpl w:val="73E46E1C"/>
    <w:lvl w:ilvl="0" w:tplc="040C0001">
      <w:start w:val="1"/>
      <w:numFmt w:val="bullet"/>
      <w:lvlText w:val=""/>
      <w:lvlJc w:val="left"/>
      <w:pPr>
        <w:tabs>
          <w:tab w:val="num" w:pos="1077"/>
        </w:tabs>
        <w:ind w:left="1077" w:hanging="360"/>
      </w:pPr>
      <w:rPr>
        <w:rFonts w:ascii="Symbol" w:hAnsi="Symbol" w:hint="default"/>
      </w:rPr>
    </w:lvl>
    <w:lvl w:ilvl="1" w:tplc="39C6A9CA">
      <w:start w:val="1"/>
      <w:numFmt w:val="bullet"/>
      <w:lvlText w:val="o"/>
      <w:lvlJc w:val="left"/>
      <w:pPr>
        <w:tabs>
          <w:tab w:val="num" w:pos="1440"/>
        </w:tabs>
        <w:ind w:left="1440" w:hanging="360"/>
      </w:pPr>
      <w:rPr>
        <w:rFonts w:ascii="Courier New" w:hAnsi="Courier New" w:hint="default"/>
      </w:rPr>
    </w:lvl>
    <w:lvl w:ilvl="2" w:tplc="2FFC2652">
      <w:start w:val="1"/>
      <w:numFmt w:val="bullet"/>
      <w:lvlText w:val=""/>
      <w:lvlJc w:val="left"/>
      <w:pPr>
        <w:tabs>
          <w:tab w:val="num" w:pos="2160"/>
        </w:tabs>
        <w:ind w:left="2160" w:hanging="360"/>
      </w:pPr>
      <w:rPr>
        <w:rFonts w:ascii="Wingdings" w:hAnsi="Wingdings" w:hint="default"/>
      </w:rPr>
    </w:lvl>
    <w:lvl w:ilvl="3" w:tplc="9EF83C96" w:tentative="1">
      <w:start w:val="1"/>
      <w:numFmt w:val="bullet"/>
      <w:lvlText w:val=""/>
      <w:lvlJc w:val="left"/>
      <w:pPr>
        <w:tabs>
          <w:tab w:val="num" w:pos="2880"/>
        </w:tabs>
        <w:ind w:left="2880" w:hanging="360"/>
      </w:pPr>
      <w:rPr>
        <w:rFonts w:ascii="Symbol" w:hAnsi="Symbol" w:hint="default"/>
      </w:rPr>
    </w:lvl>
    <w:lvl w:ilvl="4" w:tplc="CEB0C4E0" w:tentative="1">
      <w:start w:val="1"/>
      <w:numFmt w:val="bullet"/>
      <w:lvlText w:val="o"/>
      <w:lvlJc w:val="left"/>
      <w:pPr>
        <w:tabs>
          <w:tab w:val="num" w:pos="3600"/>
        </w:tabs>
        <w:ind w:left="3600" w:hanging="360"/>
      </w:pPr>
      <w:rPr>
        <w:rFonts w:ascii="Courier New" w:hAnsi="Courier New" w:hint="default"/>
      </w:rPr>
    </w:lvl>
    <w:lvl w:ilvl="5" w:tplc="504ABFBA" w:tentative="1">
      <w:start w:val="1"/>
      <w:numFmt w:val="bullet"/>
      <w:lvlText w:val=""/>
      <w:lvlJc w:val="left"/>
      <w:pPr>
        <w:tabs>
          <w:tab w:val="num" w:pos="4320"/>
        </w:tabs>
        <w:ind w:left="4320" w:hanging="360"/>
      </w:pPr>
      <w:rPr>
        <w:rFonts w:ascii="Wingdings" w:hAnsi="Wingdings" w:hint="default"/>
      </w:rPr>
    </w:lvl>
    <w:lvl w:ilvl="6" w:tplc="C456CE4A" w:tentative="1">
      <w:start w:val="1"/>
      <w:numFmt w:val="bullet"/>
      <w:lvlText w:val=""/>
      <w:lvlJc w:val="left"/>
      <w:pPr>
        <w:tabs>
          <w:tab w:val="num" w:pos="5040"/>
        </w:tabs>
        <w:ind w:left="5040" w:hanging="360"/>
      </w:pPr>
      <w:rPr>
        <w:rFonts w:ascii="Symbol" w:hAnsi="Symbol" w:hint="default"/>
      </w:rPr>
    </w:lvl>
    <w:lvl w:ilvl="7" w:tplc="7ED8C390" w:tentative="1">
      <w:start w:val="1"/>
      <w:numFmt w:val="bullet"/>
      <w:lvlText w:val="o"/>
      <w:lvlJc w:val="left"/>
      <w:pPr>
        <w:tabs>
          <w:tab w:val="num" w:pos="5760"/>
        </w:tabs>
        <w:ind w:left="5760" w:hanging="360"/>
      </w:pPr>
      <w:rPr>
        <w:rFonts w:ascii="Courier New" w:hAnsi="Courier New" w:hint="default"/>
      </w:rPr>
    </w:lvl>
    <w:lvl w:ilvl="8" w:tplc="145683D2"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418E30CE"/>
    <w:multiLevelType w:val="hybridMultilevel"/>
    <w:tmpl w:val="179AD88A"/>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1AD419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102" w15:restartNumberingAfterBreak="0">
    <w:nsid w:val="4281138F"/>
    <w:multiLevelType w:val="hybridMultilevel"/>
    <w:tmpl w:val="0096F710"/>
    <w:lvl w:ilvl="0" w:tplc="2FF67680">
      <w:start w:val="1"/>
      <w:numFmt w:val="bullet"/>
      <w:lvlText w:val=""/>
      <w:lvlJc w:val="left"/>
      <w:pPr>
        <w:tabs>
          <w:tab w:val="num" w:pos="1176"/>
        </w:tabs>
        <w:ind w:left="1176" w:hanging="360"/>
      </w:pPr>
      <w:rPr>
        <w:rFonts w:ascii="Symbol" w:hAnsi="Symbol" w:hint="default"/>
        <w:sz w:val="16"/>
      </w:rPr>
    </w:lvl>
    <w:lvl w:ilvl="1" w:tplc="040C0003" w:tentative="1">
      <w:start w:val="1"/>
      <w:numFmt w:val="bullet"/>
      <w:lvlText w:val="o"/>
      <w:lvlJc w:val="left"/>
      <w:pPr>
        <w:tabs>
          <w:tab w:val="num" w:pos="1896"/>
        </w:tabs>
        <w:ind w:left="1896" w:hanging="360"/>
      </w:pPr>
      <w:rPr>
        <w:rFonts w:ascii="Courier New" w:hAnsi="Courier New" w:hint="default"/>
      </w:rPr>
    </w:lvl>
    <w:lvl w:ilvl="2" w:tplc="040C0005" w:tentative="1">
      <w:start w:val="1"/>
      <w:numFmt w:val="bullet"/>
      <w:lvlText w:val=""/>
      <w:lvlJc w:val="left"/>
      <w:pPr>
        <w:tabs>
          <w:tab w:val="num" w:pos="2616"/>
        </w:tabs>
        <w:ind w:left="2616" w:hanging="360"/>
      </w:pPr>
      <w:rPr>
        <w:rFonts w:ascii="Wingdings" w:hAnsi="Wingdings" w:hint="default"/>
      </w:rPr>
    </w:lvl>
    <w:lvl w:ilvl="3" w:tplc="040C0001" w:tentative="1">
      <w:start w:val="1"/>
      <w:numFmt w:val="bullet"/>
      <w:lvlText w:val=""/>
      <w:lvlJc w:val="left"/>
      <w:pPr>
        <w:tabs>
          <w:tab w:val="num" w:pos="3336"/>
        </w:tabs>
        <w:ind w:left="3336" w:hanging="360"/>
      </w:pPr>
      <w:rPr>
        <w:rFonts w:ascii="Symbol" w:hAnsi="Symbol" w:hint="default"/>
      </w:rPr>
    </w:lvl>
    <w:lvl w:ilvl="4" w:tplc="040C0003" w:tentative="1">
      <w:start w:val="1"/>
      <w:numFmt w:val="bullet"/>
      <w:lvlText w:val="o"/>
      <w:lvlJc w:val="left"/>
      <w:pPr>
        <w:tabs>
          <w:tab w:val="num" w:pos="4056"/>
        </w:tabs>
        <w:ind w:left="4056" w:hanging="360"/>
      </w:pPr>
      <w:rPr>
        <w:rFonts w:ascii="Courier New" w:hAnsi="Courier New" w:hint="default"/>
      </w:rPr>
    </w:lvl>
    <w:lvl w:ilvl="5" w:tplc="040C0005" w:tentative="1">
      <w:start w:val="1"/>
      <w:numFmt w:val="bullet"/>
      <w:lvlText w:val=""/>
      <w:lvlJc w:val="left"/>
      <w:pPr>
        <w:tabs>
          <w:tab w:val="num" w:pos="4776"/>
        </w:tabs>
        <w:ind w:left="4776" w:hanging="360"/>
      </w:pPr>
      <w:rPr>
        <w:rFonts w:ascii="Wingdings" w:hAnsi="Wingdings" w:hint="default"/>
      </w:rPr>
    </w:lvl>
    <w:lvl w:ilvl="6" w:tplc="040C0001" w:tentative="1">
      <w:start w:val="1"/>
      <w:numFmt w:val="bullet"/>
      <w:lvlText w:val=""/>
      <w:lvlJc w:val="left"/>
      <w:pPr>
        <w:tabs>
          <w:tab w:val="num" w:pos="5496"/>
        </w:tabs>
        <w:ind w:left="5496" w:hanging="360"/>
      </w:pPr>
      <w:rPr>
        <w:rFonts w:ascii="Symbol" w:hAnsi="Symbol" w:hint="default"/>
      </w:rPr>
    </w:lvl>
    <w:lvl w:ilvl="7" w:tplc="040C0003" w:tentative="1">
      <w:start w:val="1"/>
      <w:numFmt w:val="bullet"/>
      <w:lvlText w:val="o"/>
      <w:lvlJc w:val="left"/>
      <w:pPr>
        <w:tabs>
          <w:tab w:val="num" w:pos="6216"/>
        </w:tabs>
        <w:ind w:left="6216" w:hanging="360"/>
      </w:pPr>
      <w:rPr>
        <w:rFonts w:ascii="Courier New" w:hAnsi="Courier New" w:hint="default"/>
      </w:rPr>
    </w:lvl>
    <w:lvl w:ilvl="8" w:tplc="040C0005" w:tentative="1">
      <w:start w:val="1"/>
      <w:numFmt w:val="bullet"/>
      <w:lvlText w:val=""/>
      <w:lvlJc w:val="left"/>
      <w:pPr>
        <w:tabs>
          <w:tab w:val="num" w:pos="6936"/>
        </w:tabs>
        <w:ind w:left="6936" w:hanging="360"/>
      </w:pPr>
      <w:rPr>
        <w:rFonts w:ascii="Wingdings" w:hAnsi="Wingdings" w:hint="default"/>
      </w:rPr>
    </w:lvl>
  </w:abstractNum>
  <w:abstractNum w:abstractNumId="103" w15:restartNumberingAfterBreak="0">
    <w:nsid w:val="4569090F"/>
    <w:multiLevelType w:val="hybridMultilevel"/>
    <w:tmpl w:val="1764C850"/>
    <w:lvl w:ilvl="0" w:tplc="040C0005">
      <w:start w:val="1"/>
      <w:numFmt w:val="bullet"/>
      <w:lvlText w:val=""/>
      <w:lvlJc w:val="left"/>
      <w:pPr>
        <w:tabs>
          <w:tab w:val="num" w:pos="1260"/>
        </w:tabs>
        <w:ind w:left="1260" w:hanging="360"/>
      </w:pPr>
      <w:rPr>
        <w:rFonts w:ascii="Wingdings" w:hAnsi="Wingdings" w:hint="default"/>
      </w:rPr>
    </w:lvl>
    <w:lvl w:ilvl="1" w:tplc="040C0003" w:tentative="1">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04" w15:restartNumberingAfterBreak="0">
    <w:nsid w:val="45CC6173"/>
    <w:multiLevelType w:val="hybridMultilevel"/>
    <w:tmpl w:val="74F8E2B2"/>
    <w:lvl w:ilvl="0" w:tplc="040C0017">
      <w:start w:val="1"/>
      <w:numFmt w:val="lowerLetter"/>
      <w:lvlText w:val="%1)"/>
      <w:lvlJc w:val="left"/>
      <w:pPr>
        <w:tabs>
          <w:tab w:val="num" w:pos="360"/>
        </w:tabs>
        <w:ind w:left="360" w:hanging="360"/>
      </w:pPr>
    </w:lvl>
    <w:lvl w:ilvl="1" w:tplc="040C0019" w:tentative="1">
      <w:start w:val="1"/>
      <w:numFmt w:val="lowerLetter"/>
      <w:lvlText w:val="%2."/>
      <w:lvlJc w:val="left"/>
      <w:pPr>
        <w:tabs>
          <w:tab w:val="num" w:pos="1080"/>
        </w:tabs>
        <w:ind w:left="1080" w:hanging="360"/>
      </w:pPr>
    </w:lvl>
    <w:lvl w:ilvl="2" w:tplc="040C001B" w:tentative="1">
      <w:start w:val="1"/>
      <w:numFmt w:val="lowerRoman"/>
      <w:lvlText w:val="%3."/>
      <w:lvlJc w:val="right"/>
      <w:pPr>
        <w:tabs>
          <w:tab w:val="num" w:pos="1800"/>
        </w:tabs>
        <w:ind w:left="1800" w:hanging="180"/>
      </w:pPr>
    </w:lvl>
    <w:lvl w:ilvl="3" w:tplc="040C000F" w:tentative="1">
      <w:start w:val="1"/>
      <w:numFmt w:val="decimal"/>
      <w:lvlText w:val="%4."/>
      <w:lvlJc w:val="left"/>
      <w:pPr>
        <w:tabs>
          <w:tab w:val="num" w:pos="2520"/>
        </w:tabs>
        <w:ind w:left="2520" w:hanging="360"/>
      </w:pPr>
    </w:lvl>
    <w:lvl w:ilvl="4" w:tplc="040C0019" w:tentative="1">
      <w:start w:val="1"/>
      <w:numFmt w:val="lowerLetter"/>
      <w:lvlText w:val="%5."/>
      <w:lvlJc w:val="left"/>
      <w:pPr>
        <w:tabs>
          <w:tab w:val="num" w:pos="3240"/>
        </w:tabs>
        <w:ind w:left="3240" w:hanging="360"/>
      </w:pPr>
    </w:lvl>
    <w:lvl w:ilvl="5" w:tplc="040C001B" w:tentative="1">
      <w:start w:val="1"/>
      <w:numFmt w:val="lowerRoman"/>
      <w:lvlText w:val="%6."/>
      <w:lvlJc w:val="right"/>
      <w:pPr>
        <w:tabs>
          <w:tab w:val="num" w:pos="3960"/>
        </w:tabs>
        <w:ind w:left="3960" w:hanging="180"/>
      </w:pPr>
    </w:lvl>
    <w:lvl w:ilvl="6" w:tplc="040C000F" w:tentative="1">
      <w:start w:val="1"/>
      <w:numFmt w:val="decimal"/>
      <w:lvlText w:val="%7."/>
      <w:lvlJc w:val="left"/>
      <w:pPr>
        <w:tabs>
          <w:tab w:val="num" w:pos="4680"/>
        </w:tabs>
        <w:ind w:left="4680" w:hanging="360"/>
      </w:pPr>
    </w:lvl>
    <w:lvl w:ilvl="7" w:tplc="040C0019" w:tentative="1">
      <w:start w:val="1"/>
      <w:numFmt w:val="lowerLetter"/>
      <w:lvlText w:val="%8."/>
      <w:lvlJc w:val="left"/>
      <w:pPr>
        <w:tabs>
          <w:tab w:val="num" w:pos="5400"/>
        </w:tabs>
        <w:ind w:left="5400" w:hanging="360"/>
      </w:pPr>
    </w:lvl>
    <w:lvl w:ilvl="8" w:tplc="040C001B" w:tentative="1">
      <w:start w:val="1"/>
      <w:numFmt w:val="lowerRoman"/>
      <w:lvlText w:val="%9."/>
      <w:lvlJc w:val="right"/>
      <w:pPr>
        <w:tabs>
          <w:tab w:val="num" w:pos="6120"/>
        </w:tabs>
        <w:ind w:left="6120" w:hanging="180"/>
      </w:pPr>
    </w:lvl>
  </w:abstractNum>
  <w:abstractNum w:abstractNumId="105" w15:restartNumberingAfterBreak="0">
    <w:nsid w:val="47276B21"/>
    <w:multiLevelType w:val="hybridMultilevel"/>
    <w:tmpl w:val="ADB8DE96"/>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06" w15:restartNumberingAfterBreak="0">
    <w:nsid w:val="47DF731F"/>
    <w:multiLevelType w:val="hybridMultilevel"/>
    <w:tmpl w:val="9F16A7AA"/>
    <w:lvl w:ilvl="0" w:tplc="A8D227A2">
      <w:start w:val="1"/>
      <w:numFmt w:val="bullet"/>
      <w:lvlText w:val=""/>
      <w:lvlPicBulletId w:val="0"/>
      <w:lvlJc w:val="left"/>
      <w:pPr>
        <w:tabs>
          <w:tab w:val="num" w:pos="720"/>
        </w:tabs>
        <w:ind w:left="720" w:hanging="360"/>
      </w:pPr>
      <w:rPr>
        <w:rFonts w:ascii="Symbol" w:hAnsi="Symbol" w:hint="default"/>
      </w:rPr>
    </w:lvl>
    <w:lvl w:ilvl="1" w:tplc="CD028052" w:tentative="1">
      <w:start w:val="1"/>
      <w:numFmt w:val="bullet"/>
      <w:lvlText w:val=""/>
      <w:lvlJc w:val="left"/>
      <w:pPr>
        <w:tabs>
          <w:tab w:val="num" w:pos="1440"/>
        </w:tabs>
        <w:ind w:left="1440" w:hanging="360"/>
      </w:pPr>
      <w:rPr>
        <w:rFonts w:ascii="Symbol" w:hAnsi="Symbol" w:hint="default"/>
      </w:rPr>
    </w:lvl>
    <w:lvl w:ilvl="2" w:tplc="552A8BC8" w:tentative="1">
      <w:start w:val="1"/>
      <w:numFmt w:val="bullet"/>
      <w:lvlText w:val=""/>
      <w:lvlJc w:val="left"/>
      <w:pPr>
        <w:tabs>
          <w:tab w:val="num" w:pos="2160"/>
        </w:tabs>
        <w:ind w:left="2160" w:hanging="360"/>
      </w:pPr>
      <w:rPr>
        <w:rFonts w:ascii="Symbol" w:hAnsi="Symbol" w:hint="default"/>
      </w:rPr>
    </w:lvl>
    <w:lvl w:ilvl="3" w:tplc="FF9EE9C6" w:tentative="1">
      <w:start w:val="1"/>
      <w:numFmt w:val="bullet"/>
      <w:lvlText w:val=""/>
      <w:lvlJc w:val="left"/>
      <w:pPr>
        <w:tabs>
          <w:tab w:val="num" w:pos="2880"/>
        </w:tabs>
        <w:ind w:left="2880" w:hanging="360"/>
      </w:pPr>
      <w:rPr>
        <w:rFonts w:ascii="Symbol" w:hAnsi="Symbol" w:hint="default"/>
      </w:rPr>
    </w:lvl>
    <w:lvl w:ilvl="4" w:tplc="0F407FBE" w:tentative="1">
      <w:start w:val="1"/>
      <w:numFmt w:val="bullet"/>
      <w:lvlText w:val=""/>
      <w:lvlJc w:val="left"/>
      <w:pPr>
        <w:tabs>
          <w:tab w:val="num" w:pos="3600"/>
        </w:tabs>
        <w:ind w:left="3600" w:hanging="360"/>
      </w:pPr>
      <w:rPr>
        <w:rFonts w:ascii="Symbol" w:hAnsi="Symbol" w:hint="default"/>
      </w:rPr>
    </w:lvl>
    <w:lvl w:ilvl="5" w:tplc="0A581172" w:tentative="1">
      <w:start w:val="1"/>
      <w:numFmt w:val="bullet"/>
      <w:lvlText w:val=""/>
      <w:lvlJc w:val="left"/>
      <w:pPr>
        <w:tabs>
          <w:tab w:val="num" w:pos="4320"/>
        </w:tabs>
        <w:ind w:left="4320" w:hanging="360"/>
      </w:pPr>
      <w:rPr>
        <w:rFonts w:ascii="Symbol" w:hAnsi="Symbol" w:hint="default"/>
      </w:rPr>
    </w:lvl>
    <w:lvl w:ilvl="6" w:tplc="8CD09AA0" w:tentative="1">
      <w:start w:val="1"/>
      <w:numFmt w:val="bullet"/>
      <w:lvlText w:val=""/>
      <w:lvlJc w:val="left"/>
      <w:pPr>
        <w:tabs>
          <w:tab w:val="num" w:pos="5040"/>
        </w:tabs>
        <w:ind w:left="5040" w:hanging="360"/>
      </w:pPr>
      <w:rPr>
        <w:rFonts w:ascii="Symbol" w:hAnsi="Symbol" w:hint="default"/>
      </w:rPr>
    </w:lvl>
    <w:lvl w:ilvl="7" w:tplc="82F2F2D4" w:tentative="1">
      <w:start w:val="1"/>
      <w:numFmt w:val="bullet"/>
      <w:lvlText w:val=""/>
      <w:lvlJc w:val="left"/>
      <w:pPr>
        <w:tabs>
          <w:tab w:val="num" w:pos="5760"/>
        </w:tabs>
        <w:ind w:left="5760" w:hanging="360"/>
      </w:pPr>
      <w:rPr>
        <w:rFonts w:ascii="Symbol" w:hAnsi="Symbol" w:hint="default"/>
      </w:rPr>
    </w:lvl>
    <w:lvl w:ilvl="8" w:tplc="320C5CC8"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494D5F1E"/>
    <w:multiLevelType w:val="hybridMultilevel"/>
    <w:tmpl w:val="B08C749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494E0B36"/>
    <w:multiLevelType w:val="hybridMultilevel"/>
    <w:tmpl w:val="ACDAB902"/>
    <w:lvl w:ilvl="0" w:tplc="2826959C">
      <w:start w:val="1"/>
      <w:numFmt w:val="bullet"/>
      <w:lvlText w:val=""/>
      <w:lvlJc w:val="left"/>
      <w:pPr>
        <w:tabs>
          <w:tab w:val="num" w:pos="2460"/>
        </w:tabs>
        <w:ind w:left="2460" w:hanging="360"/>
      </w:pPr>
      <w:rPr>
        <w:rFonts w:ascii="Symbol" w:hAnsi="Symbol" w:hint="default"/>
        <w:color w:val="auto"/>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A543D1C"/>
    <w:multiLevelType w:val="hybridMultilevel"/>
    <w:tmpl w:val="16EE00DA"/>
    <w:lvl w:ilvl="0" w:tplc="040C0005">
      <w:start w:val="1"/>
      <w:numFmt w:val="bullet"/>
      <w:lvlText w:val=""/>
      <w:lvlJc w:val="left"/>
      <w:pPr>
        <w:tabs>
          <w:tab w:val="num" w:pos="2136"/>
        </w:tabs>
        <w:ind w:left="2136" w:hanging="360"/>
      </w:pPr>
      <w:rPr>
        <w:rFonts w:ascii="Wingdings" w:hAnsi="Wingdings" w:hint="default"/>
      </w:rPr>
    </w:lvl>
    <w:lvl w:ilvl="1" w:tplc="040C0003" w:tentative="1">
      <w:start w:val="1"/>
      <w:numFmt w:val="bullet"/>
      <w:lvlText w:val="o"/>
      <w:lvlJc w:val="left"/>
      <w:pPr>
        <w:tabs>
          <w:tab w:val="num" w:pos="2856"/>
        </w:tabs>
        <w:ind w:left="2856" w:hanging="360"/>
      </w:pPr>
      <w:rPr>
        <w:rFonts w:ascii="Courier New" w:hAnsi="Courier New" w:cs="Courier New" w:hint="default"/>
      </w:rPr>
    </w:lvl>
    <w:lvl w:ilvl="2" w:tplc="040C0005" w:tentative="1">
      <w:start w:val="1"/>
      <w:numFmt w:val="bullet"/>
      <w:lvlText w:val=""/>
      <w:lvlJc w:val="left"/>
      <w:pPr>
        <w:tabs>
          <w:tab w:val="num" w:pos="3576"/>
        </w:tabs>
        <w:ind w:left="3576" w:hanging="360"/>
      </w:pPr>
      <w:rPr>
        <w:rFonts w:ascii="Wingdings" w:hAnsi="Wingdings" w:hint="default"/>
      </w:rPr>
    </w:lvl>
    <w:lvl w:ilvl="3" w:tplc="040C0001" w:tentative="1">
      <w:start w:val="1"/>
      <w:numFmt w:val="bullet"/>
      <w:lvlText w:val=""/>
      <w:lvlJc w:val="left"/>
      <w:pPr>
        <w:tabs>
          <w:tab w:val="num" w:pos="4296"/>
        </w:tabs>
        <w:ind w:left="4296" w:hanging="360"/>
      </w:pPr>
      <w:rPr>
        <w:rFonts w:ascii="Symbol" w:hAnsi="Symbol" w:hint="default"/>
      </w:rPr>
    </w:lvl>
    <w:lvl w:ilvl="4" w:tplc="040C0003" w:tentative="1">
      <w:start w:val="1"/>
      <w:numFmt w:val="bullet"/>
      <w:lvlText w:val="o"/>
      <w:lvlJc w:val="left"/>
      <w:pPr>
        <w:tabs>
          <w:tab w:val="num" w:pos="5016"/>
        </w:tabs>
        <w:ind w:left="5016" w:hanging="360"/>
      </w:pPr>
      <w:rPr>
        <w:rFonts w:ascii="Courier New" w:hAnsi="Courier New" w:cs="Courier New" w:hint="default"/>
      </w:rPr>
    </w:lvl>
    <w:lvl w:ilvl="5" w:tplc="040C0005" w:tentative="1">
      <w:start w:val="1"/>
      <w:numFmt w:val="bullet"/>
      <w:lvlText w:val=""/>
      <w:lvlJc w:val="left"/>
      <w:pPr>
        <w:tabs>
          <w:tab w:val="num" w:pos="5736"/>
        </w:tabs>
        <w:ind w:left="5736" w:hanging="360"/>
      </w:pPr>
      <w:rPr>
        <w:rFonts w:ascii="Wingdings" w:hAnsi="Wingdings" w:hint="default"/>
      </w:rPr>
    </w:lvl>
    <w:lvl w:ilvl="6" w:tplc="040C0001" w:tentative="1">
      <w:start w:val="1"/>
      <w:numFmt w:val="bullet"/>
      <w:lvlText w:val=""/>
      <w:lvlJc w:val="left"/>
      <w:pPr>
        <w:tabs>
          <w:tab w:val="num" w:pos="6456"/>
        </w:tabs>
        <w:ind w:left="6456" w:hanging="360"/>
      </w:pPr>
      <w:rPr>
        <w:rFonts w:ascii="Symbol" w:hAnsi="Symbol" w:hint="default"/>
      </w:rPr>
    </w:lvl>
    <w:lvl w:ilvl="7" w:tplc="040C0003" w:tentative="1">
      <w:start w:val="1"/>
      <w:numFmt w:val="bullet"/>
      <w:lvlText w:val="o"/>
      <w:lvlJc w:val="left"/>
      <w:pPr>
        <w:tabs>
          <w:tab w:val="num" w:pos="7176"/>
        </w:tabs>
        <w:ind w:left="7176" w:hanging="360"/>
      </w:pPr>
      <w:rPr>
        <w:rFonts w:ascii="Courier New" w:hAnsi="Courier New" w:cs="Courier New" w:hint="default"/>
      </w:rPr>
    </w:lvl>
    <w:lvl w:ilvl="8" w:tplc="040C0005" w:tentative="1">
      <w:start w:val="1"/>
      <w:numFmt w:val="bullet"/>
      <w:lvlText w:val=""/>
      <w:lvlJc w:val="left"/>
      <w:pPr>
        <w:tabs>
          <w:tab w:val="num" w:pos="7896"/>
        </w:tabs>
        <w:ind w:left="7896" w:hanging="360"/>
      </w:pPr>
      <w:rPr>
        <w:rFonts w:ascii="Wingdings" w:hAnsi="Wingdings" w:hint="default"/>
      </w:rPr>
    </w:lvl>
  </w:abstractNum>
  <w:abstractNum w:abstractNumId="110" w15:restartNumberingAfterBreak="0">
    <w:nsid w:val="4AC82164"/>
    <w:multiLevelType w:val="hybridMultilevel"/>
    <w:tmpl w:val="5A783550"/>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4AD51837"/>
    <w:multiLevelType w:val="hybridMultilevel"/>
    <w:tmpl w:val="7626FE84"/>
    <w:lvl w:ilvl="0" w:tplc="33580B5E">
      <w:start w:val="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4C0E08C2"/>
    <w:multiLevelType w:val="hybridMultilevel"/>
    <w:tmpl w:val="36445F98"/>
    <w:lvl w:ilvl="0" w:tplc="FFFFFFFF">
      <w:start w:val="1"/>
      <w:numFmt w:val="bullet"/>
      <w:lvlText w:val=""/>
      <w:lvlJc w:val="left"/>
      <w:pPr>
        <w:tabs>
          <w:tab w:val="num" w:pos="1440"/>
        </w:tabs>
        <w:ind w:left="1440"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4C327167"/>
    <w:multiLevelType w:val="singleLevel"/>
    <w:tmpl w:val="040C0015"/>
    <w:lvl w:ilvl="0">
      <w:start w:val="1"/>
      <w:numFmt w:val="upperLetter"/>
      <w:lvlText w:val="%1."/>
      <w:lvlJc w:val="left"/>
      <w:pPr>
        <w:tabs>
          <w:tab w:val="num" w:pos="360"/>
        </w:tabs>
        <w:ind w:left="360" w:hanging="360"/>
      </w:pPr>
    </w:lvl>
  </w:abstractNum>
  <w:abstractNum w:abstractNumId="114" w15:restartNumberingAfterBreak="0">
    <w:nsid w:val="4D57391A"/>
    <w:multiLevelType w:val="hybridMultilevel"/>
    <w:tmpl w:val="A4805BE8"/>
    <w:lvl w:ilvl="0" w:tplc="080C0003">
      <w:start w:val="1"/>
      <w:numFmt w:val="bullet"/>
      <w:lvlText w:val="o"/>
      <w:lvlJc w:val="left"/>
      <w:pPr>
        <w:ind w:left="720" w:hanging="360"/>
      </w:pPr>
      <w:rPr>
        <w:rFonts w:ascii="Courier New" w:hAnsi="Courier New" w:cs="Courier New" w:hint="default"/>
        <w:sz w:val="24"/>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5" w15:restartNumberingAfterBreak="0">
    <w:nsid w:val="4DDB1CC3"/>
    <w:multiLevelType w:val="hybridMultilevel"/>
    <w:tmpl w:val="556A1EB6"/>
    <w:lvl w:ilvl="0" w:tplc="FFFFFFFF">
      <w:start w:val="1"/>
      <w:numFmt w:val="bullet"/>
      <w:lvlText w:val=""/>
      <w:lvlJc w:val="left"/>
      <w:pPr>
        <w:tabs>
          <w:tab w:val="num" w:pos="2291"/>
        </w:tabs>
        <w:ind w:left="229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E0673AC"/>
    <w:multiLevelType w:val="multilevel"/>
    <w:tmpl w:val="040C0021"/>
    <w:lvl w:ilvl="0">
      <w:start w:val="1"/>
      <w:numFmt w:val="bullet"/>
      <w:lvlText w:val=""/>
      <w:lvlJc w:val="left"/>
      <w:pPr>
        <w:tabs>
          <w:tab w:val="num" w:pos="360"/>
        </w:tabs>
        <w:ind w:left="360" w:hanging="360"/>
      </w:pPr>
      <w:rPr>
        <w:rFonts w:ascii="Wingdings 2" w:hAnsi="Wingdings 2"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7" w15:restartNumberingAfterBreak="0">
    <w:nsid w:val="4FDB446B"/>
    <w:multiLevelType w:val="hybridMultilevel"/>
    <w:tmpl w:val="20C466B0"/>
    <w:lvl w:ilvl="0" w:tplc="040C0003">
      <w:start w:val="1"/>
      <w:numFmt w:val="bullet"/>
      <w:lvlText w:val="o"/>
      <w:lvlJc w:val="left"/>
      <w:pPr>
        <w:tabs>
          <w:tab w:val="num" w:pos="1080"/>
        </w:tabs>
        <w:ind w:left="1080" w:hanging="360"/>
      </w:pPr>
      <w:rPr>
        <w:rFonts w:ascii="Courier New" w:hAnsi="Courier New" w:cs="Courier New"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118" w15:restartNumberingAfterBreak="0">
    <w:nsid w:val="506F73D2"/>
    <w:multiLevelType w:val="hybridMultilevel"/>
    <w:tmpl w:val="0C88FE4A"/>
    <w:lvl w:ilvl="0" w:tplc="FFFFFFFF">
      <w:start w:val="1"/>
      <w:numFmt w:val="bullet"/>
      <w:lvlText w:val=""/>
      <w:lvlJc w:val="left"/>
      <w:pPr>
        <w:tabs>
          <w:tab w:val="num" w:pos="2291"/>
        </w:tabs>
        <w:ind w:left="229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50784EDD"/>
    <w:multiLevelType w:val="hybridMultilevel"/>
    <w:tmpl w:val="82F20172"/>
    <w:lvl w:ilvl="0" w:tplc="040C0005">
      <w:start w:val="1"/>
      <w:numFmt w:val="bullet"/>
      <w:lvlText w:val=""/>
      <w:lvlJc w:val="left"/>
      <w:pPr>
        <w:tabs>
          <w:tab w:val="num" w:pos="2136"/>
        </w:tabs>
        <w:ind w:left="2136" w:hanging="360"/>
      </w:pPr>
      <w:rPr>
        <w:rFonts w:ascii="Wingdings" w:hAnsi="Wingdings" w:hint="default"/>
      </w:rPr>
    </w:lvl>
    <w:lvl w:ilvl="1" w:tplc="040C0003" w:tentative="1">
      <w:start w:val="1"/>
      <w:numFmt w:val="bullet"/>
      <w:lvlText w:val="o"/>
      <w:lvlJc w:val="left"/>
      <w:pPr>
        <w:tabs>
          <w:tab w:val="num" w:pos="900"/>
        </w:tabs>
        <w:ind w:left="900" w:hanging="360"/>
      </w:pPr>
      <w:rPr>
        <w:rFonts w:ascii="Courier New" w:hAnsi="Courier New" w:cs="Courier New" w:hint="default"/>
      </w:rPr>
    </w:lvl>
    <w:lvl w:ilvl="2" w:tplc="040C0005" w:tentative="1">
      <w:start w:val="1"/>
      <w:numFmt w:val="bullet"/>
      <w:lvlText w:val=""/>
      <w:lvlJc w:val="left"/>
      <w:pPr>
        <w:tabs>
          <w:tab w:val="num" w:pos="1620"/>
        </w:tabs>
        <w:ind w:left="1620" w:hanging="360"/>
      </w:pPr>
      <w:rPr>
        <w:rFonts w:ascii="Wingdings" w:hAnsi="Wingdings" w:hint="default"/>
      </w:rPr>
    </w:lvl>
    <w:lvl w:ilvl="3" w:tplc="040C0001" w:tentative="1">
      <w:start w:val="1"/>
      <w:numFmt w:val="bullet"/>
      <w:lvlText w:val=""/>
      <w:lvlJc w:val="left"/>
      <w:pPr>
        <w:tabs>
          <w:tab w:val="num" w:pos="2340"/>
        </w:tabs>
        <w:ind w:left="2340" w:hanging="360"/>
      </w:pPr>
      <w:rPr>
        <w:rFonts w:ascii="Symbol" w:hAnsi="Symbol" w:hint="default"/>
      </w:rPr>
    </w:lvl>
    <w:lvl w:ilvl="4" w:tplc="040C0003" w:tentative="1">
      <w:start w:val="1"/>
      <w:numFmt w:val="bullet"/>
      <w:lvlText w:val="o"/>
      <w:lvlJc w:val="left"/>
      <w:pPr>
        <w:tabs>
          <w:tab w:val="num" w:pos="3060"/>
        </w:tabs>
        <w:ind w:left="3060" w:hanging="360"/>
      </w:pPr>
      <w:rPr>
        <w:rFonts w:ascii="Courier New" w:hAnsi="Courier New" w:cs="Courier New" w:hint="default"/>
      </w:rPr>
    </w:lvl>
    <w:lvl w:ilvl="5" w:tplc="040C0005" w:tentative="1">
      <w:start w:val="1"/>
      <w:numFmt w:val="bullet"/>
      <w:lvlText w:val=""/>
      <w:lvlJc w:val="left"/>
      <w:pPr>
        <w:tabs>
          <w:tab w:val="num" w:pos="3780"/>
        </w:tabs>
        <w:ind w:left="3780" w:hanging="360"/>
      </w:pPr>
      <w:rPr>
        <w:rFonts w:ascii="Wingdings" w:hAnsi="Wingdings" w:hint="default"/>
      </w:rPr>
    </w:lvl>
    <w:lvl w:ilvl="6" w:tplc="040C0001" w:tentative="1">
      <w:start w:val="1"/>
      <w:numFmt w:val="bullet"/>
      <w:lvlText w:val=""/>
      <w:lvlJc w:val="left"/>
      <w:pPr>
        <w:tabs>
          <w:tab w:val="num" w:pos="4500"/>
        </w:tabs>
        <w:ind w:left="4500" w:hanging="360"/>
      </w:pPr>
      <w:rPr>
        <w:rFonts w:ascii="Symbol" w:hAnsi="Symbol" w:hint="default"/>
      </w:rPr>
    </w:lvl>
    <w:lvl w:ilvl="7" w:tplc="040C0003" w:tentative="1">
      <w:start w:val="1"/>
      <w:numFmt w:val="bullet"/>
      <w:lvlText w:val="o"/>
      <w:lvlJc w:val="left"/>
      <w:pPr>
        <w:tabs>
          <w:tab w:val="num" w:pos="5220"/>
        </w:tabs>
        <w:ind w:left="5220" w:hanging="360"/>
      </w:pPr>
      <w:rPr>
        <w:rFonts w:ascii="Courier New" w:hAnsi="Courier New" w:cs="Courier New" w:hint="default"/>
      </w:rPr>
    </w:lvl>
    <w:lvl w:ilvl="8" w:tplc="040C0005" w:tentative="1">
      <w:start w:val="1"/>
      <w:numFmt w:val="bullet"/>
      <w:lvlText w:val=""/>
      <w:lvlJc w:val="left"/>
      <w:pPr>
        <w:tabs>
          <w:tab w:val="num" w:pos="5940"/>
        </w:tabs>
        <w:ind w:left="5940" w:hanging="360"/>
      </w:pPr>
      <w:rPr>
        <w:rFonts w:ascii="Wingdings" w:hAnsi="Wingdings" w:hint="default"/>
      </w:rPr>
    </w:lvl>
  </w:abstractNum>
  <w:abstractNum w:abstractNumId="120" w15:restartNumberingAfterBreak="0">
    <w:nsid w:val="509935EE"/>
    <w:multiLevelType w:val="hybridMultilevel"/>
    <w:tmpl w:val="5B64988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3A6162"/>
    <w:multiLevelType w:val="singleLevel"/>
    <w:tmpl w:val="040C000F"/>
    <w:lvl w:ilvl="0">
      <w:start w:val="1"/>
      <w:numFmt w:val="decimal"/>
      <w:lvlText w:val="%1."/>
      <w:lvlJc w:val="left"/>
      <w:pPr>
        <w:tabs>
          <w:tab w:val="num" w:pos="360"/>
        </w:tabs>
        <w:ind w:left="360" w:hanging="360"/>
      </w:pPr>
    </w:lvl>
  </w:abstractNum>
  <w:abstractNum w:abstractNumId="122" w15:restartNumberingAfterBreak="0">
    <w:nsid w:val="5143374F"/>
    <w:multiLevelType w:val="hybridMultilevel"/>
    <w:tmpl w:val="2D98705A"/>
    <w:lvl w:ilvl="0" w:tplc="FFFFFFFF">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2D21242"/>
    <w:multiLevelType w:val="hybridMultilevel"/>
    <w:tmpl w:val="D99E022C"/>
    <w:lvl w:ilvl="0" w:tplc="3B629572">
      <w:start w:val="1080"/>
      <w:numFmt w:val="decimal"/>
      <w:lvlText w:val="%1"/>
      <w:lvlJc w:val="left"/>
      <w:pPr>
        <w:tabs>
          <w:tab w:val="num" w:pos="1560"/>
        </w:tabs>
        <w:ind w:left="1560" w:hanging="660"/>
      </w:pPr>
      <w:rPr>
        <w:rFonts w:hint="default"/>
      </w:rPr>
    </w:lvl>
    <w:lvl w:ilvl="1" w:tplc="040C0019" w:tentative="1">
      <w:start w:val="1"/>
      <w:numFmt w:val="lowerLetter"/>
      <w:lvlText w:val="%2."/>
      <w:lvlJc w:val="left"/>
      <w:pPr>
        <w:tabs>
          <w:tab w:val="num" w:pos="1980"/>
        </w:tabs>
        <w:ind w:left="1980" w:hanging="360"/>
      </w:pPr>
    </w:lvl>
    <w:lvl w:ilvl="2" w:tplc="040C001B" w:tentative="1">
      <w:start w:val="1"/>
      <w:numFmt w:val="lowerRoman"/>
      <w:lvlText w:val="%3."/>
      <w:lvlJc w:val="right"/>
      <w:pPr>
        <w:tabs>
          <w:tab w:val="num" w:pos="2700"/>
        </w:tabs>
        <w:ind w:left="2700" w:hanging="180"/>
      </w:pPr>
    </w:lvl>
    <w:lvl w:ilvl="3" w:tplc="040C000F" w:tentative="1">
      <w:start w:val="1"/>
      <w:numFmt w:val="decimal"/>
      <w:lvlText w:val="%4."/>
      <w:lvlJc w:val="left"/>
      <w:pPr>
        <w:tabs>
          <w:tab w:val="num" w:pos="3420"/>
        </w:tabs>
        <w:ind w:left="3420" w:hanging="360"/>
      </w:pPr>
    </w:lvl>
    <w:lvl w:ilvl="4" w:tplc="040C0019" w:tentative="1">
      <w:start w:val="1"/>
      <w:numFmt w:val="lowerLetter"/>
      <w:lvlText w:val="%5."/>
      <w:lvlJc w:val="left"/>
      <w:pPr>
        <w:tabs>
          <w:tab w:val="num" w:pos="4140"/>
        </w:tabs>
        <w:ind w:left="4140" w:hanging="360"/>
      </w:pPr>
    </w:lvl>
    <w:lvl w:ilvl="5" w:tplc="040C001B" w:tentative="1">
      <w:start w:val="1"/>
      <w:numFmt w:val="lowerRoman"/>
      <w:lvlText w:val="%6."/>
      <w:lvlJc w:val="right"/>
      <w:pPr>
        <w:tabs>
          <w:tab w:val="num" w:pos="4860"/>
        </w:tabs>
        <w:ind w:left="4860" w:hanging="180"/>
      </w:pPr>
    </w:lvl>
    <w:lvl w:ilvl="6" w:tplc="040C000F" w:tentative="1">
      <w:start w:val="1"/>
      <w:numFmt w:val="decimal"/>
      <w:lvlText w:val="%7."/>
      <w:lvlJc w:val="left"/>
      <w:pPr>
        <w:tabs>
          <w:tab w:val="num" w:pos="5580"/>
        </w:tabs>
        <w:ind w:left="5580" w:hanging="360"/>
      </w:pPr>
    </w:lvl>
    <w:lvl w:ilvl="7" w:tplc="040C0019" w:tentative="1">
      <w:start w:val="1"/>
      <w:numFmt w:val="lowerLetter"/>
      <w:lvlText w:val="%8."/>
      <w:lvlJc w:val="left"/>
      <w:pPr>
        <w:tabs>
          <w:tab w:val="num" w:pos="6300"/>
        </w:tabs>
        <w:ind w:left="6300" w:hanging="360"/>
      </w:pPr>
    </w:lvl>
    <w:lvl w:ilvl="8" w:tplc="040C001B" w:tentative="1">
      <w:start w:val="1"/>
      <w:numFmt w:val="lowerRoman"/>
      <w:lvlText w:val="%9."/>
      <w:lvlJc w:val="right"/>
      <w:pPr>
        <w:tabs>
          <w:tab w:val="num" w:pos="7020"/>
        </w:tabs>
        <w:ind w:left="7020" w:hanging="180"/>
      </w:pPr>
    </w:lvl>
  </w:abstractNum>
  <w:abstractNum w:abstractNumId="124" w15:restartNumberingAfterBreak="0">
    <w:nsid w:val="52E56BF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25" w15:restartNumberingAfterBreak="0">
    <w:nsid w:val="53855C67"/>
    <w:multiLevelType w:val="hybridMultilevel"/>
    <w:tmpl w:val="53CE8140"/>
    <w:lvl w:ilvl="0" w:tplc="FFFFFFFF">
      <w:start w:val="1"/>
      <w:numFmt w:val="bullet"/>
      <w:lvlText w:val=""/>
      <w:lvlJc w:val="left"/>
      <w:pPr>
        <w:tabs>
          <w:tab w:val="num" w:pos="1440"/>
        </w:tabs>
        <w:ind w:left="1474" w:hanging="283"/>
      </w:pPr>
      <w:rPr>
        <w:rFonts w:ascii="Wingdings" w:hAnsi="Wingdings"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542F697E"/>
    <w:multiLevelType w:val="hybridMultilevel"/>
    <w:tmpl w:val="946A2F12"/>
    <w:lvl w:ilvl="0" w:tplc="2826959C">
      <w:start w:val="1"/>
      <w:numFmt w:val="bullet"/>
      <w:lvlText w:val=""/>
      <w:lvlJc w:val="left"/>
      <w:pPr>
        <w:tabs>
          <w:tab w:val="num" w:pos="2460"/>
        </w:tabs>
        <w:ind w:left="2460" w:hanging="360"/>
      </w:pPr>
      <w:rPr>
        <w:rFonts w:ascii="Symbol" w:hAnsi="Symbol" w:hint="default"/>
        <w:color w:val="auto"/>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7" w15:restartNumberingAfterBreak="0">
    <w:nsid w:val="54883030"/>
    <w:multiLevelType w:val="hybridMultilevel"/>
    <w:tmpl w:val="CAD86686"/>
    <w:lvl w:ilvl="0" w:tplc="080C0017">
      <w:start w:val="1"/>
      <w:numFmt w:val="lowerLetter"/>
      <w:lvlText w:val="%1)"/>
      <w:lvlJc w:val="left"/>
      <w:pPr>
        <w:ind w:left="765" w:hanging="360"/>
      </w:pPr>
      <w:rPr>
        <w:rFonts w:hint="default"/>
      </w:rPr>
    </w:lvl>
    <w:lvl w:ilvl="1" w:tplc="080C0003" w:tentative="1">
      <w:start w:val="1"/>
      <w:numFmt w:val="bullet"/>
      <w:lvlText w:val="o"/>
      <w:lvlJc w:val="left"/>
      <w:pPr>
        <w:ind w:left="1485" w:hanging="360"/>
      </w:pPr>
      <w:rPr>
        <w:rFonts w:ascii="Courier New" w:hAnsi="Courier New" w:cs="Courier New" w:hint="default"/>
      </w:rPr>
    </w:lvl>
    <w:lvl w:ilvl="2" w:tplc="080C0005" w:tentative="1">
      <w:start w:val="1"/>
      <w:numFmt w:val="bullet"/>
      <w:lvlText w:val=""/>
      <w:lvlJc w:val="left"/>
      <w:pPr>
        <w:ind w:left="2205" w:hanging="360"/>
      </w:pPr>
      <w:rPr>
        <w:rFonts w:ascii="Wingdings" w:hAnsi="Wingdings" w:hint="default"/>
      </w:rPr>
    </w:lvl>
    <w:lvl w:ilvl="3" w:tplc="080C0001" w:tentative="1">
      <w:start w:val="1"/>
      <w:numFmt w:val="bullet"/>
      <w:lvlText w:val=""/>
      <w:lvlJc w:val="left"/>
      <w:pPr>
        <w:ind w:left="2925" w:hanging="360"/>
      </w:pPr>
      <w:rPr>
        <w:rFonts w:ascii="Symbol" w:hAnsi="Symbol" w:hint="default"/>
      </w:rPr>
    </w:lvl>
    <w:lvl w:ilvl="4" w:tplc="080C0003" w:tentative="1">
      <w:start w:val="1"/>
      <w:numFmt w:val="bullet"/>
      <w:lvlText w:val="o"/>
      <w:lvlJc w:val="left"/>
      <w:pPr>
        <w:ind w:left="3645" w:hanging="360"/>
      </w:pPr>
      <w:rPr>
        <w:rFonts w:ascii="Courier New" w:hAnsi="Courier New" w:cs="Courier New" w:hint="default"/>
      </w:rPr>
    </w:lvl>
    <w:lvl w:ilvl="5" w:tplc="080C0005" w:tentative="1">
      <w:start w:val="1"/>
      <w:numFmt w:val="bullet"/>
      <w:lvlText w:val=""/>
      <w:lvlJc w:val="left"/>
      <w:pPr>
        <w:ind w:left="4365" w:hanging="360"/>
      </w:pPr>
      <w:rPr>
        <w:rFonts w:ascii="Wingdings" w:hAnsi="Wingdings" w:hint="default"/>
      </w:rPr>
    </w:lvl>
    <w:lvl w:ilvl="6" w:tplc="080C0001" w:tentative="1">
      <w:start w:val="1"/>
      <w:numFmt w:val="bullet"/>
      <w:lvlText w:val=""/>
      <w:lvlJc w:val="left"/>
      <w:pPr>
        <w:ind w:left="5085" w:hanging="360"/>
      </w:pPr>
      <w:rPr>
        <w:rFonts w:ascii="Symbol" w:hAnsi="Symbol" w:hint="default"/>
      </w:rPr>
    </w:lvl>
    <w:lvl w:ilvl="7" w:tplc="080C0003" w:tentative="1">
      <w:start w:val="1"/>
      <w:numFmt w:val="bullet"/>
      <w:lvlText w:val="o"/>
      <w:lvlJc w:val="left"/>
      <w:pPr>
        <w:ind w:left="5805" w:hanging="360"/>
      </w:pPr>
      <w:rPr>
        <w:rFonts w:ascii="Courier New" w:hAnsi="Courier New" w:cs="Courier New" w:hint="default"/>
      </w:rPr>
    </w:lvl>
    <w:lvl w:ilvl="8" w:tplc="080C0005" w:tentative="1">
      <w:start w:val="1"/>
      <w:numFmt w:val="bullet"/>
      <w:lvlText w:val=""/>
      <w:lvlJc w:val="left"/>
      <w:pPr>
        <w:ind w:left="6525" w:hanging="360"/>
      </w:pPr>
      <w:rPr>
        <w:rFonts w:ascii="Wingdings" w:hAnsi="Wingdings" w:hint="default"/>
      </w:rPr>
    </w:lvl>
  </w:abstractNum>
  <w:abstractNum w:abstractNumId="128" w15:restartNumberingAfterBreak="0">
    <w:nsid w:val="54BF7008"/>
    <w:multiLevelType w:val="hybridMultilevel"/>
    <w:tmpl w:val="CA4ECCC6"/>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500228E"/>
    <w:multiLevelType w:val="singleLevel"/>
    <w:tmpl w:val="BBF2A4A8"/>
    <w:lvl w:ilvl="0">
      <w:start w:val="1"/>
      <w:numFmt w:val="bullet"/>
      <w:lvlText w:val=""/>
      <w:lvlJc w:val="left"/>
      <w:pPr>
        <w:tabs>
          <w:tab w:val="num" w:pos="360"/>
        </w:tabs>
        <w:ind w:left="360" w:hanging="360"/>
      </w:pPr>
      <w:rPr>
        <w:rFonts w:ascii="Wingdings" w:hAnsi="Wingdings" w:hint="default"/>
      </w:rPr>
    </w:lvl>
  </w:abstractNum>
  <w:abstractNum w:abstractNumId="130" w15:restartNumberingAfterBreak="0">
    <w:nsid w:val="56B6581B"/>
    <w:multiLevelType w:val="hybridMultilevel"/>
    <w:tmpl w:val="B3F8BB32"/>
    <w:lvl w:ilvl="0" w:tplc="6890F54C">
      <w:start w:val="1"/>
      <w:numFmt w:val="decimal"/>
      <w:lvlText w:val="%1."/>
      <w:lvlJc w:val="left"/>
      <w:pPr>
        <w:tabs>
          <w:tab w:val="num" w:pos="720"/>
        </w:tabs>
        <w:ind w:left="720" w:hanging="36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1" w15:restartNumberingAfterBreak="0">
    <w:nsid w:val="57DD0727"/>
    <w:multiLevelType w:val="hybridMultilevel"/>
    <w:tmpl w:val="19A8985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5A3A3C50"/>
    <w:multiLevelType w:val="hybridMultilevel"/>
    <w:tmpl w:val="470C10E6"/>
    <w:lvl w:ilvl="0" w:tplc="040C0001">
      <w:start w:val="1"/>
      <w:numFmt w:val="bullet"/>
      <w:lvlText w:val=""/>
      <w:lvlJc w:val="left"/>
      <w:pPr>
        <w:tabs>
          <w:tab w:val="num" w:pos="1069"/>
        </w:tabs>
        <w:ind w:left="1069" w:hanging="360"/>
      </w:pPr>
      <w:rPr>
        <w:rFonts w:ascii="Symbol" w:hAnsi="Symbol" w:hint="default"/>
      </w:rPr>
    </w:lvl>
    <w:lvl w:ilvl="1" w:tplc="040C000F">
      <w:start w:val="1"/>
      <w:numFmt w:val="decimal"/>
      <w:lvlText w:val="%2."/>
      <w:lvlJc w:val="left"/>
      <w:pPr>
        <w:tabs>
          <w:tab w:val="num" w:pos="2149"/>
        </w:tabs>
        <w:ind w:left="2149" w:hanging="360"/>
      </w:pPr>
      <w:rPr>
        <w:rFonts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133" w15:restartNumberingAfterBreak="0">
    <w:nsid w:val="5AD3214A"/>
    <w:multiLevelType w:val="singleLevel"/>
    <w:tmpl w:val="040C000F"/>
    <w:lvl w:ilvl="0">
      <w:start w:val="1"/>
      <w:numFmt w:val="decimal"/>
      <w:lvlText w:val="%1."/>
      <w:lvlJc w:val="left"/>
      <w:pPr>
        <w:tabs>
          <w:tab w:val="num" w:pos="360"/>
        </w:tabs>
        <w:ind w:left="360" w:hanging="360"/>
      </w:pPr>
    </w:lvl>
  </w:abstractNum>
  <w:abstractNum w:abstractNumId="134" w15:restartNumberingAfterBreak="0">
    <w:nsid w:val="5BBB6EC3"/>
    <w:multiLevelType w:val="hybridMultilevel"/>
    <w:tmpl w:val="7FDED5C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5BCC7A7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36" w15:restartNumberingAfterBreak="0">
    <w:nsid w:val="5C003690"/>
    <w:multiLevelType w:val="hybridMultilevel"/>
    <w:tmpl w:val="2250BE7A"/>
    <w:lvl w:ilvl="0" w:tplc="2826959C">
      <w:start w:val="1"/>
      <w:numFmt w:val="bullet"/>
      <w:lvlText w:val=""/>
      <w:lvlJc w:val="left"/>
      <w:pPr>
        <w:tabs>
          <w:tab w:val="num" w:pos="2460"/>
        </w:tabs>
        <w:ind w:left="2460" w:hanging="360"/>
      </w:pPr>
      <w:rPr>
        <w:rFonts w:ascii="Symbol" w:hAnsi="Symbol" w:hint="default"/>
        <w:color w:val="auto"/>
        <w:sz w:val="20"/>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5C270E45"/>
    <w:multiLevelType w:val="hybridMultilevel"/>
    <w:tmpl w:val="471ED2E0"/>
    <w:lvl w:ilvl="0" w:tplc="040C0003">
      <w:start w:val="1"/>
      <w:numFmt w:val="bullet"/>
      <w:lvlText w:val="o"/>
      <w:lvlJc w:val="left"/>
      <w:pPr>
        <w:tabs>
          <w:tab w:val="num" w:pos="360"/>
        </w:tabs>
        <w:ind w:left="360" w:hanging="360"/>
      </w:pPr>
      <w:rPr>
        <w:rFonts w:ascii="Courier New" w:hAnsi="Courier New" w:cs="Courier New"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5E1352DB"/>
    <w:multiLevelType w:val="hybridMultilevel"/>
    <w:tmpl w:val="76A05C3A"/>
    <w:lvl w:ilvl="0" w:tplc="040C000F">
      <w:start w:val="1"/>
      <w:numFmt w:val="decimal"/>
      <w:lvlText w:val="%1."/>
      <w:lvlJc w:val="left"/>
      <w:pPr>
        <w:tabs>
          <w:tab w:val="num" w:pos="720"/>
        </w:tabs>
        <w:ind w:left="720" w:hanging="360"/>
      </w:pPr>
      <w:rPr>
        <w:rFonts w:hint="default"/>
      </w:rPr>
    </w:lvl>
    <w:lvl w:ilvl="1" w:tplc="0BB474BE">
      <w:start w:val="1"/>
      <w:numFmt w:val="bullet"/>
      <w:lvlText w:val="o"/>
      <w:lvlJc w:val="left"/>
      <w:pPr>
        <w:tabs>
          <w:tab w:val="num" w:pos="1440"/>
        </w:tabs>
        <w:ind w:left="1440" w:hanging="360"/>
      </w:pPr>
      <w:rPr>
        <w:rFonts w:ascii="Courier New" w:hAnsi="Courier New" w:cs="Courier New" w:hint="default"/>
      </w:rPr>
    </w:lvl>
    <w:lvl w:ilvl="2" w:tplc="344CC2E8" w:tentative="1">
      <w:start w:val="1"/>
      <w:numFmt w:val="bullet"/>
      <w:lvlText w:val=""/>
      <w:lvlJc w:val="left"/>
      <w:pPr>
        <w:tabs>
          <w:tab w:val="num" w:pos="2160"/>
        </w:tabs>
        <w:ind w:left="2160" w:hanging="360"/>
      </w:pPr>
      <w:rPr>
        <w:rFonts w:ascii="Wingdings" w:hAnsi="Wingdings" w:hint="default"/>
      </w:rPr>
    </w:lvl>
    <w:lvl w:ilvl="3" w:tplc="B79EC4E6" w:tentative="1">
      <w:start w:val="1"/>
      <w:numFmt w:val="bullet"/>
      <w:lvlText w:val=""/>
      <w:lvlJc w:val="left"/>
      <w:pPr>
        <w:tabs>
          <w:tab w:val="num" w:pos="2880"/>
        </w:tabs>
        <w:ind w:left="2880" w:hanging="360"/>
      </w:pPr>
      <w:rPr>
        <w:rFonts w:ascii="Symbol" w:hAnsi="Symbol" w:hint="default"/>
      </w:rPr>
    </w:lvl>
    <w:lvl w:ilvl="4" w:tplc="263647D4" w:tentative="1">
      <w:start w:val="1"/>
      <w:numFmt w:val="bullet"/>
      <w:lvlText w:val="o"/>
      <w:lvlJc w:val="left"/>
      <w:pPr>
        <w:tabs>
          <w:tab w:val="num" w:pos="3600"/>
        </w:tabs>
        <w:ind w:left="3600" w:hanging="360"/>
      </w:pPr>
      <w:rPr>
        <w:rFonts w:ascii="Courier New" w:hAnsi="Courier New" w:cs="Courier New" w:hint="default"/>
      </w:rPr>
    </w:lvl>
    <w:lvl w:ilvl="5" w:tplc="26E8E288" w:tentative="1">
      <w:start w:val="1"/>
      <w:numFmt w:val="bullet"/>
      <w:lvlText w:val=""/>
      <w:lvlJc w:val="left"/>
      <w:pPr>
        <w:tabs>
          <w:tab w:val="num" w:pos="4320"/>
        </w:tabs>
        <w:ind w:left="4320" w:hanging="360"/>
      </w:pPr>
      <w:rPr>
        <w:rFonts w:ascii="Wingdings" w:hAnsi="Wingdings" w:hint="default"/>
      </w:rPr>
    </w:lvl>
    <w:lvl w:ilvl="6" w:tplc="3184EDB8" w:tentative="1">
      <w:start w:val="1"/>
      <w:numFmt w:val="bullet"/>
      <w:lvlText w:val=""/>
      <w:lvlJc w:val="left"/>
      <w:pPr>
        <w:tabs>
          <w:tab w:val="num" w:pos="5040"/>
        </w:tabs>
        <w:ind w:left="5040" w:hanging="360"/>
      </w:pPr>
      <w:rPr>
        <w:rFonts w:ascii="Symbol" w:hAnsi="Symbol" w:hint="default"/>
      </w:rPr>
    </w:lvl>
    <w:lvl w:ilvl="7" w:tplc="3A2C10F2" w:tentative="1">
      <w:start w:val="1"/>
      <w:numFmt w:val="bullet"/>
      <w:lvlText w:val="o"/>
      <w:lvlJc w:val="left"/>
      <w:pPr>
        <w:tabs>
          <w:tab w:val="num" w:pos="5760"/>
        </w:tabs>
        <w:ind w:left="5760" w:hanging="360"/>
      </w:pPr>
      <w:rPr>
        <w:rFonts w:ascii="Courier New" w:hAnsi="Courier New" w:cs="Courier New" w:hint="default"/>
      </w:rPr>
    </w:lvl>
    <w:lvl w:ilvl="8" w:tplc="818673AE"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5E6D561E"/>
    <w:multiLevelType w:val="hybridMultilevel"/>
    <w:tmpl w:val="1E807318"/>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080" w:firstLine="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5F284D18"/>
    <w:multiLevelType w:val="hybridMultilevel"/>
    <w:tmpl w:val="C8E479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5F2B31C3"/>
    <w:multiLevelType w:val="hybridMultilevel"/>
    <w:tmpl w:val="C69CE1A6"/>
    <w:lvl w:ilvl="0" w:tplc="040C000F">
      <w:start w:val="1"/>
      <w:numFmt w:val="decimal"/>
      <w:lvlText w:val="%1."/>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5F727183"/>
    <w:multiLevelType w:val="hybridMultilevel"/>
    <w:tmpl w:val="E26C0F0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5FC976BF"/>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44" w15:restartNumberingAfterBreak="0">
    <w:nsid w:val="5FDC4741"/>
    <w:multiLevelType w:val="hybridMultilevel"/>
    <w:tmpl w:val="B8004960"/>
    <w:lvl w:ilvl="0" w:tplc="9378F320">
      <w:start w:val="1"/>
      <w:numFmt w:val="bullet"/>
      <w:lvlText w:val=""/>
      <w:lvlJc w:val="left"/>
      <w:pPr>
        <w:tabs>
          <w:tab w:val="num" w:pos="1995"/>
        </w:tabs>
        <w:ind w:left="1995" w:hanging="915"/>
      </w:pPr>
      <w:rPr>
        <w:rFonts w:ascii="Wingdings" w:eastAsia="Times New Roman" w:hAnsi="Wingdings" w:cs="Times New Roman"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145" w15:restartNumberingAfterBreak="0">
    <w:nsid w:val="6009781D"/>
    <w:multiLevelType w:val="hybridMultilevel"/>
    <w:tmpl w:val="8898D62C"/>
    <w:lvl w:ilvl="0" w:tplc="D3D63902">
      <w:numFmt w:val="bullet"/>
      <w:lvlText w:val=""/>
      <w:lvlJc w:val="left"/>
      <w:pPr>
        <w:tabs>
          <w:tab w:val="num" w:pos="720"/>
        </w:tabs>
        <w:ind w:left="720" w:hanging="360"/>
      </w:pPr>
      <w:rPr>
        <w:rFonts w:ascii="Symbol" w:eastAsia="Times New Roman" w:hAnsi="Symbol" w:cs="Arial" w:hint="default"/>
      </w:rPr>
    </w:lvl>
    <w:lvl w:ilvl="1" w:tplc="FFFFFFFF">
      <w:start w:val="1"/>
      <w:numFmt w:val="bullet"/>
      <w:lvlText w:val=""/>
      <w:lvlJc w:val="left"/>
      <w:pPr>
        <w:tabs>
          <w:tab w:val="num" w:pos="1440"/>
        </w:tabs>
        <w:ind w:left="1440" w:hanging="360"/>
      </w:pPr>
      <w:rPr>
        <w:rFonts w:ascii="Wingdings" w:hAnsi="Wingdings" w:hint="default"/>
        <w:color w:val="auto"/>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6" w15:restartNumberingAfterBreak="0">
    <w:nsid w:val="60DD5A20"/>
    <w:multiLevelType w:val="hybridMultilevel"/>
    <w:tmpl w:val="918E87EC"/>
    <w:lvl w:ilvl="0" w:tplc="860CF1CA">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61745D2E"/>
    <w:multiLevelType w:val="hybridMultilevel"/>
    <w:tmpl w:val="DF9AC90A"/>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28D7E18"/>
    <w:multiLevelType w:val="hybridMultilevel"/>
    <w:tmpl w:val="79286C36"/>
    <w:lvl w:ilvl="0" w:tplc="080C0001">
      <w:start w:val="3"/>
      <w:numFmt w:val="bullet"/>
      <w:lvlText w:val=""/>
      <w:lvlJc w:val="left"/>
      <w:pPr>
        <w:ind w:left="720" w:hanging="360"/>
      </w:pPr>
      <w:rPr>
        <w:rFonts w:ascii="Symbol" w:eastAsia="Times New Roman" w:hAnsi="Symbol"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9" w15:restartNumberingAfterBreak="0">
    <w:nsid w:val="629E1AF0"/>
    <w:multiLevelType w:val="multilevel"/>
    <w:tmpl w:val="9FBA4540"/>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abstractNum w:abstractNumId="150" w15:restartNumberingAfterBreak="0">
    <w:nsid w:val="62B17CE6"/>
    <w:multiLevelType w:val="hybridMultilevel"/>
    <w:tmpl w:val="8CBED7A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62F47884"/>
    <w:multiLevelType w:val="hybridMultilevel"/>
    <w:tmpl w:val="54048DF2"/>
    <w:lvl w:ilvl="0" w:tplc="027232F8">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2" w15:restartNumberingAfterBreak="0">
    <w:nsid w:val="635635BB"/>
    <w:multiLevelType w:val="hybridMultilevel"/>
    <w:tmpl w:val="FDE26042"/>
    <w:lvl w:ilvl="0" w:tplc="024ECA58">
      <w:start w:val="1"/>
      <w:numFmt w:val="bullet"/>
      <w:lvlText w:val=""/>
      <w:lvlJc w:val="left"/>
      <w:pPr>
        <w:tabs>
          <w:tab w:val="num" w:pos="899"/>
        </w:tabs>
        <w:ind w:left="899" w:hanging="360"/>
      </w:pPr>
      <w:rPr>
        <w:rFonts w:ascii="Symbol" w:hAnsi="Symbol" w:hint="default"/>
        <w:color w:val="auto"/>
      </w:rPr>
    </w:lvl>
    <w:lvl w:ilvl="1" w:tplc="080C0003" w:tentative="1">
      <w:start w:val="1"/>
      <w:numFmt w:val="bullet"/>
      <w:lvlText w:val="o"/>
      <w:lvlJc w:val="left"/>
      <w:pPr>
        <w:ind w:left="1979" w:hanging="360"/>
      </w:pPr>
      <w:rPr>
        <w:rFonts w:ascii="Courier New" w:hAnsi="Courier New" w:cs="Courier New" w:hint="default"/>
      </w:rPr>
    </w:lvl>
    <w:lvl w:ilvl="2" w:tplc="080C0005" w:tentative="1">
      <w:start w:val="1"/>
      <w:numFmt w:val="bullet"/>
      <w:lvlText w:val=""/>
      <w:lvlJc w:val="left"/>
      <w:pPr>
        <w:ind w:left="2699" w:hanging="360"/>
      </w:pPr>
      <w:rPr>
        <w:rFonts w:ascii="Wingdings" w:hAnsi="Wingdings" w:hint="default"/>
      </w:rPr>
    </w:lvl>
    <w:lvl w:ilvl="3" w:tplc="080C0001" w:tentative="1">
      <w:start w:val="1"/>
      <w:numFmt w:val="bullet"/>
      <w:lvlText w:val=""/>
      <w:lvlJc w:val="left"/>
      <w:pPr>
        <w:ind w:left="3419" w:hanging="360"/>
      </w:pPr>
      <w:rPr>
        <w:rFonts w:ascii="Symbol" w:hAnsi="Symbol" w:hint="default"/>
      </w:rPr>
    </w:lvl>
    <w:lvl w:ilvl="4" w:tplc="080C0003" w:tentative="1">
      <w:start w:val="1"/>
      <w:numFmt w:val="bullet"/>
      <w:lvlText w:val="o"/>
      <w:lvlJc w:val="left"/>
      <w:pPr>
        <w:ind w:left="4139" w:hanging="360"/>
      </w:pPr>
      <w:rPr>
        <w:rFonts w:ascii="Courier New" w:hAnsi="Courier New" w:cs="Courier New" w:hint="default"/>
      </w:rPr>
    </w:lvl>
    <w:lvl w:ilvl="5" w:tplc="080C0005" w:tentative="1">
      <w:start w:val="1"/>
      <w:numFmt w:val="bullet"/>
      <w:lvlText w:val=""/>
      <w:lvlJc w:val="left"/>
      <w:pPr>
        <w:ind w:left="4859" w:hanging="360"/>
      </w:pPr>
      <w:rPr>
        <w:rFonts w:ascii="Wingdings" w:hAnsi="Wingdings" w:hint="default"/>
      </w:rPr>
    </w:lvl>
    <w:lvl w:ilvl="6" w:tplc="080C0001" w:tentative="1">
      <w:start w:val="1"/>
      <w:numFmt w:val="bullet"/>
      <w:lvlText w:val=""/>
      <w:lvlJc w:val="left"/>
      <w:pPr>
        <w:ind w:left="5579" w:hanging="360"/>
      </w:pPr>
      <w:rPr>
        <w:rFonts w:ascii="Symbol" w:hAnsi="Symbol" w:hint="default"/>
      </w:rPr>
    </w:lvl>
    <w:lvl w:ilvl="7" w:tplc="080C0003" w:tentative="1">
      <w:start w:val="1"/>
      <w:numFmt w:val="bullet"/>
      <w:lvlText w:val="o"/>
      <w:lvlJc w:val="left"/>
      <w:pPr>
        <w:ind w:left="6299" w:hanging="360"/>
      </w:pPr>
      <w:rPr>
        <w:rFonts w:ascii="Courier New" w:hAnsi="Courier New" w:cs="Courier New" w:hint="default"/>
      </w:rPr>
    </w:lvl>
    <w:lvl w:ilvl="8" w:tplc="080C0005" w:tentative="1">
      <w:start w:val="1"/>
      <w:numFmt w:val="bullet"/>
      <w:lvlText w:val=""/>
      <w:lvlJc w:val="left"/>
      <w:pPr>
        <w:ind w:left="7019" w:hanging="360"/>
      </w:pPr>
      <w:rPr>
        <w:rFonts w:ascii="Wingdings" w:hAnsi="Wingdings" w:hint="default"/>
      </w:rPr>
    </w:lvl>
  </w:abstractNum>
  <w:abstractNum w:abstractNumId="153" w15:restartNumberingAfterBreak="0">
    <w:nsid w:val="635E461F"/>
    <w:multiLevelType w:val="hybridMultilevel"/>
    <w:tmpl w:val="37041EFA"/>
    <w:lvl w:ilvl="0" w:tplc="FFFFFFFF">
      <w:start w:val="1"/>
      <w:numFmt w:val="bullet"/>
      <w:lvlText w:val=""/>
      <w:lvlJc w:val="left"/>
      <w:pPr>
        <w:tabs>
          <w:tab w:val="num" w:pos="1440"/>
        </w:tabs>
        <w:ind w:left="1440" w:hanging="360"/>
      </w:pPr>
      <w:rPr>
        <w:rFonts w:ascii="Symbol" w:hAnsi="Symbol" w:hint="default"/>
        <w:sz w:val="16"/>
      </w:rPr>
    </w:lvl>
    <w:lvl w:ilvl="1" w:tplc="2F5AECEC">
      <w:start w:val="1"/>
      <w:numFmt w:val="bullet"/>
      <w:lvlText w:val=""/>
      <w:lvlJc w:val="left"/>
      <w:pPr>
        <w:tabs>
          <w:tab w:val="num" w:pos="1995"/>
        </w:tabs>
        <w:ind w:left="1995" w:hanging="915"/>
      </w:pPr>
      <w:rPr>
        <w:rFonts w:ascii="Wingdings" w:eastAsia="Gill Sans MT Condensed" w:hAnsi="Wingdings" w:cs="Gill Sans MT Condensed" w:hint="default"/>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65E37E79"/>
    <w:multiLevelType w:val="hybridMultilevel"/>
    <w:tmpl w:val="7C148444"/>
    <w:lvl w:ilvl="0" w:tplc="184EDA6E">
      <w:start w:val="1"/>
      <w:numFmt w:val="bullet"/>
      <w:lvlText w:val=""/>
      <w:lvlJc w:val="left"/>
      <w:pPr>
        <w:tabs>
          <w:tab w:val="num" w:pos="1995"/>
        </w:tabs>
        <w:ind w:left="1995" w:hanging="915"/>
      </w:pPr>
      <w:rPr>
        <w:rFonts w:ascii="Wingdings" w:eastAsia="Times New Roman" w:hAnsi="Wingdings"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661207F5"/>
    <w:multiLevelType w:val="hybridMultilevel"/>
    <w:tmpl w:val="F7506B4C"/>
    <w:lvl w:ilvl="0" w:tplc="FFFFFFFF">
      <w:start w:val="1"/>
      <w:numFmt w:val="bullet"/>
      <w:lvlText w:val=""/>
      <w:lvlJc w:val="left"/>
      <w:pPr>
        <w:tabs>
          <w:tab w:val="num" w:pos="2291"/>
        </w:tabs>
        <w:ind w:left="229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67CB1359"/>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57" w15:restartNumberingAfterBreak="0">
    <w:nsid w:val="698562C7"/>
    <w:multiLevelType w:val="hybridMultilevel"/>
    <w:tmpl w:val="FF54D80C"/>
    <w:lvl w:ilvl="0" w:tplc="FFFFFFFF">
      <w:start w:val="1"/>
      <w:numFmt w:val="bullet"/>
      <w:lvlText w:val=""/>
      <w:lvlJc w:val="left"/>
      <w:pPr>
        <w:tabs>
          <w:tab w:val="num" w:pos="644"/>
        </w:tabs>
        <w:ind w:left="284" w:firstLine="0"/>
      </w:pPr>
      <w:rPr>
        <w:rFonts w:ascii="Symbol" w:hAnsi="Symbol"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69861631"/>
    <w:multiLevelType w:val="hybridMultilevel"/>
    <w:tmpl w:val="B4EAF540"/>
    <w:lvl w:ilvl="0" w:tplc="FFFFFFFF">
      <w:start w:val="1"/>
      <w:numFmt w:val="bullet"/>
      <w:lvlText w:val="o"/>
      <w:lvlJc w:val="left"/>
      <w:pPr>
        <w:tabs>
          <w:tab w:val="num" w:pos="1440"/>
        </w:tabs>
        <w:ind w:left="1440" w:hanging="360"/>
      </w:pPr>
      <w:rPr>
        <w:rFonts w:ascii="Courier New" w:hAnsi="Courier New" w:hint="default"/>
      </w:rPr>
    </w:lvl>
    <w:lvl w:ilvl="1" w:tplc="FFFFFFFF">
      <w:start w:val="1"/>
      <w:numFmt w:val="bullet"/>
      <w:lvlText w:val=""/>
      <w:lvlJc w:val="left"/>
      <w:pPr>
        <w:tabs>
          <w:tab w:val="num" w:pos="2291"/>
        </w:tabs>
        <w:ind w:left="2291" w:hanging="360"/>
      </w:pPr>
      <w:rPr>
        <w:rFonts w:ascii="Symbol" w:hAnsi="Symbol" w:hint="default"/>
        <w:sz w:val="16"/>
      </w:rPr>
    </w:lvl>
    <w:lvl w:ilvl="2" w:tplc="FFFFFFFF">
      <w:start w:val="1"/>
      <w:numFmt w:val="bullet"/>
      <w:lvlText w:val=""/>
      <w:lvlJc w:val="left"/>
      <w:pPr>
        <w:tabs>
          <w:tab w:val="num" w:pos="2880"/>
        </w:tabs>
        <w:ind w:left="2880" w:hanging="360"/>
      </w:pPr>
      <w:rPr>
        <w:rFonts w:ascii="Wingdings" w:hAnsi="Wingdings" w:hint="default"/>
      </w:rPr>
    </w:lvl>
    <w:lvl w:ilvl="3" w:tplc="FFFFFFFF">
      <w:start w:val="1"/>
      <w:numFmt w:val="bullet"/>
      <w:lvlText w:val=""/>
      <w:lvlJc w:val="left"/>
      <w:pPr>
        <w:tabs>
          <w:tab w:val="num" w:pos="3600"/>
        </w:tabs>
        <w:ind w:left="3600" w:hanging="360"/>
      </w:pPr>
      <w:rPr>
        <w:rFonts w:ascii="Wingdings" w:hAnsi="Wingdings"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59" w15:restartNumberingAfterBreak="0">
    <w:nsid w:val="6AD110B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60" w15:restartNumberingAfterBreak="0">
    <w:nsid w:val="6B904A28"/>
    <w:multiLevelType w:val="multilevel"/>
    <w:tmpl w:val="1E0AB9CE"/>
    <w:lvl w:ilvl="0">
      <w:start w:val="1"/>
      <w:numFmt w:val="decimal"/>
      <w:lvlText w:val="%1."/>
      <w:lvlJc w:val="left"/>
      <w:pPr>
        <w:tabs>
          <w:tab w:val="num" w:pos="705"/>
        </w:tabs>
        <w:ind w:left="705" w:hanging="705"/>
      </w:pPr>
      <w:rPr>
        <w:rFonts w:hint="default"/>
      </w:rPr>
    </w:lvl>
    <w:lvl w:ilvl="1">
      <w:start w:val="1"/>
      <w:numFmt w:val="decimal"/>
      <w:isLgl/>
      <w:lvlText w:val="%1.%2."/>
      <w:lvlJc w:val="left"/>
      <w:pPr>
        <w:tabs>
          <w:tab w:val="num" w:pos="705"/>
        </w:tabs>
        <w:ind w:left="705" w:hanging="70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61" w15:restartNumberingAfterBreak="0">
    <w:nsid w:val="6C610CAB"/>
    <w:multiLevelType w:val="hybridMultilevel"/>
    <w:tmpl w:val="36F22C14"/>
    <w:lvl w:ilvl="0" w:tplc="A9FCA0CE">
      <w:start w:val="1"/>
      <w:numFmt w:val="bullet"/>
      <w:lvlText w:val=" "/>
      <w:lvlJc w:val="left"/>
      <w:pPr>
        <w:tabs>
          <w:tab w:val="num" w:pos="360"/>
        </w:tabs>
        <w:ind w:left="360" w:hanging="360"/>
      </w:pPr>
      <w:rPr>
        <w:rFonts w:ascii="Arial"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2" w15:restartNumberingAfterBreak="0">
    <w:nsid w:val="6D645333"/>
    <w:multiLevelType w:val="hybridMultilevel"/>
    <w:tmpl w:val="AB6E41BE"/>
    <w:lvl w:ilvl="0" w:tplc="080C0003">
      <w:start w:val="1"/>
      <w:numFmt w:val="bullet"/>
      <w:lvlText w:val="o"/>
      <w:lvlJc w:val="left"/>
      <w:pPr>
        <w:ind w:left="720" w:hanging="360"/>
      </w:pPr>
      <w:rPr>
        <w:rFonts w:ascii="Courier New" w:hAnsi="Courier New" w:cs="Courier New"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63" w15:restartNumberingAfterBreak="0">
    <w:nsid w:val="6E921595"/>
    <w:multiLevelType w:val="hybridMultilevel"/>
    <w:tmpl w:val="AB7E8B7C"/>
    <w:lvl w:ilvl="0" w:tplc="83EEADEC">
      <w:start w:val="8"/>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6F640DCB"/>
    <w:multiLevelType w:val="hybridMultilevel"/>
    <w:tmpl w:val="B400D84A"/>
    <w:lvl w:ilvl="0" w:tplc="FFFFFFFF">
      <w:start w:val="1"/>
      <w:numFmt w:val="bullet"/>
      <w:lvlText w:val=""/>
      <w:lvlJc w:val="left"/>
      <w:pPr>
        <w:tabs>
          <w:tab w:val="num" w:pos="704"/>
        </w:tabs>
        <w:ind w:left="344" w:firstLine="0"/>
      </w:pPr>
      <w:rPr>
        <w:rFonts w:ascii="Symbol" w:hAnsi="Symbol" w:hint="default"/>
      </w:rPr>
    </w:lvl>
    <w:lvl w:ilvl="1" w:tplc="FFFFFFFF">
      <w:start w:val="1"/>
      <w:numFmt w:val="bullet"/>
      <w:lvlText w:val=""/>
      <w:lvlJc w:val="left"/>
      <w:pPr>
        <w:tabs>
          <w:tab w:val="num" w:pos="1500"/>
        </w:tabs>
        <w:ind w:left="1500" w:hanging="360"/>
      </w:pPr>
      <w:rPr>
        <w:rFonts w:ascii="Wingdings" w:hAnsi="Wingdings"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65" w15:restartNumberingAfterBreak="0">
    <w:nsid w:val="6F69640F"/>
    <w:multiLevelType w:val="hybridMultilevel"/>
    <w:tmpl w:val="4E160E38"/>
    <w:lvl w:ilvl="0" w:tplc="FFFFFFFF">
      <w:start w:val="1"/>
      <w:numFmt w:val="bullet"/>
      <w:lvlText w:val=""/>
      <w:lvlJc w:val="left"/>
      <w:pPr>
        <w:tabs>
          <w:tab w:val="num" w:pos="0"/>
        </w:tabs>
        <w:ind w:left="170" w:firstLine="39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04A13CF"/>
    <w:multiLevelType w:val="hybridMultilevel"/>
    <w:tmpl w:val="6FA45F18"/>
    <w:lvl w:ilvl="0" w:tplc="855E0888">
      <w:start w:val="1"/>
      <w:numFmt w:val="upperRoman"/>
      <w:lvlText w:val="%1."/>
      <w:lvlJc w:val="left"/>
      <w:pPr>
        <w:tabs>
          <w:tab w:val="num" w:pos="1080"/>
        </w:tabs>
        <w:ind w:left="1080" w:hanging="72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7" w15:restartNumberingAfterBreak="0">
    <w:nsid w:val="708F750F"/>
    <w:multiLevelType w:val="hybridMultilevel"/>
    <w:tmpl w:val="1F12460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0AF2AE7"/>
    <w:multiLevelType w:val="hybridMultilevel"/>
    <w:tmpl w:val="2BBC541C"/>
    <w:lvl w:ilvl="0" w:tplc="AD98521C">
      <w:start w:val="1"/>
      <w:numFmt w:val="bullet"/>
      <w:lvlText w:val="-"/>
      <w:lvlJc w:val="left"/>
      <w:pPr>
        <w:tabs>
          <w:tab w:val="num" w:pos="1069"/>
        </w:tabs>
        <w:ind w:left="1069" w:hanging="360"/>
      </w:pPr>
      <w:rPr>
        <w:rFonts w:ascii="Arial Narrow" w:eastAsia="Edwardian Script ITC" w:hAnsi="Arial Narrow" w:cs="Edwardian Script ITC" w:hint="default"/>
      </w:rPr>
    </w:lvl>
    <w:lvl w:ilvl="1" w:tplc="040C0005">
      <w:start w:val="1"/>
      <w:numFmt w:val="bullet"/>
      <w:lvlText w:val=""/>
      <w:lvlJc w:val="left"/>
      <w:pPr>
        <w:tabs>
          <w:tab w:val="num" w:pos="1789"/>
        </w:tabs>
        <w:ind w:left="1789" w:hanging="360"/>
      </w:pPr>
      <w:rPr>
        <w:rFonts w:ascii="Wingdings" w:hAnsi="Wingdings"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cs="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cs="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169" w15:restartNumberingAfterBreak="0">
    <w:nsid w:val="70B76A3D"/>
    <w:multiLevelType w:val="hybridMultilevel"/>
    <w:tmpl w:val="CA26CE8C"/>
    <w:lvl w:ilvl="0" w:tplc="FFFFFFFF">
      <w:start w:val="1"/>
      <w:numFmt w:val="bullet"/>
      <w:lvlText w:val=""/>
      <w:lvlJc w:val="left"/>
      <w:pPr>
        <w:tabs>
          <w:tab w:val="num" w:pos="2291"/>
        </w:tabs>
        <w:ind w:left="229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0" w15:restartNumberingAfterBreak="0">
    <w:nsid w:val="719235DB"/>
    <w:multiLevelType w:val="hybridMultilevel"/>
    <w:tmpl w:val="A5F66650"/>
    <w:lvl w:ilvl="0" w:tplc="FFFFFFFF">
      <w:start w:val="1"/>
      <w:numFmt w:val="bullet"/>
      <w:lvlText w:val=""/>
      <w:lvlJc w:val="left"/>
      <w:pPr>
        <w:tabs>
          <w:tab w:val="num" w:pos="1440"/>
        </w:tabs>
        <w:ind w:left="1440"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74E077F3"/>
    <w:multiLevelType w:val="hybridMultilevel"/>
    <w:tmpl w:val="1256E3D4"/>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720"/>
        </w:tabs>
        <w:ind w:left="720" w:hanging="360"/>
      </w:pPr>
      <w:rPr>
        <w:rFonts w:ascii="Courier New" w:hAnsi="Courier New" w:cs="Courier New" w:hint="default"/>
      </w:rPr>
    </w:lvl>
    <w:lvl w:ilvl="2" w:tplc="040C0005" w:tentative="1">
      <w:start w:val="1"/>
      <w:numFmt w:val="bullet"/>
      <w:lvlText w:val=""/>
      <w:lvlJc w:val="left"/>
      <w:pPr>
        <w:tabs>
          <w:tab w:val="num" w:pos="1440"/>
        </w:tabs>
        <w:ind w:left="1440" w:hanging="360"/>
      </w:pPr>
      <w:rPr>
        <w:rFonts w:ascii="Wingdings" w:hAnsi="Wingdings" w:hint="default"/>
      </w:rPr>
    </w:lvl>
    <w:lvl w:ilvl="3" w:tplc="040C0001" w:tentative="1">
      <w:start w:val="1"/>
      <w:numFmt w:val="bullet"/>
      <w:lvlText w:val=""/>
      <w:lvlJc w:val="left"/>
      <w:pPr>
        <w:tabs>
          <w:tab w:val="num" w:pos="2160"/>
        </w:tabs>
        <w:ind w:left="2160" w:hanging="360"/>
      </w:pPr>
      <w:rPr>
        <w:rFonts w:ascii="Symbol" w:hAnsi="Symbol" w:hint="default"/>
      </w:rPr>
    </w:lvl>
    <w:lvl w:ilvl="4" w:tplc="040C0003" w:tentative="1">
      <w:start w:val="1"/>
      <w:numFmt w:val="bullet"/>
      <w:lvlText w:val="o"/>
      <w:lvlJc w:val="left"/>
      <w:pPr>
        <w:tabs>
          <w:tab w:val="num" w:pos="2880"/>
        </w:tabs>
        <w:ind w:left="2880" w:hanging="360"/>
      </w:pPr>
      <w:rPr>
        <w:rFonts w:ascii="Courier New" w:hAnsi="Courier New" w:cs="Courier New" w:hint="default"/>
      </w:rPr>
    </w:lvl>
    <w:lvl w:ilvl="5" w:tplc="040C0005" w:tentative="1">
      <w:start w:val="1"/>
      <w:numFmt w:val="bullet"/>
      <w:lvlText w:val=""/>
      <w:lvlJc w:val="left"/>
      <w:pPr>
        <w:tabs>
          <w:tab w:val="num" w:pos="3600"/>
        </w:tabs>
        <w:ind w:left="3600" w:hanging="360"/>
      </w:pPr>
      <w:rPr>
        <w:rFonts w:ascii="Wingdings" w:hAnsi="Wingdings" w:hint="default"/>
      </w:rPr>
    </w:lvl>
    <w:lvl w:ilvl="6" w:tplc="040C0001" w:tentative="1">
      <w:start w:val="1"/>
      <w:numFmt w:val="bullet"/>
      <w:lvlText w:val=""/>
      <w:lvlJc w:val="left"/>
      <w:pPr>
        <w:tabs>
          <w:tab w:val="num" w:pos="4320"/>
        </w:tabs>
        <w:ind w:left="4320" w:hanging="360"/>
      </w:pPr>
      <w:rPr>
        <w:rFonts w:ascii="Symbol" w:hAnsi="Symbol" w:hint="default"/>
      </w:rPr>
    </w:lvl>
    <w:lvl w:ilvl="7" w:tplc="040C0003" w:tentative="1">
      <w:start w:val="1"/>
      <w:numFmt w:val="bullet"/>
      <w:lvlText w:val="o"/>
      <w:lvlJc w:val="left"/>
      <w:pPr>
        <w:tabs>
          <w:tab w:val="num" w:pos="5040"/>
        </w:tabs>
        <w:ind w:left="5040" w:hanging="360"/>
      </w:pPr>
      <w:rPr>
        <w:rFonts w:ascii="Courier New" w:hAnsi="Courier New" w:cs="Courier New" w:hint="default"/>
      </w:rPr>
    </w:lvl>
    <w:lvl w:ilvl="8" w:tplc="040C0005" w:tentative="1">
      <w:start w:val="1"/>
      <w:numFmt w:val="bullet"/>
      <w:lvlText w:val=""/>
      <w:lvlJc w:val="left"/>
      <w:pPr>
        <w:tabs>
          <w:tab w:val="num" w:pos="5760"/>
        </w:tabs>
        <w:ind w:left="5760" w:hanging="360"/>
      </w:pPr>
      <w:rPr>
        <w:rFonts w:ascii="Wingdings" w:hAnsi="Wingdings" w:hint="default"/>
      </w:rPr>
    </w:lvl>
  </w:abstractNum>
  <w:abstractNum w:abstractNumId="172" w15:restartNumberingAfterBreak="0">
    <w:nsid w:val="74F94BCE"/>
    <w:multiLevelType w:val="hybridMultilevel"/>
    <w:tmpl w:val="5F6C1F08"/>
    <w:lvl w:ilvl="0" w:tplc="6DE42302">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3" w15:restartNumberingAfterBreak="0">
    <w:nsid w:val="762A6FC2"/>
    <w:multiLevelType w:val="hybridMultilevel"/>
    <w:tmpl w:val="2250BE7A"/>
    <w:lvl w:ilvl="0" w:tplc="2826959C">
      <w:start w:val="1"/>
      <w:numFmt w:val="bullet"/>
      <w:lvlText w:val=""/>
      <w:lvlJc w:val="left"/>
      <w:pPr>
        <w:tabs>
          <w:tab w:val="num" w:pos="2460"/>
        </w:tabs>
        <w:ind w:left="2460" w:hanging="360"/>
      </w:pPr>
      <w:rPr>
        <w:rFonts w:ascii="Symbol" w:hAnsi="Symbol" w:hint="default"/>
        <w:color w:val="auto"/>
        <w:sz w:val="20"/>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772A5516"/>
    <w:multiLevelType w:val="hybridMultilevel"/>
    <w:tmpl w:val="02AE3A5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775F5382"/>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76" w15:restartNumberingAfterBreak="0">
    <w:nsid w:val="777807A2"/>
    <w:multiLevelType w:val="hybridMultilevel"/>
    <w:tmpl w:val="016CDE68"/>
    <w:lvl w:ilvl="0" w:tplc="FFFFFFFF">
      <w:start w:val="1"/>
      <w:numFmt w:val="bullet"/>
      <w:lvlText w:val=""/>
      <w:lvlJc w:val="left"/>
      <w:pPr>
        <w:tabs>
          <w:tab w:val="num" w:pos="2459"/>
        </w:tabs>
        <w:ind w:left="2459" w:hanging="360"/>
      </w:pPr>
      <w:rPr>
        <w:rFonts w:ascii="Symbol" w:hAnsi="Symbol" w:hint="default"/>
        <w:sz w:val="16"/>
      </w:rPr>
    </w:lvl>
    <w:lvl w:ilvl="1" w:tplc="FFFFFFFF" w:tentative="1">
      <w:start w:val="1"/>
      <w:numFmt w:val="bullet"/>
      <w:lvlText w:val="o"/>
      <w:lvlJc w:val="left"/>
      <w:pPr>
        <w:tabs>
          <w:tab w:val="num" w:pos="1608"/>
        </w:tabs>
        <w:ind w:left="1608" w:hanging="360"/>
      </w:pPr>
      <w:rPr>
        <w:rFonts w:ascii="Courier New" w:hAnsi="Courier New" w:hint="default"/>
      </w:rPr>
    </w:lvl>
    <w:lvl w:ilvl="2" w:tplc="FFFFFFFF" w:tentative="1">
      <w:start w:val="1"/>
      <w:numFmt w:val="bullet"/>
      <w:lvlText w:val=""/>
      <w:lvlJc w:val="left"/>
      <w:pPr>
        <w:tabs>
          <w:tab w:val="num" w:pos="2328"/>
        </w:tabs>
        <w:ind w:left="2328" w:hanging="360"/>
      </w:pPr>
      <w:rPr>
        <w:rFonts w:ascii="Wingdings" w:hAnsi="Wingdings" w:hint="default"/>
      </w:rPr>
    </w:lvl>
    <w:lvl w:ilvl="3" w:tplc="FFFFFFFF" w:tentative="1">
      <w:start w:val="1"/>
      <w:numFmt w:val="bullet"/>
      <w:lvlText w:val=""/>
      <w:lvlJc w:val="left"/>
      <w:pPr>
        <w:tabs>
          <w:tab w:val="num" w:pos="3048"/>
        </w:tabs>
        <w:ind w:left="3048" w:hanging="360"/>
      </w:pPr>
      <w:rPr>
        <w:rFonts w:ascii="Symbol" w:hAnsi="Symbol" w:hint="default"/>
      </w:rPr>
    </w:lvl>
    <w:lvl w:ilvl="4" w:tplc="FFFFFFFF" w:tentative="1">
      <w:start w:val="1"/>
      <w:numFmt w:val="bullet"/>
      <w:lvlText w:val="o"/>
      <w:lvlJc w:val="left"/>
      <w:pPr>
        <w:tabs>
          <w:tab w:val="num" w:pos="3768"/>
        </w:tabs>
        <w:ind w:left="3768" w:hanging="360"/>
      </w:pPr>
      <w:rPr>
        <w:rFonts w:ascii="Courier New" w:hAnsi="Courier New" w:hint="default"/>
      </w:rPr>
    </w:lvl>
    <w:lvl w:ilvl="5" w:tplc="FFFFFFFF" w:tentative="1">
      <w:start w:val="1"/>
      <w:numFmt w:val="bullet"/>
      <w:lvlText w:val=""/>
      <w:lvlJc w:val="left"/>
      <w:pPr>
        <w:tabs>
          <w:tab w:val="num" w:pos="4488"/>
        </w:tabs>
        <w:ind w:left="4488" w:hanging="360"/>
      </w:pPr>
      <w:rPr>
        <w:rFonts w:ascii="Wingdings" w:hAnsi="Wingdings" w:hint="default"/>
      </w:rPr>
    </w:lvl>
    <w:lvl w:ilvl="6" w:tplc="FFFFFFFF" w:tentative="1">
      <w:start w:val="1"/>
      <w:numFmt w:val="bullet"/>
      <w:lvlText w:val=""/>
      <w:lvlJc w:val="left"/>
      <w:pPr>
        <w:tabs>
          <w:tab w:val="num" w:pos="5208"/>
        </w:tabs>
        <w:ind w:left="5208" w:hanging="360"/>
      </w:pPr>
      <w:rPr>
        <w:rFonts w:ascii="Symbol" w:hAnsi="Symbol" w:hint="default"/>
      </w:rPr>
    </w:lvl>
    <w:lvl w:ilvl="7" w:tplc="FFFFFFFF" w:tentative="1">
      <w:start w:val="1"/>
      <w:numFmt w:val="bullet"/>
      <w:lvlText w:val="o"/>
      <w:lvlJc w:val="left"/>
      <w:pPr>
        <w:tabs>
          <w:tab w:val="num" w:pos="5928"/>
        </w:tabs>
        <w:ind w:left="5928" w:hanging="360"/>
      </w:pPr>
      <w:rPr>
        <w:rFonts w:ascii="Courier New" w:hAnsi="Courier New" w:hint="default"/>
      </w:rPr>
    </w:lvl>
    <w:lvl w:ilvl="8" w:tplc="FFFFFFFF" w:tentative="1">
      <w:start w:val="1"/>
      <w:numFmt w:val="bullet"/>
      <w:lvlText w:val=""/>
      <w:lvlJc w:val="left"/>
      <w:pPr>
        <w:tabs>
          <w:tab w:val="num" w:pos="6648"/>
        </w:tabs>
        <w:ind w:left="6648" w:hanging="360"/>
      </w:pPr>
      <w:rPr>
        <w:rFonts w:ascii="Wingdings" w:hAnsi="Wingdings" w:hint="default"/>
      </w:rPr>
    </w:lvl>
  </w:abstractNum>
  <w:abstractNum w:abstractNumId="177" w15:restartNumberingAfterBreak="0">
    <w:nsid w:val="77A71C10"/>
    <w:multiLevelType w:val="hybridMultilevel"/>
    <w:tmpl w:val="9A3ECC06"/>
    <w:lvl w:ilvl="0" w:tplc="FFFFFFFF">
      <w:start w:val="1"/>
      <w:numFmt w:val="decimal"/>
      <w:lvlText w:val="%1."/>
      <w:lvlJc w:val="left"/>
      <w:pPr>
        <w:tabs>
          <w:tab w:val="num" w:pos="360"/>
        </w:tabs>
        <w:ind w:left="36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78" w15:restartNumberingAfterBreak="0">
    <w:nsid w:val="783C60C5"/>
    <w:multiLevelType w:val="hybridMultilevel"/>
    <w:tmpl w:val="66182FF4"/>
    <w:lvl w:ilvl="0" w:tplc="040C000F">
      <w:start w:val="1"/>
      <w:numFmt w:val="decimal"/>
      <w:lvlText w:val="%1."/>
      <w:lvlJc w:val="left"/>
      <w:pPr>
        <w:tabs>
          <w:tab w:val="num" w:pos="360"/>
        </w:tabs>
        <w:ind w:left="36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9" w15:restartNumberingAfterBreak="0">
    <w:nsid w:val="794F308E"/>
    <w:multiLevelType w:val="singleLevel"/>
    <w:tmpl w:val="040C0011"/>
    <w:lvl w:ilvl="0">
      <w:start w:val="1"/>
      <w:numFmt w:val="decimal"/>
      <w:lvlText w:val="%1)"/>
      <w:lvlJc w:val="left"/>
      <w:pPr>
        <w:tabs>
          <w:tab w:val="num" w:pos="360"/>
        </w:tabs>
        <w:ind w:left="360" w:hanging="360"/>
      </w:pPr>
      <w:rPr>
        <w:rFonts w:hint="default"/>
      </w:rPr>
    </w:lvl>
  </w:abstractNum>
  <w:abstractNum w:abstractNumId="180" w15:restartNumberingAfterBreak="0">
    <w:nsid w:val="7A5F51CF"/>
    <w:multiLevelType w:val="hybridMultilevel"/>
    <w:tmpl w:val="0650825A"/>
    <w:lvl w:ilvl="0" w:tplc="FFFFFFFF">
      <w:start w:val="1"/>
      <w:numFmt w:val="bullet"/>
      <w:lvlText w:val=""/>
      <w:lvlJc w:val="left"/>
      <w:pPr>
        <w:tabs>
          <w:tab w:val="num" w:pos="644"/>
        </w:tabs>
        <w:ind w:left="284" w:firstLine="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Wingdings" w:hAnsi="Wingdings" w:hint="default"/>
        <w:sz w:val="16"/>
      </w:rPr>
    </w:lvl>
    <w:lvl w:ilvl="4" w:tplc="C44891B6">
      <w:numFmt w:val="bullet"/>
      <w:lvlText w:val=""/>
      <w:lvlJc w:val="left"/>
      <w:pPr>
        <w:ind w:left="3600" w:hanging="360"/>
      </w:pPr>
      <w:rPr>
        <w:rFonts w:ascii="Wingdings" w:eastAsia="Times New Roman" w:hAnsi="Wingdings" w:cs="Times New Roman" w:hint="default"/>
      </w:rPr>
    </w:lvl>
    <w:lvl w:ilvl="5" w:tplc="5C92A54C">
      <w:start w:val="5430"/>
      <w:numFmt w:val="bullet"/>
      <w:lvlText w:val=""/>
      <w:lvlJc w:val="left"/>
      <w:pPr>
        <w:ind w:left="4320" w:hanging="360"/>
      </w:pPr>
      <w:rPr>
        <w:rFonts w:ascii="Wingdings" w:eastAsia="Times New Roman" w:hAnsi="Wingdings" w:cs="Times New Roman"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1" w15:restartNumberingAfterBreak="0">
    <w:nsid w:val="7AB666CB"/>
    <w:multiLevelType w:val="hybridMultilevel"/>
    <w:tmpl w:val="F31E6B56"/>
    <w:lvl w:ilvl="0" w:tplc="D5883BFE">
      <w:start w:val="4"/>
      <w:numFmt w:val="bullet"/>
      <w:lvlText w:val=""/>
      <w:lvlJc w:val="left"/>
      <w:pPr>
        <w:ind w:left="720" w:hanging="360"/>
      </w:pPr>
      <w:rPr>
        <w:rFonts w:ascii="Symbol" w:eastAsia="Times New Roman" w:hAnsi="Symbol" w:cs="Times New Roman"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2" w15:restartNumberingAfterBreak="0">
    <w:nsid w:val="7B0E0B62"/>
    <w:multiLevelType w:val="hybridMultilevel"/>
    <w:tmpl w:val="B6A091A6"/>
    <w:lvl w:ilvl="0" w:tplc="FFFFFFFF">
      <w:start w:val="1"/>
      <w:numFmt w:val="bullet"/>
      <w:lvlText w:val=""/>
      <w:lvlJc w:val="left"/>
      <w:pPr>
        <w:tabs>
          <w:tab w:val="num" w:pos="1800"/>
        </w:tabs>
        <w:ind w:left="1800" w:hanging="360"/>
      </w:pPr>
      <w:rPr>
        <w:rFonts w:ascii="Wingdings" w:hAnsi="Wingdings" w:hint="default"/>
      </w:rPr>
    </w:lvl>
    <w:lvl w:ilvl="1" w:tplc="FFFFFFFF">
      <w:start w:val="1"/>
      <w:numFmt w:val="bullet"/>
      <w:lvlText w:val=""/>
      <w:lvlJc w:val="left"/>
      <w:pPr>
        <w:tabs>
          <w:tab w:val="num" w:pos="2291"/>
        </w:tabs>
        <w:ind w:left="2291" w:hanging="360"/>
      </w:pPr>
      <w:rPr>
        <w:rFonts w:ascii="Symbol" w:hAnsi="Symbol" w:hint="default"/>
        <w:sz w:val="16"/>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83" w15:restartNumberingAfterBreak="0">
    <w:nsid w:val="7CBF0ED0"/>
    <w:multiLevelType w:val="multilevel"/>
    <w:tmpl w:val="268EA078"/>
    <w:lvl w:ilvl="0">
      <w:start w:val="1"/>
      <w:numFmt w:val="decimal"/>
      <w:lvlText w:val="%1."/>
      <w:lvlJc w:val="left"/>
      <w:pPr>
        <w:tabs>
          <w:tab w:val="num" w:pos="360"/>
        </w:tabs>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84" w15:restartNumberingAfterBreak="0">
    <w:nsid w:val="7CFB6B18"/>
    <w:multiLevelType w:val="hybridMultilevel"/>
    <w:tmpl w:val="8B62BF26"/>
    <w:lvl w:ilvl="0" w:tplc="FFFFFFFF">
      <w:start w:val="1"/>
      <w:numFmt w:val="decimal"/>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85" w15:restartNumberingAfterBreak="0">
    <w:nsid w:val="7EC769D7"/>
    <w:multiLevelType w:val="hybridMultilevel"/>
    <w:tmpl w:val="431C038A"/>
    <w:lvl w:ilvl="0" w:tplc="FFFFFFFF">
      <w:start w:val="1"/>
      <w:numFmt w:val="bullet"/>
      <w:lvlText w:val=""/>
      <w:lvlJc w:val="left"/>
      <w:pPr>
        <w:tabs>
          <w:tab w:val="num" w:pos="2291"/>
        </w:tabs>
        <w:ind w:left="2291" w:hanging="360"/>
      </w:pPr>
      <w:rPr>
        <w:rFonts w:ascii="Symbol" w:hAnsi="Symbol"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7F1A4D82"/>
    <w:multiLevelType w:val="hybridMultilevel"/>
    <w:tmpl w:val="6E44BBF4"/>
    <w:lvl w:ilvl="0" w:tplc="FFFFFFFF">
      <w:start w:val="1"/>
      <w:numFmt w:val="bullet"/>
      <w:lvlText w:val=""/>
      <w:lvlJc w:val="left"/>
      <w:pPr>
        <w:tabs>
          <w:tab w:val="num" w:pos="1709"/>
        </w:tabs>
        <w:ind w:left="1709" w:hanging="360"/>
      </w:pPr>
      <w:rPr>
        <w:rFonts w:ascii="Wingdings 2" w:hAnsi="Wingdings 2" w:hint="default"/>
      </w:rPr>
    </w:lvl>
    <w:lvl w:ilvl="1" w:tplc="FFFFFFFF" w:tentative="1">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87" w15:restartNumberingAfterBreak="0">
    <w:nsid w:val="7F5D5806"/>
    <w:multiLevelType w:val="hybridMultilevel"/>
    <w:tmpl w:val="638C5D3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158"/>
  </w:num>
  <w:num w:numId="2">
    <w:abstractNumId w:val="182"/>
  </w:num>
  <w:num w:numId="3">
    <w:abstractNumId w:val="33"/>
  </w:num>
  <w:num w:numId="4">
    <w:abstractNumId w:val="184"/>
  </w:num>
  <w:num w:numId="5">
    <w:abstractNumId w:val="39"/>
  </w:num>
  <w:num w:numId="6">
    <w:abstractNumId w:val="105"/>
  </w:num>
  <w:num w:numId="7">
    <w:abstractNumId w:val="165"/>
  </w:num>
  <w:num w:numId="8">
    <w:abstractNumId w:val="67"/>
  </w:num>
  <w:num w:numId="9">
    <w:abstractNumId w:val="29"/>
  </w:num>
  <w:num w:numId="10">
    <w:abstractNumId w:val="0"/>
    <w:lvlOverride w:ilvl="0">
      <w:lvl w:ilvl="0">
        <w:start w:val="1"/>
        <w:numFmt w:val="bullet"/>
        <w:lvlText w:val=""/>
        <w:legacy w:legacy="1" w:legacySpace="0" w:legacyIndent="283"/>
        <w:lvlJc w:val="left"/>
        <w:pPr>
          <w:ind w:left="1296" w:hanging="283"/>
        </w:pPr>
        <w:rPr>
          <w:rFonts w:ascii="Symbol" w:hAnsi="Symbol" w:hint="default"/>
        </w:rPr>
      </w:lvl>
    </w:lvlOverride>
  </w:num>
  <w:num w:numId="11">
    <w:abstractNumId w:val="140"/>
  </w:num>
  <w:num w:numId="12">
    <w:abstractNumId w:val="167"/>
  </w:num>
  <w:num w:numId="13">
    <w:abstractNumId w:val="59"/>
  </w:num>
  <w:num w:numId="14">
    <w:abstractNumId w:val="139"/>
  </w:num>
  <w:num w:numId="15">
    <w:abstractNumId w:val="157"/>
  </w:num>
  <w:num w:numId="16">
    <w:abstractNumId w:val="186"/>
  </w:num>
  <w:num w:numId="17">
    <w:abstractNumId w:val="4"/>
  </w:num>
  <w:num w:numId="18">
    <w:abstractNumId w:val="180"/>
  </w:num>
  <w:num w:numId="19">
    <w:abstractNumId w:val="164"/>
  </w:num>
  <w:num w:numId="20">
    <w:abstractNumId w:val="16"/>
  </w:num>
  <w:num w:numId="21">
    <w:abstractNumId w:val="18"/>
  </w:num>
  <w:num w:numId="22">
    <w:abstractNumId w:val="116"/>
  </w:num>
  <w:num w:numId="23">
    <w:abstractNumId w:val="61"/>
  </w:num>
  <w:num w:numId="24">
    <w:abstractNumId w:val="122"/>
  </w:num>
  <w:num w:numId="25">
    <w:abstractNumId w:val="177"/>
  </w:num>
  <w:num w:numId="26">
    <w:abstractNumId w:val="169"/>
  </w:num>
  <w:num w:numId="27">
    <w:abstractNumId w:val="153"/>
  </w:num>
  <w:num w:numId="28">
    <w:abstractNumId w:val="44"/>
  </w:num>
  <w:num w:numId="29">
    <w:abstractNumId w:val="69"/>
  </w:num>
  <w:num w:numId="30">
    <w:abstractNumId w:val="73"/>
  </w:num>
  <w:num w:numId="31">
    <w:abstractNumId w:val="112"/>
  </w:num>
  <w:num w:numId="32">
    <w:abstractNumId w:val="6"/>
  </w:num>
  <w:num w:numId="33">
    <w:abstractNumId w:val="170"/>
  </w:num>
  <w:num w:numId="34">
    <w:abstractNumId w:val="20"/>
  </w:num>
  <w:num w:numId="35">
    <w:abstractNumId w:val="66"/>
  </w:num>
  <w:num w:numId="36">
    <w:abstractNumId w:val="118"/>
  </w:num>
  <w:num w:numId="37">
    <w:abstractNumId w:val="36"/>
  </w:num>
  <w:num w:numId="38">
    <w:abstractNumId w:val="28"/>
  </w:num>
  <w:num w:numId="39">
    <w:abstractNumId w:val="176"/>
  </w:num>
  <w:num w:numId="40">
    <w:abstractNumId w:val="49"/>
  </w:num>
  <w:num w:numId="41">
    <w:abstractNumId w:val="8"/>
  </w:num>
  <w:num w:numId="42">
    <w:abstractNumId w:val="11"/>
  </w:num>
  <w:num w:numId="43">
    <w:abstractNumId w:val="7"/>
  </w:num>
  <w:num w:numId="44">
    <w:abstractNumId w:val="124"/>
  </w:num>
  <w:num w:numId="45">
    <w:abstractNumId w:val="40"/>
  </w:num>
  <w:num w:numId="46">
    <w:abstractNumId w:val="34"/>
  </w:num>
  <w:num w:numId="47">
    <w:abstractNumId w:val="147"/>
  </w:num>
  <w:num w:numId="48">
    <w:abstractNumId w:val="143"/>
  </w:num>
  <w:num w:numId="49">
    <w:abstractNumId w:val="175"/>
  </w:num>
  <w:num w:numId="50">
    <w:abstractNumId w:val="159"/>
  </w:num>
  <w:num w:numId="51">
    <w:abstractNumId w:val="135"/>
  </w:num>
  <w:num w:numId="52">
    <w:abstractNumId w:val="93"/>
  </w:num>
  <w:num w:numId="53">
    <w:abstractNumId w:val="81"/>
  </w:num>
  <w:num w:numId="54">
    <w:abstractNumId w:val="85"/>
  </w:num>
  <w:num w:numId="55">
    <w:abstractNumId w:val="88"/>
  </w:num>
  <w:num w:numId="56">
    <w:abstractNumId w:val="5"/>
  </w:num>
  <w:num w:numId="57">
    <w:abstractNumId w:val="56"/>
  </w:num>
  <w:num w:numId="58">
    <w:abstractNumId w:val="101"/>
  </w:num>
  <w:num w:numId="59">
    <w:abstractNumId w:val="96"/>
  </w:num>
  <w:num w:numId="60">
    <w:abstractNumId w:val="45"/>
  </w:num>
  <w:num w:numId="61">
    <w:abstractNumId w:val="92"/>
  </w:num>
  <w:num w:numId="62">
    <w:abstractNumId w:val="128"/>
  </w:num>
  <w:num w:numId="63">
    <w:abstractNumId w:val="179"/>
  </w:num>
  <w:num w:numId="64">
    <w:abstractNumId w:val="94"/>
  </w:num>
  <w:num w:numId="65">
    <w:abstractNumId w:val="54"/>
  </w:num>
  <w:num w:numId="66">
    <w:abstractNumId w:val="185"/>
  </w:num>
  <w:num w:numId="67">
    <w:abstractNumId w:val="65"/>
  </w:num>
  <w:num w:numId="68">
    <w:abstractNumId w:val="50"/>
  </w:num>
  <w:num w:numId="69">
    <w:abstractNumId w:val="142"/>
  </w:num>
  <w:num w:numId="70">
    <w:abstractNumId w:val="156"/>
  </w:num>
  <w:num w:numId="71">
    <w:abstractNumId w:val="113"/>
  </w:num>
  <w:num w:numId="72">
    <w:abstractNumId w:val="133"/>
  </w:num>
  <w:num w:numId="73">
    <w:abstractNumId w:val="83"/>
  </w:num>
  <w:num w:numId="74">
    <w:abstractNumId w:val="78"/>
  </w:num>
  <w:num w:numId="75">
    <w:abstractNumId w:val="134"/>
  </w:num>
  <w:num w:numId="76">
    <w:abstractNumId w:val="125"/>
  </w:num>
  <w:num w:numId="77">
    <w:abstractNumId w:val="138"/>
  </w:num>
  <w:num w:numId="78">
    <w:abstractNumId w:val="51"/>
  </w:num>
  <w:num w:numId="79">
    <w:abstractNumId w:val="102"/>
  </w:num>
  <w:num w:numId="80">
    <w:abstractNumId w:val="76"/>
  </w:num>
  <w:num w:numId="81">
    <w:abstractNumId w:val="19"/>
  </w:num>
  <w:num w:numId="82">
    <w:abstractNumId w:val="80"/>
  </w:num>
  <w:num w:numId="83">
    <w:abstractNumId w:val="74"/>
  </w:num>
  <w:num w:numId="84">
    <w:abstractNumId w:val="173"/>
  </w:num>
  <w:num w:numId="85">
    <w:abstractNumId w:val="136"/>
  </w:num>
  <w:num w:numId="86">
    <w:abstractNumId w:val="111"/>
  </w:num>
  <w:num w:numId="87">
    <w:abstractNumId w:val="108"/>
  </w:num>
  <w:num w:numId="88">
    <w:abstractNumId w:val="43"/>
  </w:num>
  <w:num w:numId="89">
    <w:abstractNumId w:val="126"/>
  </w:num>
  <w:num w:numId="90">
    <w:abstractNumId w:val="150"/>
  </w:num>
  <w:num w:numId="91">
    <w:abstractNumId w:val="129"/>
  </w:num>
  <w:num w:numId="92">
    <w:abstractNumId w:val="121"/>
  </w:num>
  <w:num w:numId="93">
    <w:abstractNumId w:val="55"/>
  </w:num>
  <w:num w:numId="94">
    <w:abstractNumId w:val="35"/>
  </w:num>
  <w:num w:numId="95">
    <w:abstractNumId w:val="27"/>
  </w:num>
  <w:num w:numId="96">
    <w:abstractNumId w:val="48"/>
  </w:num>
  <w:num w:numId="97">
    <w:abstractNumId w:val="106"/>
  </w:num>
  <w:num w:numId="98">
    <w:abstractNumId w:val="15"/>
  </w:num>
  <w:num w:numId="99">
    <w:abstractNumId w:val="130"/>
  </w:num>
  <w:num w:numId="100">
    <w:abstractNumId w:val="21"/>
  </w:num>
  <w:num w:numId="101">
    <w:abstractNumId w:val="25"/>
  </w:num>
  <w:num w:numId="102">
    <w:abstractNumId w:val="99"/>
  </w:num>
  <w:num w:numId="103">
    <w:abstractNumId w:val="52"/>
  </w:num>
  <w:num w:numId="104">
    <w:abstractNumId w:val="70"/>
  </w:num>
  <w:num w:numId="105">
    <w:abstractNumId w:val="86"/>
  </w:num>
  <w:num w:numId="106">
    <w:abstractNumId w:val="103"/>
  </w:num>
  <w:num w:numId="107">
    <w:abstractNumId w:val="38"/>
  </w:num>
  <w:num w:numId="108">
    <w:abstractNumId w:val="22"/>
  </w:num>
  <w:num w:numId="109">
    <w:abstractNumId w:val="163"/>
  </w:num>
  <w:num w:numId="110">
    <w:abstractNumId w:val="123"/>
  </w:num>
  <w:num w:numId="111">
    <w:abstractNumId w:val="10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37"/>
  </w:num>
  <w:num w:numId="1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14">
    <w:abstractNumId w:val="117"/>
  </w:num>
  <w:num w:numId="115">
    <w:abstractNumId w:val="79"/>
  </w:num>
  <w:num w:numId="116">
    <w:abstractNumId w:val="75"/>
  </w:num>
  <w:num w:numId="117">
    <w:abstractNumId w:val="178"/>
  </w:num>
  <w:num w:numId="118">
    <w:abstractNumId w:val="31"/>
  </w:num>
  <w:num w:numId="119">
    <w:abstractNumId w:val="109"/>
  </w:num>
  <w:num w:numId="120">
    <w:abstractNumId w:val="132"/>
  </w:num>
  <w:num w:numId="121">
    <w:abstractNumId w:val="141"/>
  </w:num>
  <w:num w:numId="122">
    <w:abstractNumId w:val="168"/>
  </w:num>
  <w:num w:numId="123">
    <w:abstractNumId w:val="183"/>
  </w:num>
  <w:num w:numId="124">
    <w:abstractNumId w:val="160"/>
  </w:num>
  <w:num w:numId="125">
    <w:abstractNumId w:val="107"/>
  </w:num>
  <w:num w:numId="126">
    <w:abstractNumId w:val="9"/>
  </w:num>
  <w:num w:numId="127">
    <w:abstractNumId w:val="13"/>
  </w:num>
  <w:num w:numId="128">
    <w:abstractNumId w:val="87"/>
  </w:num>
  <w:num w:numId="129">
    <w:abstractNumId w:val="1"/>
  </w:num>
  <w:num w:numId="130">
    <w:abstractNumId w:val="82"/>
  </w:num>
  <w:num w:numId="131">
    <w:abstractNumId w:val="166"/>
  </w:num>
  <w:num w:numId="132">
    <w:abstractNumId w:val="119"/>
  </w:num>
  <w:num w:numId="133">
    <w:abstractNumId w:val="171"/>
  </w:num>
  <w:num w:numId="134">
    <w:abstractNumId w:val="110"/>
  </w:num>
  <w:num w:numId="135">
    <w:abstractNumId w:val="32"/>
  </w:num>
  <w:num w:numId="136">
    <w:abstractNumId w:val="174"/>
  </w:num>
  <w:num w:numId="137">
    <w:abstractNumId w:val="131"/>
  </w:num>
  <w:num w:numId="138">
    <w:abstractNumId w:val="120"/>
  </w:num>
  <w:num w:numId="139">
    <w:abstractNumId w:val="151"/>
  </w:num>
  <w:num w:numId="140">
    <w:abstractNumId w:val="42"/>
  </w:num>
  <w:num w:numId="141">
    <w:abstractNumId w:val="161"/>
  </w:num>
  <w:num w:numId="142">
    <w:abstractNumId w:val="149"/>
  </w:num>
  <w:num w:numId="143">
    <w:abstractNumId w:val="104"/>
  </w:num>
  <w:num w:numId="144">
    <w:abstractNumId w:val="24"/>
  </w:num>
  <w:num w:numId="145">
    <w:abstractNumId w:val="47"/>
  </w:num>
  <w:num w:numId="146">
    <w:abstractNumId w:val="146"/>
  </w:num>
  <w:num w:numId="147">
    <w:abstractNumId w:val="12"/>
  </w:num>
  <w:num w:numId="148">
    <w:abstractNumId w:val="58"/>
  </w:num>
  <w:num w:numId="149">
    <w:abstractNumId w:val="144"/>
  </w:num>
  <w:num w:numId="150">
    <w:abstractNumId w:val="10"/>
  </w:num>
  <w:num w:numId="151">
    <w:abstractNumId w:val="17"/>
  </w:num>
  <w:num w:numId="152">
    <w:abstractNumId w:val="41"/>
  </w:num>
  <w:num w:numId="153">
    <w:abstractNumId w:val="14"/>
  </w:num>
  <w:num w:numId="154">
    <w:abstractNumId w:val="46"/>
  </w:num>
  <w:num w:numId="155">
    <w:abstractNumId w:val="77"/>
  </w:num>
  <w:num w:numId="156">
    <w:abstractNumId w:val="154"/>
  </w:num>
  <w:num w:numId="157">
    <w:abstractNumId w:val="72"/>
  </w:num>
  <w:num w:numId="158">
    <w:abstractNumId w:val="57"/>
  </w:num>
  <w:num w:numId="159">
    <w:abstractNumId w:val="3"/>
  </w:num>
  <w:num w:numId="160">
    <w:abstractNumId w:val="95"/>
  </w:num>
  <w:num w:numId="161">
    <w:abstractNumId w:val="97"/>
  </w:num>
  <w:num w:numId="162">
    <w:abstractNumId w:val="187"/>
  </w:num>
  <w:num w:numId="163">
    <w:abstractNumId w:val="30"/>
  </w:num>
  <w:num w:numId="164">
    <w:abstractNumId w:val="53"/>
  </w:num>
  <w:num w:numId="165">
    <w:abstractNumId w:val="2"/>
  </w:num>
  <w:num w:numId="166">
    <w:abstractNumId w:val="60"/>
  </w:num>
  <w:num w:numId="167">
    <w:abstractNumId w:val="145"/>
  </w:num>
  <w:num w:numId="168">
    <w:abstractNumId w:val="68"/>
  </w:num>
  <w:num w:numId="169">
    <w:abstractNumId w:val="91"/>
  </w:num>
  <w:num w:numId="170">
    <w:abstractNumId w:val="152"/>
  </w:num>
  <w:num w:numId="171">
    <w:abstractNumId w:val="172"/>
  </w:num>
  <w:num w:numId="172">
    <w:abstractNumId w:val="63"/>
  </w:num>
  <w:num w:numId="173">
    <w:abstractNumId w:val="90"/>
  </w:num>
  <w:num w:numId="174">
    <w:abstractNumId w:val="71"/>
  </w:num>
  <w:num w:numId="175">
    <w:abstractNumId w:val="155"/>
  </w:num>
  <w:num w:numId="176">
    <w:abstractNumId w:val="115"/>
  </w:num>
  <w:num w:numId="177">
    <w:abstractNumId w:val="98"/>
  </w:num>
  <w:num w:numId="178">
    <w:abstractNumId w:val="64"/>
  </w:num>
  <w:num w:numId="179">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80">
    <w:abstractNumId w:val="127"/>
  </w:num>
  <w:num w:numId="181">
    <w:abstractNumId w:val="162"/>
  </w:num>
  <w:num w:numId="182">
    <w:abstractNumId w:val="114"/>
  </w:num>
  <w:num w:numId="183">
    <w:abstractNumId w:val="23"/>
  </w:num>
  <w:num w:numId="184">
    <w:abstractNumId w:val="62"/>
  </w:num>
  <w:num w:numId="185">
    <w:abstractNumId w:val="181"/>
  </w:num>
  <w:num w:numId="186">
    <w:abstractNumId w:val="89"/>
  </w:num>
  <w:num w:numId="187">
    <w:abstractNumId w:val="26"/>
  </w:num>
  <w:num w:numId="188">
    <w:abstractNumId w:val="148"/>
  </w:num>
  <w:num w:numId="189">
    <w:abstractNumId w:val="145"/>
  </w:num>
  <w:num w:numId="190">
    <w:abstractNumId w:val="37"/>
  </w:num>
  <w:num w:numId="191">
    <w:abstractNumId w:val="84"/>
  </w:num>
  <w:numIdMacAtCleanup w:val="1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metricconverter"/>
  <w:smartTagType w:namespaceuri="urn:schemas-microsoft-com:office:smarttags" w:name="PersonName"/>
  <w:shapeDefaults>
    <o:shapedefaults v:ext="edit" spidmax="1027"/>
    <o:shapelayout v:ext="edit">
      <o:idmap v:ext="edit" data="1"/>
    </o:shapelayout>
  </w:shapeDefaults>
  <w:decimalSymbol w:val=","/>
  <w:listSeparator w:val=";"/>
  <w15:docId w15:val="{694A2144-4022-4649-BEB8-4C52C297F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szCs w:val="24"/>
      <w:lang w:val="fr-FR" w:eastAsia="fr-FR"/>
    </w:rPr>
  </w:style>
  <w:style w:type="paragraph" w:styleId="Titre1">
    <w:name w:val="heading 1"/>
    <w:basedOn w:val="Normal"/>
    <w:next w:val="Normal"/>
    <w:autoRedefine/>
    <w:qFormat/>
    <w:pPr>
      <w:keepNext/>
      <w:tabs>
        <w:tab w:val="left" w:pos="720"/>
        <w:tab w:val="left" w:pos="1440"/>
        <w:tab w:val="left" w:pos="1800"/>
      </w:tabs>
      <w:ind w:left="993" w:hanging="993"/>
      <w:jc w:val="both"/>
      <w:outlineLvl w:val="0"/>
    </w:pPr>
    <w:rPr>
      <w:rFonts w:cs="Arial"/>
      <w:b/>
      <w:bCs/>
      <w:kern w:val="32"/>
      <w:szCs w:val="32"/>
      <w:u w:val="single"/>
    </w:rPr>
  </w:style>
  <w:style w:type="paragraph" w:styleId="Titre2">
    <w:name w:val="heading 2"/>
    <w:basedOn w:val="Normal"/>
    <w:next w:val="Normal"/>
    <w:link w:val="Titre2Car"/>
    <w:autoRedefine/>
    <w:qFormat/>
    <w:pPr>
      <w:keepNext/>
      <w:ind w:left="2127" w:hanging="2127"/>
      <w:jc w:val="both"/>
      <w:outlineLvl w:val="1"/>
    </w:pPr>
    <w:rPr>
      <w:rFonts w:cs="Arial"/>
      <w:b/>
      <w:bCs/>
      <w:spacing w:val="-2"/>
      <w:sz w:val="32"/>
      <w:szCs w:val="32"/>
      <w:u w:val="single"/>
      <w:lang w:val="fr-BE"/>
    </w:rPr>
  </w:style>
  <w:style w:type="paragraph" w:styleId="Titre3">
    <w:name w:val="heading 3"/>
    <w:basedOn w:val="Normal"/>
    <w:next w:val="Normal"/>
    <w:autoRedefine/>
    <w:qFormat/>
    <w:pPr>
      <w:keepNext/>
      <w:ind w:left="708"/>
      <w:jc w:val="both"/>
      <w:outlineLvl w:val="2"/>
    </w:pPr>
    <w:rPr>
      <w:rFonts w:cs="Arial"/>
      <w:b/>
      <w:bCs/>
      <w:spacing w:val="-6"/>
      <w:sz w:val="28"/>
      <w:szCs w:val="28"/>
      <w:u w:val="single"/>
    </w:rPr>
  </w:style>
  <w:style w:type="paragraph" w:styleId="Titre4">
    <w:name w:val="heading 4"/>
    <w:basedOn w:val="Normal"/>
    <w:next w:val="Normal"/>
    <w:link w:val="Titre4Car"/>
    <w:autoRedefine/>
    <w:qFormat/>
    <w:pPr>
      <w:keepNext/>
      <w:tabs>
        <w:tab w:val="left" w:pos="900"/>
      </w:tabs>
      <w:spacing w:before="240"/>
      <w:ind w:left="539"/>
      <w:jc w:val="both"/>
      <w:outlineLvl w:val="3"/>
    </w:pPr>
    <w:rPr>
      <w:rFonts w:cs="Arial"/>
      <w:b/>
      <w:bCs/>
      <w:i/>
      <w:iCs/>
      <w:sz w:val="24"/>
      <w:u w:val="single"/>
      <w:lang w:val="fr-BE"/>
    </w:rPr>
  </w:style>
  <w:style w:type="paragraph" w:styleId="Titre5">
    <w:name w:val="heading 5"/>
    <w:basedOn w:val="Normal"/>
    <w:next w:val="Normal"/>
    <w:link w:val="Titre5Car"/>
    <w:autoRedefine/>
    <w:qFormat/>
    <w:pPr>
      <w:spacing w:before="120"/>
      <w:jc w:val="both"/>
      <w:outlineLvl w:val="4"/>
    </w:pPr>
    <w:rPr>
      <w:rFonts w:cs="Arial"/>
      <w:b/>
      <w:bCs/>
      <w:i/>
      <w:color w:val="000000"/>
      <w:szCs w:val="22"/>
      <w:u w:val="single"/>
      <w:lang w:val="fr-BE"/>
    </w:rPr>
  </w:style>
  <w:style w:type="paragraph" w:styleId="Titre6">
    <w:name w:val="heading 6"/>
    <w:basedOn w:val="Normal"/>
    <w:next w:val="Normal"/>
    <w:link w:val="Titre6Car"/>
    <w:autoRedefine/>
    <w:qFormat/>
    <w:pPr>
      <w:tabs>
        <w:tab w:val="left" w:pos="720"/>
      </w:tabs>
      <w:ind w:firstLine="708"/>
      <w:jc w:val="both"/>
      <w:outlineLvl w:val="5"/>
    </w:pPr>
    <w:rPr>
      <w:rFonts w:cs="Arial"/>
      <w:szCs w:val="22"/>
      <w:lang w:val="fr-BE"/>
    </w:rPr>
  </w:style>
  <w:style w:type="paragraph" w:styleId="Titre7">
    <w:name w:val="heading 7"/>
    <w:basedOn w:val="Normal"/>
    <w:next w:val="Normal"/>
    <w:link w:val="Titre7Car"/>
    <w:uiPriority w:val="99"/>
    <w:qFormat/>
    <w:pPr>
      <w:spacing w:before="240" w:after="60"/>
      <w:outlineLvl w:val="6"/>
    </w:pPr>
  </w:style>
  <w:style w:type="paragraph" w:styleId="Titre8">
    <w:name w:val="heading 8"/>
    <w:basedOn w:val="Normal"/>
    <w:next w:val="Normal"/>
    <w:qFormat/>
    <w:pPr>
      <w:spacing w:before="240" w:after="60"/>
      <w:outlineLvl w:val="7"/>
    </w:pPr>
    <w:rPr>
      <w:i/>
      <w:iCs/>
    </w:rPr>
  </w:style>
  <w:style w:type="paragraph" w:styleId="Titre9">
    <w:name w:val="heading 9"/>
    <w:basedOn w:val="Normal"/>
    <w:next w:val="Normal"/>
    <w:link w:val="Titre9Car"/>
    <w:uiPriority w:val="99"/>
    <w:qFormat/>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Pr>
      <w:rFonts w:ascii="Arial" w:hAnsi="Arial" w:cs="Arial"/>
      <w:b/>
      <w:bCs/>
      <w:spacing w:val="-2"/>
      <w:sz w:val="32"/>
      <w:szCs w:val="32"/>
      <w:u w:val="single"/>
      <w:lang w:eastAsia="fr-FR"/>
    </w:rPr>
  </w:style>
  <w:style w:type="character" w:customStyle="1" w:styleId="Titre4Car">
    <w:name w:val="Titre 4 Car"/>
    <w:basedOn w:val="Policepardfaut"/>
    <w:link w:val="Titre4"/>
    <w:rPr>
      <w:rFonts w:ascii="Arial" w:hAnsi="Arial" w:cs="Arial"/>
      <w:b/>
      <w:bCs/>
      <w:i/>
      <w:iCs/>
      <w:sz w:val="24"/>
      <w:szCs w:val="24"/>
      <w:u w:val="single"/>
      <w:lang w:eastAsia="fr-FR"/>
    </w:rPr>
  </w:style>
  <w:style w:type="character" w:customStyle="1" w:styleId="Titre5Car">
    <w:name w:val="Titre 5 Car"/>
    <w:basedOn w:val="Policepardfaut"/>
    <w:link w:val="Titre5"/>
    <w:rPr>
      <w:rFonts w:ascii="Arial" w:hAnsi="Arial" w:cs="Arial"/>
      <w:b/>
      <w:bCs/>
      <w:i/>
      <w:color w:val="000000"/>
      <w:sz w:val="22"/>
      <w:szCs w:val="22"/>
      <w:u w:val="single"/>
      <w:lang w:val="fr-BE" w:eastAsia="fr-FR" w:bidi="ar-SA"/>
    </w:rPr>
  </w:style>
  <w:style w:type="character" w:customStyle="1" w:styleId="Titre6Car">
    <w:name w:val="Titre 6 Car"/>
    <w:basedOn w:val="Policepardfaut"/>
    <w:link w:val="Titre6"/>
    <w:rPr>
      <w:rFonts w:ascii="Arial" w:hAnsi="Arial" w:cs="Arial"/>
      <w:sz w:val="22"/>
      <w:szCs w:val="22"/>
      <w:lang w:eastAsia="fr-FR"/>
    </w:rPr>
  </w:style>
  <w:style w:type="paragraph" w:styleId="TM2">
    <w:name w:val="toc 2"/>
    <w:basedOn w:val="Normal"/>
    <w:next w:val="Normal"/>
    <w:autoRedefine/>
    <w:uiPriority w:val="39"/>
    <w:pPr>
      <w:tabs>
        <w:tab w:val="right" w:leader="dot" w:pos="9720"/>
      </w:tabs>
      <w:spacing w:before="120"/>
      <w:jc w:val="both"/>
    </w:pPr>
    <w:rPr>
      <w:b/>
      <w:bCs/>
      <w:szCs w:val="20"/>
    </w:rPr>
  </w:style>
  <w:style w:type="paragraph" w:styleId="TM3">
    <w:name w:val="toc 3"/>
    <w:basedOn w:val="Normal"/>
    <w:next w:val="Normal"/>
    <w:autoRedefine/>
    <w:uiPriority w:val="39"/>
    <w:pPr>
      <w:tabs>
        <w:tab w:val="left" w:pos="1781"/>
        <w:tab w:val="right" w:leader="dot" w:pos="9720"/>
      </w:tabs>
      <w:spacing w:before="120"/>
      <w:ind w:left="221"/>
      <w:jc w:val="both"/>
    </w:pPr>
    <w:rPr>
      <w:b/>
      <w:szCs w:val="20"/>
    </w:rPr>
  </w:style>
  <w:style w:type="paragraph" w:styleId="Explorateurdedocuments">
    <w:name w:val="Document Map"/>
    <w:basedOn w:val="Normal"/>
    <w:semiHidden/>
    <w:pPr>
      <w:shd w:val="clear" w:color="auto" w:fill="000080"/>
    </w:pPr>
    <w:rPr>
      <w:rFonts w:ascii="Tahoma" w:hAnsi="Tahoma" w:cs="Tahoma"/>
    </w:rPr>
  </w:style>
  <w:style w:type="paragraph" w:styleId="TM1">
    <w:name w:val="toc 1"/>
    <w:basedOn w:val="Normal"/>
    <w:next w:val="Normal"/>
    <w:autoRedefine/>
    <w:uiPriority w:val="39"/>
    <w:pPr>
      <w:tabs>
        <w:tab w:val="left" w:pos="1540"/>
        <w:tab w:val="right" w:leader="dot" w:pos="9720"/>
      </w:tabs>
      <w:spacing w:before="240"/>
      <w:jc w:val="both"/>
    </w:pPr>
    <w:rPr>
      <w:rFonts w:cs="Arial"/>
      <w:b/>
      <w:bCs/>
      <w:caps/>
      <w:noProof/>
      <w:szCs w:val="22"/>
    </w:rPr>
  </w:style>
  <w:style w:type="paragraph" w:styleId="TM4">
    <w:name w:val="toc 4"/>
    <w:basedOn w:val="Normal"/>
    <w:next w:val="Normal"/>
    <w:autoRedefine/>
    <w:uiPriority w:val="39"/>
    <w:pPr>
      <w:tabs>
        <w:tab w:val="left" w:pos="1260"/>
        <w:tab w:val="right" w:leader="dot" w:pos="9720"/>
      </w:tabs>
      <w:ind w:left="1260" w:hanging="820"/>
    </w:pPr>
    <w:rPr>
      <w:rFonts w:ascii="Times New Roman" w:hAnsi="Times New Roman"/>
      <w:sz w:val="20"/>
      <w:szCs w:val="20"/>
    </w:rPr>
  </w:style>
  <w:style w:type="paragraph" w:styleId="TM5">
    <w:name w:val="toc 5"/>
    <w:basedOn w:val="Normal"/>
    <w:next w:val="Normal"/>
    <w:autoRedefine/>
    <w:uiPriority w:val="39"/>
    <w:pPr>
      <w:tabs>
        <w:tab w:val="right" w:leader="dot" w:pos="9720"/>
      </w:tabs>
      <w:ind w:left="660"/>
    </w:pPr>
    <w:rPr>
      <w:rFonts w:ascii="Times New Roman" w:hAnsi="Times New Roman"/>
      <w:sz w:val="20"/>
      <w:szCs w:val="20"/>
    </w:rPr>
  </w:style>
  <w:style w:type="paragraph" w:styleId="TM6">
    <w:name w:val="toc 6"/>
    <w:basedOn w:val="Normal"/>
    <w:next w:val="Normal"/>
    <w:autoRedefine/>
    <w:uiPriority w:val="39"/>
    <w:pPr>
      <w:tabs>
        <w:tab w:val="right" w:leader="dot" w:pos="9720"/>
      </w:tabs>
      <w:ind w:left="880"/>
    </w:pPr>
    <w:rPr>
      <w:rFonts w:ascii="Times New Roman" w:hAnsi="Times New Roman"/>
      <w:sz w:val="20"/>
      <w:szCs w:val="20"/>
    </w:rPr>
  </w:style>
  <w:style w:type="paragraph" w:styleId="TM7">
    <w:name w:val="toc 7"/>
    <w:basedOn w:val="Normal"/>
    <w:next w:val="Normal"/>
    <w:autoRedefine/>
    <w:uiPriority w:val="39"/>
    <w:pPr>
      <w:tabs>
        <w:tab w:val="left" w:pos="2090"/>
        <w:tab w:val="right" w:leader="dot" w:pos="9720"/>
      </w:tabs>
      <w:ind w:left="1100"/>
    </w:pPr>
    <w:rPr>
      <w:rFonts w:ascii="Times New Roman" w:hAnsi="Times New Roman" w:cs="Arial"/>
      <w:bCs/>
      <w:i/>
      <w:iCs/>
      <w:noProof/>
      <w:spacing w:val="2"/>
      <w:sz w:val="20"/>
      <w:szCs w:val="20"/>
    </w:rPr>
  </w:style>
  <w:style w:type="paragraph" w:styleId="TM8">
    <w:name w:val="toc 8"/>
    <w:basedOn w:val="Normal"/>
    <w:next w:val="Normal"/>
    <w:autoRedefine/>
    <w:uiPriority w:val="39"/>
    <w:pPr>
      <w:ind w:left="1320"/>
    </w:pPr>
    <w:rPr>
      <w:rFonts w:ascii="Times New Roman" w:hAnsi="Times New Roman"/>
      <w:sz w:val="20"/>
      <w:szCs w:val="20"/>
    </w:rPr>
  </w:style>
  <w:style w:type="paragraph" w:styleId="TM9">
    <w:name w:val="toc 9"/>
    <w:basedOn w:val="Normal"/>
    <w:next w:val="Normal"/>
    <w:autoRedefine/>
    <w:uiPriority w:val="39"/>
    <w:pPr>
      <w:ind w:left="1540"/>
    </w:pPr>
    <w:rPr>
      <w:rFonts w:ascii="Times New Roman" w:hAnsi="Times New Roman"/>
      <w:sz w:val="20"/>
      <w:szCs w:val="20"/>
    </w:rPr>
  </w:style>
  <w:style w:type="character" w:styleId="Lienhypertexte">
    <w:name w:val="Hyperlink"/>
    <w:basedOn w:val="Policepardfaut"/>
    <w:uiPriority w:val="99"/>
    <w:rPr>
      <w:color w:val="0000FF"/>
      <w:u w:val="single"/>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locked/>
    <w:rPr>
      <w:rFonts w:ascii="Arial" w:hAnsi="Arial"/>
      <w:sz w:val="22"/>
      <w:szCs w:val="24"/>
      <w:lang w:val="fr-FR" w:eastAsia="fr-FR" w:bidi="ar-SA"/>
    </w:rPr>
  </w:style>
  <w:style w:type="character" w:styleId="Lienhypertextesuivivisit">
    <w:name w:val="FollowedHyperlink"/>
    <w:basedOn w:val="Policepardfaut"/>
    <w:rPr>
      <w:color w:val="800080"/>
      <w:u w:val="single"/>
    </w:rPr>
  </w:style>
  <w:style w:type="paragraph" w:styleId="Retraitcorpsdetexte2">
    <w:name w:val="Body Text Indent 2"/>
    <w:basedOn w:val="Normal"/>
    <w:link w:val="Retraitcorpsdetexte2Car"/>
    <w:pPr>
      <w:tabs>
        <w:tab w:val="left" w:pos="4860"/>
      </w:tabs>
      <w:ind w:left="2700" w:hanging="2700"/>
    </w:pPr>
    <w:rPr>
      <w:rFonts w:cs="Arial"/>
    </w:rPr>
  </w:style>
  <w:style w:type="paragraph" w:styleId="Retraitcorpsdetexte">
    <w:name w:val="Body Text Indent"/>
    <w:basedOn w:val="Normal"/>
    <w:link w:val="RetraitcorpsdetexteCar"/>
    <w:pPr>
      <w:ind w:left="720"/>
      <w:jc w:val="both"/>
    </w:pPr>
    <w:rPr>
      <w:rFonts w:cs="Arial"/>
      <w:szCs w:val="23"/>
      <w:lang w:eastAsia="en-US"/>
    </w:rPr>
  </w:style>
  <w:style w:type="paragraph" w:styleId="Retraitcorpsdetexte3">
    <w:name w:val="Body Text Indent 3"/>
    <w:basedOn w:val="Normal"/>
    <w:link w:val="Retraitcorpsdetexte3Car"/>
    <w:pPr>
      <w:ind w:left="720"/>
    </w:pPr>
    <w:rPr>
      <w:rFonts w:cs="Arial"/>
      <w:szCs w:val="23"/>
      <w:lang w:eastAsia="en-US"/>
    </w:rPr>
  </w:style>
  <w:style w:type="paragraph" w:styleId="Corpsdetexte">
    <w:name w:val="Body Text"/>
    <w:basedOn w:val="Normal"/>
    <w:link w:val="CorpsdetexteCar"/>
    <w:pPr>
      <w:jc w:val="both"/>
    </w:pPr>
    <w:rPr>
      <w:rFonts w:cs="Arial"/>
      <w:spacing w:val="-6"/>
    </w:rPr>
  </w:style>
  <w:style w:type="character" w:customStyle="1" w:styleId="CorpsdetexteCar">
    <w:name w:val="Corps de texte Car"/>
    <w:basedOn w:val="Policepardfaut"/>
    <w:link w:val="Corpsdetexte"/>
    <w:locked/>
    <w:rPr>
      <w:rFonts w:ascii="Arial" w:hAnsi="Arial" w:cs="Arial"/>
      <w:spacing w:val="-6"/>
      <w:sz w:val="22"/>
      <w:szCs w:val="24"/>
      <w:lang w:val="fr-FR" w:eastAsia="fr-FR" w:bidi="ar-SA"/>
    </w:rPr>
  </w:style>
  <w:style w:type="paragraph" w:styleId="Corpsdetexte2">
    <w:name w:val="Body Text 2"/>
    <w:basedOn w:val="Normal"/>
    <w:link w:val="Corpsdetexte2Car"/>
    <w:pPr>
      <w:jc w:val="both"/>
    </w:pPr>
    <w:rPr>
      <w:rFonts w:cs="Arial"/>
    </w:rPr>
  </w:style>
  <w:style w:type="paragraph" w:styleId="Corpsdetexte3">
    <w:name w:val="Body Text 3"/>
    <w:basedOn w:val="Normal"/>
    <w:pPr>
      <w:jc w:val="both"/>
    </w:pPr>
    <w:rPr>
      <w:b/>
      <w:bCs/>
      <w:spacing w:val="2"/>
      <w:szCs w:val="20"/>
    </w:rPr>
  </w:style>
  <w:style w:type="paragraph" w:styleId="Notedebasdepage">
    <w:name w:val="footnote text"/>
    <w:basedOn w:val="Normal"/>
    <w:link w:val="NotedebasdepageCar1"/>
    <w:uiPriority w:val="99"/>
    <w:rPr>
      <w:sz w:val="20"/>
      <w:szCs w:val="20"/>
    </w:rPr>
  </w:style>
  <w:style w:type="character" w:customStyle="1" w:styleId="NotedebasdepageCar1">
    <w:name w:val="Note de bas de page Car1"/>
    <w:basedOn w:val="Policepardfaut"/>
    <w:link w:val="Notedebasdepage"/>
    <w:uiPriority w:val="99"/>
    <w:locked/>
    <w:rPr>
      <w:rFonts w:ascii="Arial" w:hAnsi="Arial"/>
      <w:lang w:val="fr-FR" w:eastAsia="fr-FR" w:bidi="ar-SA"/>
    </w:rPr>
  </w:style>
  <w:style w:type="character" w:styleId="Appelnotedebasdep">
    <w:name w:val="footnote reference"/>
    <w:basedOn w:val="Policepardfaut"/>
    <w:uiPriority w:val="99"/>
    <w:rPr>
      <w:vertAlign w:val="superscript"/>
    </w:rPr>
  </w:style>
  <w:style w:type="paragraph" w:customStyle="1" w:styleId="Titre40">
    <w:name w:val="Titre 4_"/>
    <w:basedOn w:val="Corpsdetexte"/>
    <w:pPr>
      <w:spacing w:after="120"/>
      <w:jc w:val="left"/>
    </w:pPr>
    <w:rPr>
      <w:i/>
      <w:smallCaps/>
      <w:lang w:val="fr-BE"/>
    </w:rPr>
  </w:style>
  <w:style w:type="paragraph" w:styleId="Listepuces">
    <w:name w:val="List Bullet"/>
    <w:basedOn w:val="Normal"/>
    <w:autoRedefine/>
    <w:pPr>
      <w:jc w:val="both"/>
    </w:pPr>
    <w:rPr>
      <w:spacing w:val="-4"/>
      <w:szCs w:val="20"/>
    </w:rPr>
  </w:style>
  <w:style w:type="character" w:styleId="Numrodepage">
    <w:name w:val="page number"/>
    <w:basedOn w:val="Policepardfaut"/>
  </w:style>
  <w:style w:type="paragraph" w:styleId="NormalWeb">
    <w:name w:val="Normal (Web)"/>
    <w:basedOn w:val="Normal"/>
    <w:pPr>
      <w:spacing w:before="60"/>
      <w:jc w:val="both"/>
    </w:pPr>
    <w:rPr>
      <w:rFonts w:ascii="Century" w:hAnsi="Century"/>
      <w:color w:val="000000"/>
      <w:sz w:val="24"/>
      <w:szCs w:val="27"/>
      <w:lang w:val="fr-BE"/>
    </w:rPr>
  </w:style>
  <w:style w:type="paragraph" w:styleId="Normalcentr">
    <w:name w:val="Block Text"/>
    <w:basedOn w:val="Normal"/>
    <w:pPr>
      <w:tabs>
        <w:tab w:val="left" w:pos="-589"/>
        <w:tab w:val="left" w:pos="2003"/>
        <w:tab w:val="left" w:pos="6323"/>
      </w:tabs>
      <w:ind w:left="106" w:right="426"/>
      <w:jc w:val="both"/>
    </w:pPr>
    <w:rPr>
      <w:sz w:val="24"/>
      <w:szCs w:val="20"/>
    </w:rPr>
  </w:style>
  <w:style w:type="paragraph" w:styleId="Titre">
    <w:name w:val="Title"/>
    <w:basedOn w:val="Normal"/>
    <w:qFormat/>
    <w:pPr>
      <w:jc w:val="center"/>
    </w:pPr>
    <w:rPr>
      <w:rFonts w:ascii="Times New Roman" w:hAnsi="Times New Roman"/>
      <w:b/>
      <w:sz w:val="28"/>
      <w:szCs w:val="20"/>
      <w:u w:val="single"/>
    </w:rPr>
  </w:style>
  <w:style w:type="paragraph" w:customStyle="1" w:styleId="Corpsdetexte4">
    <w:name w:val="Corps de texte 4"/>
    <w:rPr>
      <w:rFonts w:ascii="Arial" w:hAnsi="Arial"/>
      <w:lang w:val="fr-FR" w:eastAsia="fr-FR"/>
    </w:rPr>
  </w:style>
  <w:style w:type="paragraph" w:styleId="Sous-titre">
    <w:name w:val="Subtitle"/>
    <w:basedOn w:val="Normal"/>
    <w:qFormat/>
    <w:pPr>
      <w:jc w:val="center"/>
    </w:pPr>
    <w:rPr>
      <w:rFonts w:ascii="Times New Roman" w:hAnsi="Times New Roman"/>
      <w:b/>
      <w:bCs/>
      <w:sz w:val="24"/>
      <w:lang w:val="fr-BE"/>
    </w:rPr>
  </w:style>
  <w:style w:type="paragraph" w:styleId="Lgende">
    <w:name w:val="caption"/>
    <w:basedOn w:val="Normal"/>
    <w:next w:val="Normal"/>
    <w:qFormat/>
    <w:pPr>
      <w:spacing w:before="120" w:after="120"/>
    </w:pPr>
    <w:rPr>
      <w:rFonts w:ascii="Times New Roman" w:hAnsi="Times New Roman"/>
      <w:b/>
      <w:bCs/>
      <w:sz w:val="20"/>
      <w:szCs w:val="20"/>
    </w:rPr>
  </w:style>
  <w:style w:type="paragraph" w:styleId="Textedebulles">
    <w:name w:val="Balloon Text"/>
    <w:basedOn w:val="Normal"/>
    <w:link w:val="TextedebullesCar"/>
    <w:semiHidden/>
    <w:rPr>
      <w:rFonts w:ascii="Tahoma" w:hAnsi="Tahoma" w:cs="Tahoma"/>
      <w:sz w:val="16"/>
      <w:szCs w:val="16"/>
    </w:rPr>
  </w:style>
  <w:style w:type="character" w:customStyle="1" w:styleId="Titre1Car">
    <w:name w:val="Titre 1 Car"/>
    <w:basedOn w:val="Policepardfaut"/>
    <w:rPr>
      <w:rFonts w:ascii="Arial" w:hAnsi="Arial" w:cs="Arial"/>
      <w:b/>
      <w:bCs/>
      <w:kern w:val="32"/>
      <w:sz w:val="22"/>
      <w:szCs w:val="32"/>
      <w:u w:val="single"/>
      <w:lang w:val="fr-FR" w:eastAsia="fr-FR" w:bidi="ar-SA"/>
    </w:rPr>
  </w:style>
  <w:style w:type="character" w:customStyle="1" w:styleId="Italic">
    <w:name w:val="Italic"/>
    <w:basedOn w:val="Policepardfaut"/>
    <w:rPr>
      <w:rFonts w:ascii="Times New Roman" w:hAnsi="Times New Roman" w:cs="Times New Roman"/>
      <w:i/>
      <w:iCs/>
    </w:rPr>
  </w:style>
  <w:style w:type="paragraph" w:customStyle="1" w:styleId="ddxbook">
    <w:name w:val="ddxbook"/>
    <w:basedOn w:val="Normal"/>
    <w:pPr>
      <w:jc w:val="both"/>
    </w:pPr>
    <w:rPr>
      <w:rFonts w:ascii="Century Schoolbook" w:hAnsi="Century Schoolbook"/>
      <w:sz w:val="24"/>
      <w:szCs w:val="20"/>
      <w:lang w:val="fr-BE"/>
    </w:rPr>
  </w:style>
  <w:style w:type="paragraph" w:customStyle="1" w:styleId="Default">
    <w:name w:val="Default"/>
    <w:pPr>
      <w:autoSpaceDE w:val="0"/>
      <w:autoSpaceDN w:val="0"/>
      <w:adjustRightInd w:val="0"/>
    </w:pPr>
    <w:rPr>
      <w:color w:val="000000"/>
      <w:sz w:val="24"/>
      <w:szCs w:val="24"/>
      <w:lang w:val="fr-FR" w:eastAsia="fr-FR"/>
    </w:rPr>
  </w:style>
  <w:style w:type="paragraph" w:customStyle="1" w:styleId="Normal1">
    <w:name w:val="Normal+1"/>
    <w:basedOn w:val="Default"/>
    <w:next w:val="Default"/>
    <w:rPr>
      <w:color w:val="auto"/>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Normal"/>
    <w:pPr>
      <w:spacing w:before="100" w:beforeAutospacing="1" w:after="100" w:afterAutospacing="1"/>
    </w:pPr>
    <w:rPr>
      <w:rFonts w:ascii="Times New Roman" w:hAnsi="Times New Roman"/>
      <w:sz w:val="24"/>
    </w:rPr>
  </w:style>
  <w:style w:type="paragraph" w:styleId="Notedefin">
    <w:name w:val="endnote text"/>
    <w:basedOn w:val="Normal"/>
    <w:semiHidden/>
    <w:rPr>
      <w:sz w:val="20"/>
      <w:szCs w:val="20"/>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character" w:customStyle="1" w:styleId="TitreCar">
    <w:name w:val="Titre Car"/>
    <w:basedOn w:val="Policepardfaut"/>
    <w:rPr>
      <w:b/>
      <w:sz w:val="28"/>
      <w:u w:val="single"/>
      <w:lang w:val="fr-FR" w:eastAsia="fr-FR" w:bidi="ar-SA"/>
    </w:rPr>
  </w:style>
  <w:style w:type="paragraph" w:styleId="Index1">
    <w:name w:val="index 1"/>
    <w:basedOn w:val="Normal"/>
    <w:next w:val="Normal"/>
    <w:autoRedefine/>
    <w:semiHidden/>
    <w:pPr>
      <w:tabs>
        <w:tab w:val="right" w:leader="dot" w:pos="4562"/>
      </w:tabs>
      <w:ind w:left="220" w:hanging="220"/>
    </w:pPr>
    <w:rPr>
      <w:rFonts w:ascii="Times New Roman" w:hAnsi="Times New Roman"/>
      <w:i/>
      <w:noProof/>
      <w:sz w:val="20"/>
      <w:szCs w:val="20"/>
    </w:rPr>
  </w:style>
  <w:style w:type="paragraph" w:styleId="Index2">
    <w:name w:val="index 2"/>
    <w:basedOn w:val="Normal"/>
    <w:next w:val="Normal"/>
    <w:autoRedefine/>
    <w:semiHidden/>
    <w:pPr>
      <w:ind w:left="440" w:hanging="220"/>
    </w:pPr>
    <w:rPr>
      <w:rFonts w:ascii="Times New Roman" w:hAnsi="Times New Roman"/>
      <w:sz w:val="20"/>
      <w:szCs w:val="20"/>
    </w:rPr>
  </w:style>
  <w:style w:type="paragraph" w:styleId="Index3">
    <w:name w:val="index 3"/>
    <w:basedOn w:val="Normal"/>
    <w:next w:val="Normal"/>
    <w:autoRedefine/>
    <w:semiHidden/>
    <w:pPr>
      <w:ind w:left="660" w:hanging="220"/>
    </w:pPr>
    <w:rPr>
      <w:rFonts w:ascii="Times New Roman" w:hAnsi="Times New Roman"/>
      <w:sz w:val="20"/>
      <w:szCs w:val="20"/>
    </w:rPr>
  </w:style>
  <w:style w:type="paragraph" w:styleId="Index4">
    <w:name w:val="index 4"/>
    <w:basedOn w:val="Normal"/>
    <w:next w:val="Normal"/>
    <w:autoRedefine/>
    <w:semiHidden/>
    <w:pPr>
      <w:ind w:left="880" w:hanging="220"/>
    </w:pPr>
    <w:rPr>
      <w:rFonts w:ascii="Times New Roman" w:hAnsi="Times New Roman"/>
      <w:sz w:val="20"/>
      <w:szCs w:val="20"/>
    </w:rPr>
  </w:style>
  <w:style w:type="paragraph" w:styleId="Index5">
    <w:name w:val="index 5"/>
    <w:basedOn w:val="Normal"/>
    <w:next w:val="Normal"/>
    <w:autoRedefine/>
    <w:semiHidden/>
    <w:pPr>
      <w:ind w:left="1100" w:hanging="220"/>
    </w:pPr>
    <w:rPr>
      <w:rFonts w:ascii="Times New Roman" w:hAnsi="Times New Roman"/>
      <w:sz w:val="20"/>
      <w:szCs w:val="20"/>
    </w:rPr>
  </w:style>
  <w:style w:type="paragraph" w:styleId="Index6">
    <w:name w:val="index 6"/>
    <w:basedOn w:val="Normal"/>
    <w:next w:val="Normal"/>
    <w:autoRedefine/>
    <w:semiHidden/>
    <w:pPr>
      <w:ind w:left="1320" w:hanging="220"/>
    </w:pPr>
    <w:rPr>
      <w:rFonts w:ascii="Times New Roman" w:hAnsi="Times New Roman"/>
      <w:sz w:val="20"/>
      <w:szCs w:val="20"/>
    </w:rPr>
  </w:style>
  <w:style w:type="paragraph" w:styleId="Index7">
    <w:name w:val="index 7"/>
    <w:basedOn w:val="Normal"/>
    <w:next w:val="Normal"/>
    <w:autoRedefine/>
    <w:semiHidden/>
    <w:pPr>
      <w:ind w:left="1540" w:hanging="220"/>
    </w:pPr>
    <w:rPr>
      <w:rFonts w:ascii="Times New Roman" w:hAnsi="Times New Roman"/>
      <w:sz w:val="20"/>
      <w:szCs w:val="20"/>
    </w:rPr>
  </w:style>
  <w:style w:type="paragraph" w:styleId="Index8">
    <w:name w:val="index 8"/>
    <w:basedOn w:val="Normal"/>
    <w:next w:val="Normal"/>
    <w:autoRedefine/>
    <w:semiHidden/>
    <w:pPr>
      <w:ind w:left="1760" w:hanging="220"/>
    </w:pPr>
    <w:rPr>
      <w:rFonts w:ascii="Times New Roman" w:hAnsi="Times New Roman"/>
      <w:sz w:val="20"/>
      <w:szCs w:val="20"/>
    </w:rPr>
  </w:style>
  <w:style w:type="paragraph" w:styleId="Index9">
    <w:name w:val="index 9"/>
    <w:basedOn w:val="Normal"/>
    <w:next w:val="Normal"/>
    <w:autoRedefine/>
    <w:semiHidden/>
    <w:pPr>
      <w:ind w:left="1980" w:hanging="220"/>
    </w:pPr>
    <w:rPr>
      <w:rFonts w:ascii="Times New Roman" w:hAnsi="Times New Roman"/>
      <w:sz w:val="20"/>
      <w:szCs w:val="20"/>
    </w:rPr>
  </w:style>
  <w:style w:type="paragraph" w:styleId="Titreindex">
    <w:name w:val="index heading"/>
    <w:basedOn w:val="Normal"/>
    <w:next w:val="Index1"/>
    <w:semiHidden/>
    <w:pPr>
      <w:spacing w:before="120" w:after="120"/>
    </w:pPr>
    <w:rPr>
      <w:rFonts w:ascii="Times New Roman" w:hAnsi="Times New Roman"/>
      <w:b/>
      <w:bCs/>
      <w:i/>
      <w:iCs/>
      <w:sz w:val="20"/>
      <w:szCs w:val="20"/>
    </w:rPr>
  </w:style>
  <w:style w:type="paragraph" w:customStyle="1" w:styleId="annexe">
    <w:name w:val="annexe"/>
    <w:basedOn w:val="Normal"/>
    <w:next w:val="Normal"/>
    <w:autoRedefine/>
    <w:uiPriority w:val="99"/>
    <w:pPr>
      <w:spacing w:after="60"/>
      <w:jc w:val="both"/>
      <w:outlineLvl w:val="4"/>
    </w:pPr>
    <w:rPr>
      <w:b/>
      <w:i/>
      <w:szCs w:val="22"/>
    </w:rPr>
  </w:style>
  <w:style w:type="paragraph" w:customStyle="1" w:styleId="annexe2">
    <w:name w:val="annexe2"/>
    <w:basedOn w:val="annexe"/>
    <w:autoRedefine/>
    <w:rPr>
      <w:bCs/>
      <w:u w:val="single"/>
    </w:rPr>
  </w:style>
  <w:style w:type="paragraph" w:customStyle="1" w:styleId="MonTitre1">
    <w:name w:val="MonTitre1"/>
    <w:basedOn w:val="Normal"/>
    <w:next w:val="Normal"/>
    <w:autoRedefine/>
    <w:pPr>
      <w:ind w:left="1560" w:hanging="1560"/>
      <w:outlineLvl w:val="0"/>
    </w:pPr>
    <w:rPr>
      <w:b/>
      <w:spacing w:val="-2"/>
      <w:sz w:val="36"/>
      <w:szCs w:val="36"/>
      <w:u w:val="single"/>
    </w:rPr>
  </w:style>
  <w:style w:type="paragraph" w:customStyle="1" w:styleId="q-type-help">
    <w:name w:val="q-type-help"/>
    <w:basedOn w:val="Normal"/>
    <w:pPr>
      <w:spacing w:before="100" w:beforeAutospacing="1" w:after="120"/>
    </w:pPr>
    <w:rPr>
      <w:rFonts w:ascii="Times New Roman" w:hAnsi="Times New Roman"/>
      <w:sz w:val="24"/>
    </w:rPr>
  </w:style>
  <w:style w:type="character" w:customStyle="1" w:styleId="detailtxt1">
    <w:name w:val="detailtxt1"/>
    <w:basedOn w:val="Policepardfaut"/>
    <w:rPr>
      <w:sz w:val="20"/>
      <w:szCs w:val="20"/>
    </w:rPr>
  </w:style>
  <w:style w:type="paragraph" w:customStyle="1" w:styleId="StyleTitre4GrasNonPetitesmajusculesAprs0pt">
    <w:name w:val="Style Titre 4_ + Gras Non Petites majuscules Après : 0 pt"/>
    <w:basedOn w:val="Titre40"/>
    <w:pPr>
      <w:spacing w:after="0"/>
    </w:pPr>
    <w:rPr>
      <w:rFonts w:cs="Times New Roman"/>
      <w:b/>
      <w:bCs/>
      <w:iCs/>
      <w:smallCaps w:val="0"/>
      <w:spacing w:val="0"/>
      <w:sz w:val="28"/>
      <w:szCs w:val="20"/>
      <w:u w:val="single"/>
    </w:rPr>
  </w:style>
  <w:style w:type="paragraph" w:customStyle="1" w:styleId="StyleTitre4GrasNonPetitesmajusculesAprs0pt1">
    <w:name w:val="Style Titre 4_ + Gras Non Petites majuscules Après : 0 pt1"/>
    <w:basedOn w:val="Titre40"/>
    <w:pPr>
      <w:spacing w:after="0"/>
    </w:pPr>
    <w:rPr>
      <w:rFonts w:cs="Times New Roman"/>
      <w:bCs/>
      <w:iCs/>
      <w:smallCaps w:val="0"/>
      <w:spacing w:val="0"/>
      <w:sz w:val="28"/>
      <w:szCs w:val="20"/>
      <w:u w:val="single"/>
    </w:rPr>
  </w:style>
  <w:style w:type="paragraph" w:customStyle="1" w:styleId="StyleTitre4GrasNonPetitesmajusculesAprs0pt2">
    <w:name w:val="Style Titre 4_ + Gras Non Petites majuscules Après : 0 pt2"/>
    <w:basedOn w:val="Titre40"/>
    <w:pPr>
      <w:spacing w:after="0"/>
    </w:pPr>
    <w:rPr>
      <w:rFonts w:cs="Times New Roman"/>
      <w:b/>
      <w:bCs/>
      <w:i w:val="0"/>
      <w:iCs/>
      <w:smallCaps w:val="0"/>
      <w:spacing w:val="0"/>
      <w:sz w:val="28"/>
      <w:szCs w:val="20"/>
      <w:u w:val="single"/>
    </w:rPr>
  </w:style>
  <w:style w:type="paragraph" w:customStyle="1" w:styleId="StyleTitre4GrasNonPetitesmajusculesAprs0pt3">
    <w:name w:val="Style Titre 4_ + Gras Non Petites majuscules Après : 0 pt3"/>
    <w:basedOn w:val="Titre40"/>
    <w:pPr>
      <w:spacing w:after="0"/>
    </w:pPr>
    <w:rPr>
      <w:rFonts w:cs="Times New Roman"/>
      <w:b/>
      <w:bCs/>
      <w:i w:val="0"/>
      <w:iCs/>
      <w:smallCaps w:val="0"/>
      <w:spacing w:val="0"/>
      <w:sz w:val="28"/>
      <w:szCs w:val="20"/>
      <w:u w:val="single"/>
    </w:rPr>
  </w:style>
  <w:style w:type="paragraph" w:customStyle="1" w:styleId="Titre31">
    <w:name w:val="Titre 31"/>
    <w:next w:val="Normal"/>
    <w:pPr>
      <w:keepNext/>
      <w:ind w:left="2160" w:hanging="2160"/>
      <w:outlineLvl w:val="2"/>
    </w:pPr>
    <w:rPr>
      <w:rFonts w:ascii="Arial Bold" w:eastAsia="ヒラギノ角ゴ Pro W3" w:hAnsi="Arial Bold"/>
      <w:color w:val="000000"/>
      <w:spacing w:val="-6"/>
      <w:sz w:val="28"/>
      <w:u w:val="single"/>
      <w:lang w:val="fr-FR"/>
    </w:rPr>
  </w:style>
  <w:style w:type="paragraph" w:customStyle="1" w:styleId="Titre51">
    <w:name w:val="Titre 51"/>
    <w:next w:val="Normal"/>
    <w:pPr>
      <w:tabs>
        <w:tab w:val="left" w:pos="900"/>
      </w:tabs>
      <w:ind w:left="900" w:hanging="900"/>
      <w:outlineLvl w:val="4"/>
    </w:pPr>
    <w:rPr>
      <w:rFonts w:ascii="Arial Bold Italic" w:eastAsia="ヒラギノ角ゴ Pro W3" w:hAnsi="Arial Bold Italic"/>
      <w:smallCaps/>
      <w:color w:val="000000"/>
      <w:spacing w:val="-4"/>
      <w:sz w:val="22"/>
      <w:u w:val="single"/>
      <w:lang w:val="fr-FR"/>
    </w:rPr>
  </w:style>
  <w:style w:type="paragraph" w:customStyle="1" w:styleId="Corpsdetexte21">
    <w:name w:val="Corps de texte 21"/>
    <w:pPr>
      <w:jc w:val="both"/>
    </w:pPr>
    <w:rPr>
      <w:rFonts w:ascii="Arial" w:eastAsia="ヒラギノ角ゴ Pro W3" w:hAnsi="Arial"/>
      <w:color w:val="000000"/>
      <w:sz w:val="22"/>
      <w:lang w:val="fr-FR"/>
    </w:rPr>
  </w:style>
  <w:style w:type="character" w:customStyle="1" w:styleId="Appelnotedebasdep1">
    <w:name w:val="Appel note de bas de p.1"/>
    <w:rPr>
      <w:color w:val="000000"/>
      <w:sz w:val="20"/>
      <w:vertAlign w:val="superscript"/>
    </w:rPr>
  </w:style>
  <w:style w:type="paragraph" w:customStyle="1" w:styleId="Notedebasdepage1">
    <w:name w:val="Note de bas de page1"/>
    <w:autoRedefine/>
    <w:pPr>
      <w:ind w:left="180" w:hanging="180"/>
    </w:pPr>
    <w:rPr>
      <w:rFonts w:ascii="Arial" w:eastAsia="ヒラギノ角ゴ Pro W3" w:hAnsi="Arial" w:cs="Arial"/>
      <w:color w:val="000000"/>
      <w:sz w:val="16"/>
      <w:szCs w:val="16"/>
      <w:lang w:val="fr-FR"/>
    </w:rPr>
  </w:style>
  <w:style w:type="character" w:customStyle="1" w:styleId="Lienhypertexte1">
    <w:name w:val="Lien hypertexte1"/>
    <w:rPr>
      <w:color w:val="0000FF"/>
      <w:sz w:val="20"/>
      <w:u w:val="single"/>
    </w:rPr>
  </w:style>
  <w:style w:type="paragraph" w:customStyle="1" w:styleId="Corpsdetexte1">
    <w:name w:val="Corps de texte1"/>
    <w:pPr>
      <w:jc w:val="both"/>
    </w:pPr>
    <w:rPr>
      <w:rFonts w:ascii="Arial" w:eastAsia="ヒラギノ角ゴ Pro W3" w:hAnsi="Arial"/>
      <w:color w:val="000000"/>
      <w:spacing w:val="-6"/>
      <w:sz w:val="22"/>
      <w:lang w:val="fr-FR"/>
    </w:rPr>
  </w:style>
  <w:style w:type="character" w:customStyle="1" w:styleId="Caractresdenotedebasdepage">
    <w:name w:val="Caractères de note de bas de page"/>
    <w:basedOn w:val="Policepardfaut"/>
    <w:rPr>
      <w:vertAlign w:val="superscript"/>
    </w:rPr>
  </w:style>
  <w:style w:type="paragraph" w:customStyle="1" w:styleId="Sansinterligne1">
    <w:name w:val="Sans interligne1"/>
    <w:rPr>
      <w:rFonts w:ascii="Calibri" w:hAnsi="Calibri"/>
      <w:sz w:val="22"/>
      <w:szCs w:val="22"/>
      <w:lang w:val="fr-FR" w:eastAsia="en-US"/>
    </w:rPr>
  </w:style>
  <w:style w:type="paragraph" w:customStyle="1" w:styleId="Sansinterligne11">
    <w:name w:val="Sans interligne11"/>
    <w:rPr>
      <w:rFonts w:ascii="Calibri" w:hAnsi="Calibri"/>
      <w:sz w:val="22"/>
      <w:szCs w:val="22"/>
      <w:lang w:val="fr-FR" w:eastAsia="en-US"/>
    </w:rPr>
  </w:style>
  <w:style w:type="character" w:customStyle="1" w:styleId="FootnoteTextChar">
    <w:name w:val="Footnote Text Char"/>
    <w:basedOn w:val="Policepardfaut"/>
    <w:semiHidden/>
    <w:locked/>
    <w:rPr>
      <w:rFonts w:ascii="Calibri" w:hAnsi="Calibri" w:cs="Times New Roman"/>
      <w:lang w:val="fr-FR" w:eastAsia="en-US" w:bidi="ar-SA"/>
    </w:rPr>
  </w:style>
  <w:style w:type="character" w:customStyle="1" w:styleId="EmailStyle95">
    <w:name w:val="EmailStyle95"/>
    <w:basedOn w:val="Policepardfaut"/>
    <w:semiHidden/>
    <w:rPr>
      <w:rFonts w:ascii="Arial" w:hAnsi="Arial" w:cs="Arial" w:hint="default"/>
      <w:color w:val="auto"/>
      <w:sz w:val="20"/>
      <w:szCs w:val="20"/>
    </w:rPr>
  </w:style>
  <w:style w:type="paragraph" w:customStyle="1" w:styleId="msolistparagraph0">
    <w:name w:val="msolistparagraph"/>
    <w:basedOn w:val="Normal"/>
    <w:pPr>
      <w:ind w:left="720"/>
    </w:pPr>
    <w:rPr>
      <w:rFonts w:ascii="Calibri" w:eastAsia="Calibri" w:hAnsi="Calibri"/>
      <w:szCs w:val="22"/>
    </w:rPr>
  </w:style>
  <w:style w:type="paragraph" w:customStyle="1" w:styleId="Paragraphedeliste1">
    <w:name w:val="Paragraphe de liste1"/>
    <w:basedOn w:val="Normal"/>
    <w:pPr>
      <w:spacing w:after="160" w:line="259" w:lineRule="auto"/>
      <w:ind w:left="720"/>
      <w:contextualSpacing/>
    </w:pPr>
    <w:rPr>
      <w:rFonts w:ascii="Calibri" w:hAnsi="Calibri"/>
      <w:szCs w:val="22"/>
      <w:lang w:val="fr-BE" w:eastAsia="en-US"/>
    </w:rPr>
  </w:style>
  <w:style w:type="character" w:customStyle="1" w:styleId="NotedebasdepageCar">
    <w:name w:val="Note de bas de page Car"/>
    <w:basedOn w:val="Policepardfaut"/>
    <w:uiPriority w:val="99"/>
    <w:rPr>
      <w:rFonts w:ascii="Arial" w:hAnsi="Arial"/>
      <w:lang w:val="fr-FR" w:eastAsia="ar-SA" w:bidi="ar-SA"/>
    </w:rPr>
  </w:style>
  <w:style w:type="paragraph" w:customStyle="1" w:styleId="2">
    <w:name w:val="2"/>
    <w:pPr>
      <w:suppressAutoHyphens/>
    </w:pPr>
    <w:rPr>
      <w:rFonts w:ascii="Goudy Old Style" w:eastAsia="Arial" w:hAnsi="Goudy Old Style"/>
      <w:sz w:val="24"/>
      <w:lang w:val="fr-FR" w:eastAsia="ar-SA"/>
    </w:rPr>
  </w:style>
  <w:style w:type="character" w:customStyle="1" w:styleId="CarCar">
    <w:name w:val="Car Car"/>
    <w:basedOn w:val="Policepardfaut"/>
    <w:semiHidden/>
    <w:locked/>
    <w:rPr>
      <w:rFonts w:ascii="Arial" w:hAnsi="Arial" w:cs="Arial"/>
      <w:lang w:val="fr-FR" w:eastAsia="fr-FR" w:bidi="ar-SA"/>
    </w:rPr>
  </w:style>
  <w:style w:type="character" w:customStyle="1" w:styleId="CarCar1">
    <w:name w:val="Car Car1"/>
    <w:basedOn w:val="Policepardfaut"/>
    <w:locked/>
    <w:rPr>
      <w:rFonts w:ascii="Arial" w:hAnsi="Arial" w:cs="Arial"/>
      <w:spacing w:val="-6"/>
      <w:sz w:val="22"/>
      <w:szCs w:val="24"/>
      <w:lang w:val="fr-FR" w:eastAsia="fr-FR" w:bidi="ar-SA"/>
    </w:rPr>
  </w:style>
  <w:style w:type="paragraph" w:styleId="Paragraphedeliste">
    <w:name w:val="List Paragraph"/>
    <w:basedOn w:val="Normal"/>
    <w:uiPriority w:val="34"/>
    <w:qFormat/>
    <w:pPr>
      <w:ind w:left="708"/>
    </w:pPr>
  </w:style>
  <w:style w:type="paragraph" w:styleId="En-ttedetabledesmatires">
    <w:name w:val="TOC Heading"/>
    <w:basedOn w:val="Titre1"/>
    <w:next w:val="Normal"/>
    <w:uiPriority w:val="39"/>
    <w:qFormat/>
    <w:pPr>
      <w:keepLines/>
      <w:tabs>
        <w:tab w:val="clear" w:pos="720"/>
        <w:tab w:val="clear" w:pos="1440"/>
        <w:tab w:val="clear" w:pos="1800"/>
      </w:tabs>
      <w:spacing w:before="480" w:line="276" w:lineRule="auto"/>
      <w:jc w:val="left"/>
      <w:outlineLvl w:val="9"/>
    </w:pPr>
    <w:rPr>
      <w:rFonts w:ascii="Cambria" w:hAnsi="Cambria" w:cs="Times New Roman"/>
      <w:color w:val="365F91"/>
      <w:kern w:val="0"/>
      <w:sz w:val="28"/>
      <w:szCs w:val="28"/>
      <w:u w:val="none"/>
      <w:lang w:eastAsia="en-US"/>
    </w:rPr>
  </w:style>
  <w:style w:type="paragraph" w:customStyle="1" w:styleId="Titre46">
    <w:name w:val="Titre 46"/>
    <w:basedOn w:val="Titre4"/>
  </w:style>
  <w:style w:type="paragraph" w:customStyle="1" w:styleId="mon">
    <w:name w:val="mon"/>
    <w:basedOn w:val="Normal"/>
    <w:pPr>
      <w:jc w:val="both"/>
    </w:pPr>
  </w:style>
  <w:style w:type="character" w:customStyle="1" w:styleId="Titre7Car">
    <w:name w:val="Titre 7 Car"/>
    <w:basedOn w:val="Policepardfaut"/>
    <w:link w:val="Titre7"/>
    <w:uiPriority w:val="99"/>
    <w:locked/>
    <w:rPr>
      <w:rFonts w:ascii="Arial" w:hAnsi="Arial"/>
      <w:sz w:val="22"/>
      <w:szCs w:val="24"/>
      <w:lang w:val="fr-FR" w:eastAsia="fr-FR"/>
    </w:rPr>
  </w:style>
  <w:style w:type="character" w:customStyle="1" w:styleId="Titre9Car">
    <w:name w:val="Titre 9 Car"/>
    <w:basedOn w:val="Policepardfaut"/>
    <w:link w:val="Titre9"/>
    <w:uiPriority w:val="99"/>
    <w:locked/>
    <w:rPr>
      <w:rFonts w:ascii="Arial" w:hAnsi="Arial" w:cs="Arial"/>
      <w:sz w:val="22"/>
      <w:szCs w:val="22"/>
      <w:lang w:val="fr-FR" w:eastAsia="fr-FR"/>
    </w:rPr>
  </w:style>
  <w:style w:type="character" w:customStyle="1" w:styleId="En-tteCar">
    <w:name w:val="En-tête Car"/>
    <w:basedOn w:val="Policepardfaut"/>
    <w:link w:val="En-tte"/>
    <w:locked/>
    <w:rPr>
      <w:rFonts w:ascii="Arial" w:hAnsi="Arial"/>
      <w:sz w:val="22"/>
      <w:szCs w:val="24"/>
      <w:lang w:val="fr-FR" w:eastAsia="fr-FR"/>
    </w:rPr>
  </w:style>
  <w:style w:type="character" w:customStyle="1" w:styleId="Retraitcorpsdetexte2Car">
    <w:name w:val="Retrait corps de texte 2 Car"/>
    <w:basedOn w:val="Policepardfaut"/>
    <w:link w:val="Retraitcorpsdetexte2"/>
    <w:locked/>
    <w:rPr>
      <w:rFonts w:ascii="Arial" w:hAnsi="Arial" w:cs="Arial"/>
      <w:sz w:val="22"/>
      <w:szCs w:val="24"/>
      <w:lang w:val="fr-FR" w:eastAsia="fr-FR"/>
    </w:rPr>
  </w:style>
  <w:style w:type="character" w:customStyle="1" w:styleId="RetraitcorpsdetexteCar">
    <w:name w:val="Retrait corps de texte Car"/>
    <w:basedOn w:val="Policepardfaut"/>
    <w:link w:val="Retraitcorpsdetexte"/>
    <w:uiPriority w:val="99"/>
    <w:locked/>
    <w:rPr>
      <w:rFonts w:ascii="Arial" w:hAnsi="Arial" w:cs="Arial"/>
      <w:sz w:val="22"/>
      <w:szCs w:val="23"/>
      <w:lang w:val="fr-FR" w:eastAsia="en-US"/>
    </w:rPr>
  </w:style>
  <w:style w:type="character" w:customStyle="1" w:styleId="Retraitcorpsdetexte3Car">
    <w:name w:val="Retrait corps de texte 3 Car"/>
    <w:basedOn w:val="Policepardfaut"/>
    <w:link w:val="Retraitcorpsdetexte3"/>
    <w:uiPriority w:val="99"/>
    <w:locked/>
    <w:rPr>
      <w:rFonts w:ascii="Arial" w:hAnsi="Arial" w:cs="Arial"/>
      <w:sz w:val="22"/>
      <w:szCs w:val="23"/>
      <w:lang w:val="fr-FR" w:eastAsia="en-US"/>
    </w:rPr>
  </w:style>
  <w:style w:type="character" w:customStyle="1" w:styleId="Corpsdetexte2Car">
    <w:name w:val="Corps de texte 2 Car"/>
    <w:basedOn w:val="Policepardfaut"/>
    <w:link w:val="Corpsdetexte2"/>
    <w:locked/>
    <w:rPr>
      <w:rFonts w:ascii="Arial" w:hAnsi="Arial" w:cs="Arial"/>
      <w:sz w:val="22"/>
      <w:szCs w:val="24"/>
      <w:lang w:val="fr-FR" w:eastAsia="fr-FR"/>
    </w:rPr>
  </w:style>
  <w:style w:type="paragraph" w:customStyle="1" w:styleId="Paragraphedeliste11">
    <w:name w:val="Paragraphe de liste11"/>
    <w:basedOn w:val="Normal"/>
    <w:uiPriority w:val="99"/>
    <w:pPr>
      <w:ind w:left="720"/>
      <w:contextualSpacing/>
    </w:pPr>
  </w:style>
  <w:style w:type="paragraph" w:customStyle="1" w:styleId="montitre10">
    <w:name w:val="mon titre 1"/>
    <w:basedOn w:val="Normal"/>
  </w:style>
  <w:style w:type="character" w:customStyle="1" w:styleId="HeaderChar">
    <w:name w:val="Header Char"/>
    <w:basedOn w:val="Policepardfaut"/>
    <w:locked/>
    <w:rPr>
      <w:rFonts w:ascii="Arial" w:hAnsi="Arial" w:cs="Times New Roman"/>
      <w:sz w:val="24"/>
      <w:szCs w:val="24"/>
      <w:lang w:val="fr-FR" w:eastAsia="fr-FR"/>
    </w:rPr>
  </w:style>
  <w:style w:type="paragraph" w:customStyle="1" w:styleId="Titre20">
    <w:name w:val="Titre2"/>
    <w:basedOn w:val="Normal"/>
  </w:style>
  <w:style w:type="paragraph" w:customStyle="1" w:styleId="Titre10">
    <w:name w:val="Titre1"/>
    <w:basedOn w:val="Normal"/>
  </w:style>
  <w:style w:type="character" w:customStyle="1" w:styleId="TextedebullesCar">
    <w:name w:val="Texte de bulles Car"/>
    <w:basedOn w:val="Policepardfaut"/>
    <w:link w:val="Textedebulles"/>
    <w:semiHidden/>
    <w:rPr>
      <w:rFonts w:ascii="Tahoma" w:hAnsi="Tahoma" w:cs="Tahoma"/>
      <w:sz w:val="16"/>
      <w:szCs w:val="16"/>
      <w:lang w:val="fr-FR" w:eastAsia="fr-FR"/>
    </w:rPr>
  </w:style>
  <w:style w:type="character" w:customStyle="1" w:styleId="plist">
    <w:name w:val="p_list"/>
    <w:basedOn w:val="Policepardfaut"/>
  </w:style>
  <w:style w:type="paragraph" w:styleId="Sansinterligne">
    <w:name w:val="No Spacing"/>
    <w:uiPriority w:val="1"/>
    <w:qFormat/>
    <w:rPr>
      <w:rFonts w:ascii="Arial" w:hAnsi="Arial"/>
      <w:sz w:val="22"/>
      <w:szCs w:val="24"/>
      <w:lang w:val="fr-FR" w:eastAsia="fr-FR"/>
    </w:rPr>
  </w:style>
  <w:style w:type="character" w:styleId="Marquedecommentaire">
    <w:name w:val="annotation reference"/>
    <w:basedOn w:val="Policepardfau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28730">
      <w:bodyDiv w:val="1"/>
      <w:marLeft w:val="0"/>
      <w:marRight w:val="0"/>
      <w:marTop w:val="0"/>
      <w:marBottom w:val="0"/>
      <w:divBdr>
        <w:top w:val="none" w:sz="0" w:space="0" w:color="auto"/>
        <w:left w:val="none" w:sz="0" w:space="0" w:color="auto"/>
        <w:bottom w:val="none" w:sz="0" w:space="0" w:color="auto"/>
        <w:right w:val="none" w:sz="0" w:space="0" w:color="auto"/>
      </w:divBdr>
    </w:div>
    <w:div w:id="111245040">
      <w:bodyDiv w:val="1"/>
      <w:marLeft w:val="0"/>
      <w:marRight w:val="0"/>
      <w:marTop w:val="0"/>
      <w:marBottom w:val="0"/>
      <w:divBdr>
        <w:top w:val="none" w:sz="0" w:space="0" w:color="auto"/>
        <w:left w:val="none" w:sz="0" w:space="0" w:color="auto"/>
        <w:bottom w:val="none" w:sz="0" w:space="0" w:color="auto"/>
        <w:right w:val="none" w:sz="0" w:space="0" w:color="auto"/>
      </w:divBdr>
      <w:divsChild>
        <w:div w:id="396828834">
          <w:marLeft w:val="0"/>
          <w:marRight w:val="0"/>
          <w:marTop w:val="0"/>
          <w:marBottom w:val="0"/>
          <w:divBdr>
            <w:top w:val="none" w:sz="0" w:space="0" w:color="auto"/>
            <w:left w:val="none" w:sz="0" w:space="0" w:color="auto"/>
            <w:bottom w:val="none" w:sz="0" w:space="0" w:color="auto"/>
            <w:right w:val="none" w:sz="0" w:space="0" w:color="auto"/>
          </w:divBdr>
          <w:divsChild>
            <w:div w:id="1513572651">
              <w:marLeft w:val="0"/>
              <w:marRight w:val="0"/>
              <w:marTop w:val="0"/>
              <w:marBottom w:val="0"/>
              <w:divBdr>
                <w:top w:val="single" w:sz="6" w:space="0" w:color="AAAAAA"/>
                <w:left w:val="single" w:sz="6" w:space="0" w:color="AAAAAA"/>
                <w:bottom w:val="single" w:sz="6" w:space="0" w:color="AAAAAA"/>
                <w:right w:val="single" w:sz="6" w:space="0" w:color="AAAAAA"/>
              </w:divBdr>
              <w:divsChild>
                <w:div w:id="2096395124">
                  <w:marLeft w:val="0"/>
                  <w:marRight w:val="0"/>
                  <w:marTop w:val="0"/>
                  <w:marBottom w:val="0"/>
                  <w:divBdr>
                    <w:top w:val="none" w:sz="0" w:space="0" w:color="auto"/>
                    <w:left w:val="none" w:sz="0" w:space="0" w:color="auto"/>
                    <w:bottom w:val="none" w:sz="0" w:space="0" w:color="auto"/>
                    <w:right w:val="none" w:sz="0" w:space="0" w:color="auto"/>
                  </w:divBdr>
                  <w:divsChild>
                    <w:div w:id="1199274059">
                      <w:marLeft w:val="0"/>
                      <w:marRight w:val="0"/>
                      <w:marTop w:val="0"/>
                      <w:marBottom w:val="0"/>
                      <w:divBdr>
                        <w:top w:val="none" w:sz="0" w:space="0" w:color="auto"/>
                        <w:left w:val="none" w:sz="0" w:space="0" w:color="auto"/>
                        <w:bottom w:val="none" w:sz="0" w:space="0" w:color="auto"/>
                        <w:right w:val="single" w:sz="6" w:space="8" w:color="AAAAAA"/>
                      </w:divBdr>
                      <w:divsChild>
                        <w:div w:id="237132168">
                          <w:marLeft w:val="0"/>
                          <w:marRight w:val="0"/>
                          <w:marTop w:val="0"/>
                          <w:marBottom w:val="0"/>
                          <w:divBdr>
                            <w:top w:val="none" w:sz="0" w:space="0" w:color="auto"/>
                            <w:left w:val="none" w:sz="0" w:space="0" w:color="auto"/>
                            <w:bottom w:val="none" w:sz="0" w:space="0" w:color="auto"/>
                            <w:right w:val="none" w:sz="0" w:space="0" w:color="auto"/>
                          </w:divBdr>
                          <w:divsChild>
                            <w:div w:id="1616790259">
                              <w:marLeft w:val="0"/>
                              <w:marRight w:val="0"/>
                              <w:marTop w:val="150"/>
                              <w:marBottom w:val="0"/>
                              <w:divBdr>
                                <w:top w:val="none" w:sz="0" w:space="0" w:color="auto"/>
                                <w:left w:val="none" w:sz="0" w:space="0" w:color="auto"/>
                                <w:bottom w:val="none" w:sz="0" w:space="0" w:color="auto"/>
                                <w:right w:val="none" w:sz="0" w:space="0" w:color="auto"/>
                              </w:divBdr>
                              <w:divsChild>
                                <w:div w:id="1048918716">
                                  <w:marLeft w:val="7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556952">
      <w:bodyDiv w:val="1"/>
      <w:marLeft w:val="0"/>
      <w:marRight w:val="0"/>
      <w:marTop w:val="0"/>
      <w:marBottom w:val="0"/>
      <w:divBdr>
        <w:top w:val="none" w:sz="0" w:space="0" w:color="auto"/>
        <w:left w:val="none" w:sz="0" w:space="0" w:color="auto"/>
        <w:bottom w:val="none" w:sz="0" w:space="0" w:color="auto"/>
        <w:right w:val="none" w:sz="0" w:space="0" w:color="auto"/>
      </w:divBdr>
      <w:divsChild>
        <w:div w:id="77675654">
          <w:marLeft w:val="0"/>
          <w:marRight w:val="0"/>
          <w:marTop w:val="0"/>
          <w:marBottom w:val="0"/>
          <w:divBdr>
            <w:top w:val="none" w:sz="0" w:space="0" w:color="auto"/>
            <w:left w:val="none" w:sz="0" w:space="0" w:color="auto"/>
            <w:bottom w:val="none" w:sz="0" w:space="0" w:color="auto"/>
            <w:right w:val="none" w:sz="0" w:space="0" w:color="auto"/>
          </w:divBdr>
          <w:divsChild>
            <w:div w:id="1783844543">
              <w:marLeft w:val="0"/>
              <w:marRight w:val="0"/>
              <w:marTop w:val="0"/>
              <w:marBottom w:val="0"/>
              <w:divBdr>
                <w:top w:val="single" w:sz="6" w:space="0" w:color="AAAAAA"/>
                <w:left w:val="single" w:sz="6" w:space="0" w:color="AAAAAA"/>
                <w:bottom w:val="single" w:sz="6" w:space="0" w:color="AAAAAA"/>
                <w:right w:val="single" w:sz="6" w:space="0" w:color="AAAAAA"/>
              </w:divBdr>
              <w:divsChild>
                <w:div w:id="1914896714">
                  <w:marLeft w:val="0"/>
                  <w:marRight w:val="0"/>
                  <w:marTop w:val="0"/>
                  <w:marBottom w:val="0"/>
                  <w:divBdr>
                    <w:top w:val="none" w:sz="0" w:space="0" w:color="auto"/>
                    <w:left w:val="none" w:sz="0" w:space="0" w:color="auto"/>
                    <w:bottom w:val="none" w:sz="0" w:space="0" w:color="auto"/>
                    <w:right w:val="none" w:sz="0" w:space="0" w:color="auto"/>
                  </w:divBdr>
                  <w:divsChild>
                    <w:div w:id="1475292229">
                      <w:marLeft w:val="0"/>
                      <w:marRight w:val="0"/>
                      <w:marTop w:val="0"/>
                      <w:marBottom w:val="0"/>
                      <w:divBdr>
                        <w:top w:val="none" w:sz="0" w:space="0" w:color="auto"/>
                        <w:left w:val="none" w:sz="0" w:space="0" w:color="auto"/>
                        <w:bottom w:val="none" w:sz="0" w:space="0" w:color="auto"/>
                        <w:right w:val="single" w:sz="6" w:space="8" w:color="AAAAAA"/>
                      </w:divBdr>
                      <w:divsChild>
                        <w:div w:id="1037435976">
                          <w:marLeft w:val="0"/>
                          <w:marRight w:val="0"/>
                          <w:marTop w:val="0"/>
                          <w:marBottom w:val="0"/>
                          <w:divBdr>
                            <w:top w:val="none" w:sz="0" w:space="0" w:color="auto"/>
                            <w:left w:val="none" w:sz="0" w:space="0" w:color="auto"/>
                            <w:bottom w:val="none" w:sz="0" w:space="0" w:color="auto"/>
                            <w:right w:val="none" w:sz="0" w:space="0" w:color="auto"/>
                          </w:divBdr>
                          <w:divsChild>
                            <w:div w:id="1116028243">
                              <w:marLeft w:val="0"/>
                              <w:marRight w:val="0"/>
                              <w:marTop w:val="150"/>
                              <w:marBottom w:val="0"/>
                              <w:divBdr>
                                <w:top w:val="none" w:sz="0" w:space="0" w:color="auto"/>
                                <w:left w:val="none" w:sz="0" w:space="0" w:color="auto"/>
                                <w:bottom w:val="none" w:sz="0" w:space="0" w:color="auto"/>
                                <w:right w:val="none" w:sz="0" w:space="0" w:color="auto"/>
                              </w:divBdr>
                              <w:divsChild>
                                <w:div w:id="1760827522">
                                  <w:marLeft w:val="7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705200">
      <w:bodyDiv w:val="1"/>
      <w:marLeft w:val="0"/>
      <w:marRight w:val="0"/>
      <w:marTop w:val="0"/>
      <w:marBottom w:val="0"/>
      <w:divBdr>
        <w:top w:val="none" w:sz="0" w:space="0" w:color="auto"/>
        <w:left w:val="none" w:sz="0" w:space="0" w:color="auto"/>
        <w:bottom w:val="none" w:sz="0" w:space="0" w:color="auto"/>
        <w:right w:val="none" w:sz="0" w:space="0" w:color="auto"/>
      </w:divBdr>
      <w:divsChild>
        <w:div w:id="1060440942">
          <w:marLeft w:val="0"/>
          <w:marRight w:val="0"/>
          <w:marTop w:val="0"/>
          <w:marBottom w:val="0"/>
          <w:divBdr>
            <w:top w:val="none" w:sz="0" w:space="0" w:color="auto"/>
            <w:left w:val="none" w:sz="0" w:space="0" w:color="auto"/>
            <w:bottom w:val="none" w:sz="0" w:space="0" w:color="auto"/>
            <w:right w:val="none" w:sz="0" w:space="0" w:color="auto"/>
          </w:divBdr>
          <w:divsChild>
            <w:div w:id="1267663987">
              <w:marLeft w:val="0"/>
              <w:marRight w:val="0"/>
              <w:marTop w:val="0"/>
              <w:marBottom w:val="0"/>
              <w:divBdr>
                <w:top w:val="single" w:sz="6" w:space="0" w:color="AAAAAA"/>
                <w:left w:val="single" w:sz="6" w:space="0" w:color="AAAAAA"/>
                <w:bottom w:val="single" w:sz="6" w:space="0" w:color="AAAAAA"/>
                <w:right w:val="single" w:sz="6" w:space="0" w:color="AAAAAA"/>
              </w:divBdr>
              <w:divsChild>
                <w:div w:id="767502791">
                  <w:marLeft w:val="0"/>
                  <w:marRight w:val="0"/>
                  <w:marTop w:val="0"/>
                  <w:marBottom w:val="0"/>
                  <w:divBdr>
                    <w:top w:val="none" w:sz="0" w:space="0" w:color="auto"/>
                    <w:left w:val="none" w:sz="0" w:space="0" w:color="auto"/>
                    <w:bottom w:val="none" w:sz="0" w:space="0" w:color="auto"/>
                    <w:right w:val="none" w:sz="0" w:space="0" w:color="auto"/>
                  </w:divBdr>
                  <w:divsChild>
                    <w:div w:id="1958175782">
                      <w:marLeft w:val="0"/>
                      <w:marRight w:val="0"/>
                      <w:marTop w:val="0"/>
                      <w:marBottom w:val="0"/>
                      <w:divBdr>
                        <w:top w:val="none" w:sz="0" w:space="0" w:color="auto"/>
                        <w:left w:val="none" w:sz="0" w:space="0" w:color="auto"/>
                        <w:bottom w:val="none" w:sz="0" w:space="0" w:color="auto"/>
                        <w:right w:val="single" w:sz="6" w:space="8" w:color="AAAAAA"/>
                      </w:divBdr>
                      <w:divsChild>
                        <w:div w:id="2135901549">
                          <w:marLeft w:val="0"/>
                          <w:marRight w:val="0"/>
                          <w:marTop w:val="0"/>
                          <w:marBottom w:val="0"/>
                          <w:divBdr>
                            <w:top w:val="none" w:sz="0" w:space="0" w:color="auto"/>
                            <w:left w:val="none" w:sz="0" w:space="0" w:color="auto"/>
                            <w:bottom w:val="none" w:sz="0" w:space="0" w:color="auto"/>
                            <w:right w:val="none" w:sz="0" w:space="0" w:color="auto"/>
                          </w:divBdr>
                          <w:divsChild>
                            <w:div w:id="50855946">
                              <w:marLeft w:val="0"/>
                              <w:marRight w:val="0"/>
                              <w:marTop w:val="0"/>
                              <w:marBottom w:val="225"/>
                              <w:divBdr>
                                <w:top w:val="none" w:sz="0" w:space="0" w:color="auto"/>
                                <w:left w:val="none" w:sz="0" w:space="0" w:color="auto"/>
                                <w:bottom w:val="single" w:sz="6" w:space="0" w:color="AAAAAA"/>
                                <w:right w:val="none" w:sz="0" w:space="0" w:color="auto"/>
                              </w:divBdr>
                              <w:divsChild>
                                <w:div w:id="474491320">
                                  <w:marLeft w:val="15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8633755">
      <w:bodyDiv w:val="1"/>
      <w:marLeft w:val="0"/>
      <w:marRight w:val="0"/>
      <w:marTop w:val="0"/>
      <w:marBottom w:val="0"/>
      <w:divBdr>
        <w:top w:val="none" w:sz="0" w:space="0" w:color="auto"/>
        <w:left w:val="none" w:sz="0" w:space="0" w:color="auto"/>
        <w:bottom w:val="none" w:sz="0" w:space="0" w:color="auto"/>
        <w:right w:val="none" w:sz="0" w:space="0" w:color="auto"/>
      </w:divBdr>
    </w:div>
    <w:div w:id="297690074">
      <w:bodyDiv w:val="1"/>
      <w:marLeft w:val="0"/>
      <w:marRight w:val="0"/>
      <w:marTop w:val="0"/>
      <w:marBottom w:val="0"/>
      <w:divBdr>
        <w:top w:val="none" w:sz="0" w:space="0" w:color="auto"/>
        <w:left w:val="none" w:sz="0" w:space="0" w:color="auto"/>
        <w:bottom w:val="none" w:sz="0" w:space="0" w:color="auto"/>
        <w:right w:val="none" w:sz="0" w:space="0" w:color="auto"/>
      </w:divBdr>
    </w:div>
    <w:div w:id="392852550">
      <w:bodyDiv w:val="1"/>
      <w:marLeft w:val="0"/>
      <w:marRight w:val="0"/>
      <w:marTop w:val="0"/>
      <w:marBottom w:val="0"/>
      <w:divBdr>
        <w:top w:val="none" w:sz="0" w:space="0" w:color="auto"/>
        <w:left w:val="none" w:sz="0" w:space="0" w:color="auto"/>
        <w:bottom w:val="none" w:sz="0" w:space="0" w:color="auto"/>
        <w:right w:val="none" w:sz="0" w:space="0" w:color="auto"/>
      </w:divBdr>
      <w:divsChild>
        <w:div w:id="13574746">
          <w:marLeft w:val="0"/>
          <w:marRight w:val="0"/>
          <w:marTop w:val="0"/>
          <w:marBottom w:val="0"/>
          <w:divBdr>
            <w:top w:val="none" w:sz="0" w:space="0" w:color="auto"/>
            <w:left w:val="none" w:sz="0" w:space="0" w:color="auto"/>
            <w:bottom w:val="none" w:sz="0" w:space="0" w:color="auto"/>
            <w:right w:val="none" w:sz="0" w:space="0" w:color="auto"/>
          </w:divBdr>
        </w:div>
        <w:div w:id="71397847">
          <w:marLeft w:val="0"/>
          <w:marRight w:val="0"/>
          <w:marTop w:val="0"/>
          <w:marBottom w:val="0"/>
          <w:divBdr>
            <w:top w:val="none" w:sz="0" w:space="0" w:color="auto"/>
            <w:left w:val="none" w:sz="0" w:space="0" w:color="auto"/>
            <w:bottom w:val="none" w:sz="0" w:space="0" w:color="auto"/>
            <w:right w:val="none" w:sz="0" w:space="0" w:color="auto"/>
          </w:divBdr>
        </w:div>
        <w:div w:id="73284651">
          <w:marLeft w:val="0"/>
          <w:marRight w:val="0"/>
          <w:marTop w:val="0"/>
          <w:marBottom w:val="0"/>
          <w:divBdr>
            <w:top w:val="none" w:sz="0" w:space="0" w:color="auto"/>
            <w:left w:val="none" w:sz="0" w:space="0" w:color="auto"/>
            <w:bottom w:val="none" w:sz="0" w:space="0" w:color="auto"/>
            <w:right w:val="none" w:sz="0" w:space="0" w:color="auto"/>
          </w:divBdr>
        </w:div>
        <w:div w:id="85925872">
          <w:marLeft w:val="0"/>
          <w:marRight w:val="0"/>
          <w:marTop w:val="0"/>
          <w:marBottom w:val="0"/>
          <w:divBdr>
            <w:top w:val="none" w:sz="0" w:space="0" w:color="auto"/>
            <w:left w:val="none" w:sz="0" w:space="0" w:color="auto"/>
            <w:bottom w:val="none" w:sz="0" w:space="0" w:color="auto"/>
            <w:right w:val="none" w:sz="0" w:space="0" w:color="auto"/>
          </w:divBdr>
        </w:div>
        <w:div w:id="179978391">
          <w:marLeft w:val="0"/>
          <w:marRight w:val="0"/>
          <w:marTop w:val="0"/>
          <w:marBottom w:val="0"/>
          <w:divBdr>
            <w:top w:val="none" w:sz="0" w:space="0" w:color="auto"/>
            <w:left w:val="none" w:sz="0" w:space="0" w:color="auto"/>
            <w:bottom w:val="none" w:sz="0" w:space="0" w:color="auto"/>
            <w:right w:val="none" w:sz="0" w:space="0" w:color="auto"/>
          </w:divBdr>
        </w:div>
        <w:div w:id="297801962">
          <w:marLeft w:val="0"/>
          <w:marRight w:val="0"/>
          <w:marTop w:val="0"/>
          <w:marBottom w:val="0"/>
          <w:divBdr>
            <w:top w:val="none" w:sz="0" w:space="0" w:color="auto"/>
            <w:left w:val="none" w:sz="0" w:space="0" w:color="auto"/>
            <w:bottom w:val="none" w:sz="0" w:space="0" w:color="auto"/>
            <w:right w:val="none" w:sz="0" w:space="0" w:color="auto"/>
          </w:divBdr>
        </w:div>
        <w:div w:id="705179338">
          <w:marLeft w:val="0"/>
          <w:marRight w:val="0"/>
          <w:marTop w:val="0"/>
          <w:marBottom w:val="0"/>
          <w:divBdr>
            <w:top w:val="none" w:sz="0" w:space="0" w:color="auto"/>
            <w:left w:val="none" w:sz="0" w:space="0" w:color="auto"/>
            <w:bottom w:val="none" w:sz="0" w:space="0" w:color="auto"/>
            <w:right w:val="none" w:sz="0" w:space="0" w:color="auto"/>
          </w:divBdr>
        </w:div>
        <w:div w:id="863861382">
          <w:marLeft w:val="0"/>
          <w:marRight w:val="0"/>
          <w:marTop w:val="0"/>
          <w:marBottom w:val="0"/>
          <w:divBdr>
            <w:top w:val="none" w:sz="0" w:space="0" w:color="auto"/>
            <w:left w:val="none" w:sz="0" w:space="0" w:color="auto"/>
            <w:bottom w:val="none" w:sz="0" w:space="0" w:color="auto"/>
            <w:right w:val="none" w:sz="0" w:space="0" w:color="auto"/>
          </w:divBdr>
        </w:div>
        <w:div w:id="989406671">
          <w:marLeft w:val="0"/>
          <w:marRight w:val="0"/>
          <w:marTop w:val="0"/>
          <w:marBottom w:val="0"/>
          <w:divBdr>
            <w:top w:val="none" w:sz="0" w:space="0" w:color="auto"/>
            <w:left w:val="none" w:sz="0" w:space="0" w:color="auto"/>
            <w:bottom w:val="none" w:sz="0" w:space="0" w:color="auto"/>
            <w:right w:val="none" w:sz="0" w:space="0" w:color="auto"/>
          </w:divBdr>
        </w:div>
        <w:div w:id="1379016706">
          <w:marLeft w:val="0"/>
          <w:marRight w:val="0"/>
          <w:marTop w:val="0"/>
          <w:marBottom w:val="0"/>
          <w:divBdr>
            <w:top w:val="none" w:sz="0" w:space="0" w:color="auto"/>
            <w:left w:val="none" w:sz="0" w:space="0" w:color="auto"/>
            <w:bottom w:val="none" w:sz="0" w:space="0" w:color="auto"/>
            <w:right w:val="none" w:sz="0" w:space="0" w:color="auto"/>
          </w:divBdr>
        </w:div>
        <w:div w:id="1403285462">
          <w:marLeft w:val="0"/>
          <w:marRight w:val="0"/>
          <w:marTop w:val="0"/>
          <w:marBottom w:val="0"/>
          <w:divBdr>
            <w:top w:val="none" w:sz="0" w:space="0" w:color="auto"/>
            <w:left w:val="none" w:sz="0" w:space="0" w:color="auto"/>
            <w:bottom w:val="none" w:sz="0" w:space="0" w:color="auto"/>
            <w:right w:val="none" w:sz="0" w:space="0" w:color="auto"/>
          </w:divBdr>
        </w:div>
        <w:div w:id="1511482295">
          <w:marLeft w:val="0"/>
          <w:marRight w:val="0"/>
          <w:marTop w:val="0"/>
          <w:marBottom w:val="0"/>
          <w:divBdr>
            <w:top w:val="none" w:sz="0" w:space="0" w:color="auto"/>
            <w:left w:val="none" w:sz="0" w:space="0" w:color="auto"/>
            <w:bottom w:val="none" w:sz="0" w:space="0" w:color="auto"/>
            <w:right w:val="none" w:sz="0" w:space="0" w:color="auto"/>
          </w:divBdr>
        </w:div>
        <w:div w:id="1579511614">
          <w:marLeft w:val="0"/>
          <w:marRight w:val="0"/>
          <w:marTop w:val="0"/>
          <w:marBottom w:val="0"/>
          <w:divBdr>
            <w:top w:val="none" w:sz="0" w:space="0" w:color="auto"/>
            <w:left w:val="none" w:sz="0" w:space="0" w:color="auto"/>
            <w:bottom w:val="none" w:sz="0" w:space="0" w:color="auto"/>
            <w:right w:val="none" w:sz="0" w:space="0" w:color="auto"/>
          </w:divBdr>
        </w:div>
        <w:div w:id="1583224670">
          <w:marLeft w:val="0"/>
          <w:marRight w:val="0"/>
          <w:marTop w:val="0"/>
          <w:marBottom w:val="0"/>
          <w:divBdr>
            <w:top w:val="none" w:sz="0" w:space="0" w:color="auto"/>
            <w:left w:val="none" w:sz="0" w:space="0" w:color="auto"/>
            <w:bottom w:val="none" w:sz="0" w:space="0" w:color="auto"/>
            <w:right w:val="none" w:sz="0" w:space="0" w:color="auto"/>
          </w:divBdr>
        </w:div>
        <w:div w:id="1652711847">
          <w:marLeft w:val="0"/>
          <w:marRight w:val="0"/>
          <w:marTop w:val="0"/>
          <w:marBottom w:val="0"/>
          <w:divBdr>
            <w:top w:val="none" w:sz="0" w:space="0" w:color="auto"/>
            <w:left w:val="none" w:sz="0" w:space="0" w:color="auto"/>
            <w:bottom w:val="none" w:sz="0" w:space="0" w:color="auto"/>
            <w:right w:val="none" w:sz="0" w:space="0" w:color="auto"/>
          </w:divBdr>
        </w:div>
        <w:div w:id="1847672032">
          <w:marLeft w:val="0"/>
          <w:marRight w:val="0"/>
          <w:marTop w:val="0"/>
          <w:marBottom w:val="0"/>
          <w:divBdr>
            <w:top w:val="none" w:sz="0" w:space="0" w:color="auto"/>
            <w:left w:val="none" w:sz="0" w:space="0" w:color="auto"/>
            <w:bottom w:val="none" w:sz="0" w:space="0" w:color="auto"/>
            <w:right w:val="none" w:sz="0" w:space="0" w:color="auto"/>
          </w:divBdr>
        </w:div>
        <w:div w:id="1910459759">
          <w:marLeft w:val="0"/>
          <w:marRight w:val="0"/>
          <w:marTop w:val="0"/>
          <w:marBottom w:val="0"/>
          <w:divBdr>
            <w:top w:val="none" w:sz="0" w:space="0" w:color="auto"/>
            <w:left w:val="none" w:sz="0" w:space="0" w:color="auto"/>
            <w:bottom w:val="none" w:sz="0" w:space="0" w:color="auto"/>
            <w:right w:val="none" w:sz="0" w:space="0" w:color="auto"/>
          </w:divBdr>
        </w:div>
        <w:div w:id="2023311158">
          <w:marLeft w:val="0"/>
          <w:marRight w:val="0"/>
          <w:marTop w:val="0"/>
          <w:marBottom w:val="0"/>
          <w:divBdr>
            <w:top w:val="none" w:sz="0" w:space="0" w:color="auto"/>
            <w:left w:val="none" w:sz="0" w:space="0" w:color="auto"/>
            <w:bottom w:val="none" w:sz="0" w:space="0" w:color="auto"/>
            <w:right w:val="none" w:sz="0" w:space="0" w:color="auto"/>
          </w:divBdr>
        </w:div>
        <w:div w:id="2033334545">
          <w:marLeft w:val="0"/>
          <w:marRight w:val="0"/>
          <w:marTop w:val="0"/>
          <w:marBottom w:val="0"/>
          <w:divBdr>
            <w:top w:val="none" w:sz="0" w:space="0" w:color="auto"/>
            <w:left w:val="none" w:sz="0" w:space="0" w:color="auto"/>
            <w:bottom w:val="none" w:sz="0" w:space="0" w:color="auto"/>
            <w:right w:val="none" w:sz="0" w:space="0" w:color="auto"/>
          </w:divBdr>
        </w:div>
        <w:div w:id="2118789490">
          <w:marLeft w:val="0"/>
          <w:marRight w:val="0"/>
          <w:marTop w:val="0"/>
          <w:marBottom w:val="0"/>
          <w:divBdr>
            <w:top w:val="none" w:sz="0" w:space="0" w:color="auto"/>
            <w:left w:val="none" w:sz="0" w:space="0" w:color="auto"/>
            <w:bottom w:val="none" w:sz="0" w:space="0" w:color="auto"/>
            <w:right w:val="none" w:sz="0" w:space="0" w:color="auto"/>
          </w:divBdr>
        </w:div>
      </w:divsChild>
    </w:div>
    <w:div w:id="451360573">
      <w:bodyDiv w:val="1"/>
      <w:marLeft w:val="0"/>
      <w:marRight w:val="0"/>
      <w:marTop w:val="0"/>
      <w:marBottom w:val="0"/>
      <w:divBdr>
        <w:top w:val="none" w:sz="0" w:space="0" w:color="auto"/>
        <w:left w:val="none" w:sz="0" w:space="0" w:color="auto"/>
        <w:bottom w:val="none" w:sz="0" w:space="0" w:color="auto"/>
        <w:right w:val="none" w:sz="0" w:space="0" w:color="auto"/>
      </w:divBdr>
    </w:div>
    <w:div w:id="460920287">
      <w:bodyDiv w:val="1"/>
      <w:marLeft w:val="0"/>
      <w:marRight w:val="0"/>
      <w:marTop w:val="0"/>
      <w:marBottom w:val="0"/>
      <w:divBdr>
        <w:top w:val="none" w:sz="0" w:space="0" w:color="auto"/>
        <w:left w:val="none" w:sz="0" w:space="0" w:color="auto"/>
        <w:bottom w:val="none" w:sz="0" w:space="0" w:color="auto"/>
        <w:right w:val="none" w:sz="0" w:space="0" w:color="auto"/>
      </w:divBdr>
    </w:div>
    <w:div w:id="547381814">
      <w:bodyDiv w:val="1"/>
      <w:marLeft w:val="0"/>
      <w:marRight w:val="0"/>
      <w:marTop w:val="0"/>
      <w:marBottom w:val="0"/>
      <w:divBdr>
        <w:top w:val="none" w:sz="0" w:space="0" w:color="auto"/>
        <w:left w:val="none" w:sz="0" w:space="0" w:color="auto"/>
        <w:bottom w:val="none" w:sz="0" w:space="0" w:color="auto"/>
        <w:right w:val="none" w:sz="0" w:space="0" w:color="auto"/>
      </w:divBdr>
    </w:div>
    <w:div w:id="596596714">
      <w:bodyDiv w:val="1"/>
      <w:marLeft w:val="0"/>
      <w:marRight w:val="0"/>
      <w:marTop w:val="0"/>
      <w:marBottom w:val="0"/>
      <w:divBdr>
        <w:top w:val="none" w:sz="0" w:space="0" w:color="auto"/>
        <w:left w:val="none" w:sz="0" w:space="0" w:color="auto"/>
        <w:bottom w:val="none" w:sz="0" w:space="0" w:color="auto"/>
        <w:right w:val="none" w:sz="0" w:space="0" w:color="auto"/>
      </w:divBdr>
    </w:div>
    <w:div w:id="598758540">
      <w:bodyDiv w:val="1"/>
      <w:marLeft w:val="0"/>
      <w:marRight w:val="0"/>
      <w:marTop w:val="0"/>
      <w:marBottom w:val="0"/>
      <w:divBdr>
        <w:top w:val="none" w:sz="0" w:space="0" w:color="auto"/>
        <w:left w:val="none" w:sz="0" w:space="0" w:color="auto"/>
        <w:bottom w:val="none" w:sz="0" w:space="0" w:color="auto"/>
        <w:right w:val="none" w:sz="0" w:space="0" w:color="auto"/>
      </w:divBdr>
    </w:div>
    <w:div w:id="794981507">
      <w:bodyDiv w:val="1"/>
      <w:marLeft w:val="0"/>
      <w:marRight w:val="0"/>
      <w:marTop w:val="0"/>
      <w:marBottom w:val="0"/>
      <w:divBdr>
        <w:top w:val="none" w:sz="0" w:space="0" w:color="auto"/>
        <w:left w:val="none" w:sz="0" w:space="0" w:color="auto"/>
        <w:bottom w:val="none" w:sz="0" w:space="0" w:color="auto"/>
        <w:right w:val="none" w:sz="0" w:space="0" w:color="auto"/>
      </w:divBdr>
      <w:divsChild>
        <w:div w:id="699164147">
          <w:marLeft w:val="0"/>
          <w:marRight w:val="0"/>
          <w:marTop w:val="0"/>
          <w:marBottom w:val="0"/>
          <w:divBdr>
            <w:top w:val="none" w:sz="0" w:space="0" w:color="auto"/>
            <w:left w:val="none" w:sz="0" w:space="0" w:color="auto"/>
            <w:bottom w:val="none" w:sz="0" w:space="0" w:color="auto"/>
            <w:right w:val="none" w:sz="0" w:space="0" w:color="auto"/>
          </w:divBdr>
          <w:divsChild>
            <w:div w:id="2026054926">
              <w:marLeft w:val="0"/>
              <w:marRight w:val="0"/>
              <w:marTop w:val="0"/>
              <w:marBottom w:val="0"/>
              <w:divBdr>
                <w:top w:val="single" w:sz="6" w:space="0" w:color="AAAAAA"/>
                <w:left w:val="single" w:sz="6" w:space="0" w:color="AAAAAA"/>
                <w:bottom w:val="single" w:sz="6" w:space="0" w:color="AAAAAA"/>
                <w:right w:val="single" w:sz="6" w:space="0" w:color="AAAAAA"/>
              </w:divBdr>
              <w:divsChild>
                <w:div w:id="1807894549">
                  <w:marLeft w:val="0"/>
                  <w:marRight w:val="0"/>
                  <w:marTop w:val="0"/>
                  <w:marBottom w:val="0"/>
                  <w:divBdr>
                    <w:top w:val="none" w:sz="0" w:space="0" w:color="auto"/>
                    <w:left w:val="none" w:sz="0" w:space="0" w:color="auto"/>
                    <w:bottom w:val="none" w:sz="0" w:space="0" w:color="auto"/>
                    <w:right w:val="none" w:sz="0" w:space="0" w:color="auto"/>
                  </w:divBdr>
                  <w:divsChild>
                    <w:div w:id="1463502072">
                      <w:marLeft w:val="0"/>
                      <w:marRight w:val="0"/>
                      <w:marTop w:val="0"/>
                      <w:marBottom w:val="0"/>
                      <w:divBdr>
                        <w:top w:val="none" w:sz="0" w:space="0" w:color="auto"/>
                        <w:left w:val="none" w:sz="0" w:space="0" w:color="auto"/>
                        <w:bottom w:val="none" w:sz="0" w:space="0" w:color="auto"/>
                        <w:right w:val="single" w:sz="6" w:space="8" w:color="AAAAAA"/>
                      </w:divBdr>
                      <w:divsChild>
                        <w:div w:id="163783871">
                          <w:marLeft w:val="0"/>
                          <w:marRight w:val="0"/>
                          <w:marTop w:val="0"/>
                          <w:marBottom w:val="0"/>
                          <w:divBdr>
                            <w:top w:val="none" w:sz="0" w:space="0" w:color="auto"/>
                            <w:left w:val="none" w:sz="0" w:space="0" w:color="auto"/>
                            <w:bottom w:val="none" w:sz="0" w:space="0" w:color="auto"/>
                            <w:right w:val="none" w:sz="0" w:space="0" w:color="auto"/>
                          </w:divBdr>
                          <w:divsChild>
                            <w:div w:id="1881549016">
                              <w:marLeft w:val="0"/>
                              <w:marRight w:val="0"/>
                              <w:marTop w:val="0"/>
                              <w:marBottom w:val="0"/>
                              <w:divBdr>
                                <w:top w:val="none" w:sz="0" w:space="0" w:color="auto"/>
                                <w:left w:val="none" w:sz="0" w:space="0" w:color="auto"/>
                                <w:bottom w:val="none" w:sz="0" w:space="0" w:color="auto"/>
                                <w:right w:val="none" w:sz="0" w:space="0" w:color="auto"/>
                              </w:divBdr>
                              <w:divsChild>
                                <w:div w:id="1666083673">
                                  <w:marLeft w:val="7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17403024">
      <w:bodyDiv w:val="1"/>
      <w:marLeft w:val="0"/>
      <w:marRight w:val="0"/>
      <w:marTop w:val="0"/>
      <w:marBottom w:val="0"/>
      <w:divBdr>
        <w:top w:val="none" w:sz="0" w:space="0" w:color="auto"/>
        <w:left w:val="none" w:sz="0" w:space="0" w:color="auto"/>
        <w:bottom w:val="none" w:sz="0" w:space="0" w:color="auto"/>
        <w:right w:val="none" w:sz="0" w:space="0" w:color="auto"/>
      </w:divBdr>
    </w:div>
    <w:div w:id="1011878884">
      <w:bodyDiv w:val="1"/>
      <w:marLeft w:val="0"/>
      <w:marRight w:val="0"/>
      <w:marTop w:val="0"/>
      <w:marBottom w:val="0"/>
      <w:divBdr>
        <w:top w:val="none" w:sz="0" w:space="0" w:color="auto"/>
        <w:left w:val="none" w:sz="0" w:space="0" w:color="auto"/>
        <w:bottom w:val="none" w:sz="0" w:space="0" w:color="auto"/>
        <w:right w:val="none" w:sz="0" w:space="0" w:color="auto"/>
      </w:divBdr>
      <w:divsChild>
        <w:div w:id="1107429902">
          <w:marLeft w:val="0"/>
          <w:marRight w:val="0"/>
          <w:marTop w:val="0"/>
          <w:marBottom w:val="0"/>
          <w:divBdr>
            <w:top w:val="none" w:sz="0" w:space="0" w:color="auto"/>
            <w:left w:val="none" w:sz="0" w:space="0" w:color="auto"/>
            <w:bottom w:val="none" w:sz="0" w:space="0" w:color="auto"/>
            <w:right w:val="none" w:sz="0" w:space="0" w:color="auto"/>
          </w:divBdr>
          <w:divsChild>
            <w:div w:id="1781800673">
              <w:marLeft w:val="0"/>
              <w:marRight w:val="0"/>
              <w:marTop w:val="0"/>
              <w:marBottom w:val="0"/>
              <w:divBdr>
                <w:top w:val="single" w:sz="6" w:space="0" w:color="AAAAAA"/>
                <w:left w:val="single" w:sz="6" w:space="0" w:color="AAAAAA"/>
                <w:bottom w:val="single" w:sz="6" w:space="0" w:color="AAAAAA"/>
                <w:right w:val="single" w:sz="6" w:space="0" w:color="AAAAAA"/>
              </w:divBdr>
              <w:divsChild>
                <w:div w:id="52853584">
                  <w:marLeft w:val="0"/>
                  <w:marRight w:val="0"/>
                  <w:marTop w:val="0"/>
                  <w:marBottom w:val="0"/>
                  <w:divBdr>
                    <w:top w:val="none" w:sz="0" w:space="0" w:color="auto"/>
                    <w:left w:val="none" w:sz="0" w:space="0" w:color="auto"/>
                    <w:bottom w:val="none" w:sz="0" w:space="0" w:color="auto"/>
                    <w:right w:val="none" w:sz="0" w:space="0" w:color="auto"/>
                  </w:divBdr>
                  <w:divsChild>
                    <w:div w:id="1166282076">
                      <w:marLeft w:val="0"/>
                      <w:marRight w:val="0"/>
                      <w:marTop w:val="0"/>
                      <w:marBottom w:val="0"/>
                      <w:divBdr>
                        <w:top w:val="none" w:sz="0" w:space="0" w:color="auto"/>
                        <w:left w:val="none" w:sz="0" w:space="0" w:color="auto"/>
                        <w:bottom w:val="none" w:sz="0" w:space="0" w:color="auto"/>
                        <w:right w:val="single" w:sz="6" w:space="8" w:color="AAAAAA"/>
                      </w:divBdr>
                      <w:divsChild>
                        <w:div w:id="1253080265">
                          <w:marLeft w:val="0"/>
                          <w:marRight w:val="0"/>
                          <w:marTop w:val="0"/>
                          <w:marBottom w:val="0"/>
                          <w:divBdr>
                            <w:top w:val="none" w:sz="0" w:space="0" w:color="auto"/>
                            <w:left w:val="none" w:sz="0" w:space="0" w:color="auto"/>
                            <w:bottom w:val="none" w:sz="0" w:space="0" w:color="auto"/>
                            <w:right w:val="none" w:sz="0" w:space="0" w:color="auto"/>
                          </w:divBdr>
                          <w:divsChild>
                            <w:div w:id="1709064879">
                              <w:marLeft w:val="0"/>
                              <w:marRight w:val="0"/>
                              <w:marTop w:val="0"/>
                              <w:marBottom w:val="0"/>
                              <w:divBdr>
                                <w:top w:val="none" w:sz="0" w:space="0" w:color="auto"/>
                                <w:left w:val="none" w:sz="0" w:space="0" w:color="auto"/>
                                <w:bottom w:val="none" w:sz="0" w:space="0" w:color="auto"/>
                                <w:right w:val="none" w:sz="0" w:space="0" w:color="auto"/>
                              </w:divBdr>
                              <w:divsChild>
                                <w:div w:id="2048604884">
                                  <w:marLeft w:val="7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3711649">
      <w:bodyDiv w:val="1"/>
      <w:marLeft w:val="0"/>
      <w:marRight w:val="0"/>
      <w:marTop w:val="0"/>
      <w:marBottom w:val="0"/>
      <w:divBdr>
        <w:top w:val="none" w:sz="0" w:space="0" w:color="auto"/>
        <w:left w:val="none" w:sz="0" w:space="0" w:color="auto"/>
        <w:bottom w:val="none" w:sz="0" w:space="0" w:color="auto"/>
        <w:right w:val="none" w:sz="0" w:space="0" w:color="auto"/>
      </w:divBdr>
    </w:div>
    <w:div w:id="1725788489">
      <w:bodyDiv w:val="1"/>
      <w:marLeft w:val="0"/>
      <w:marRight w:val="0"/>
      <w:marTop w:val="0"/>
      <w:marBottom w:val="0"/>
      <w:divBdr>
        <w:top w:val="none" w:sz="0" w:space="0" w:color="auto"/>
        <w:left w:val="none" w:sz="0" w:space="0" w:color="auto"/>
        <w:bottom w:val="none" w:sz="0" w:space="0" w:color="auto"/>
        <w:right w:val="none" w:sz="0" w:space="0" w:color="auto"/>
      </w:divBdr>
      <w:divsChild>
        <w:div w:id="584924837">
          <w:marLeft w:val="0"/>
          <w:marRight w:val="0"/>
          <w:marTop w:val="0"/>
          <w:marBottom w:val="0"/>
          <w:divBdr>
            <w:top w:val="none" w:sz="0" w:space="0" w:color="auto"/>
            <w:left w:val="none" w:sz="0" w:space="0" w:color="auto"/>
            <w:bottom w:val="none" w:sz="0" w:space="0" w:color="auto"/>
            <w:right w:val="none" w:sz="0" w:space="0" w:color="auto"/>
          </w:divBdr>
          <w:divsChild>
            <w:div w:id="109588708">
              <w:marLeft w:val="0"/>
              <w:marRight w:val="0"/>
              <w:marTop w:val="0"/>
              <w:marBottom w:val="0"/>
              <w:divBdr>
                <w:top w:val="single" w:sz="6" w:space="0" w:color="AAAAAA"/>
                <w:left w:val="single" w:sz="6" w:space="0" w:color="AAAAAA"/>
                <w:bottom w:val="single" w:sz="6" w:space="0" w:color="AAAAAA"/>
                <w:right w:val="single" w:sz="6" w:space="0" w:color="AAAAAA"/>
              </w:divBdr>
              <w:divsChild>
                <w:div w:id="1599945952">
                  <w:marLeft w:val="0"/>
                  <w:marRight w:val="0"/>
                  <w:marTop w:val="0"/>
                  <w:marBottom w:val="0"/>
                  <w:divBdr>
                    <w:top w:val="none" w:sz="0" w:space="0" w:color="auto"/>
                    <w:left w:val="none" w:sz="0" w:space="0" w:color="auto"/>
                    <w:bottom w:val="none" w:sz="0" w:space="0" w:color="auto"/>
                    <w:right w:val="none" w:sz="0" w:space="0" w:color="auto"/>
                  </w:divBdr>
                  <w:divsChild>
                    <w:div w:id="2111192498">
                      <w:marLeft w:val="0"/>
                      <w:marRight w:val="0"/>
                      <w:marTop w:val="0"/>
                      <w:marBottom w:val="0"/>
                      <w:divBdr>
                        <w:top w:val="none" w:sz="0" w:space="0" w:color="auto"/>
                        <w:left w:val="none" w:sz="0" w:space="0" w:color="auto"/>
                        <w:bottom w:val="none" w:sz="0" w:space="0" w:color="auto"/>
                        <w:right w:val="single" w:sz="6" w:space="8" w:color="AAAAAA"/>
                      </w:divBdr>
                      <w:divsChild>
                        <w:div w:id="1637368666">
                          <w:marLeft w:val="0"/>
                          <w:marRight w:val="0"/>
                          <w:marTop w:val="0"/>
                          <w:marBottom w:val="0"/>
                          <w:divBdr>
                            <w:top w:val="none" w:sz="0" w:space="0" w:color="auto"/>
                            <w:left w:val="none" w:sz="0" w:space="0" w:color="auto"/>
                            <w:bottom w:val="none" w:sz="0" w:space="0" w:color="auto"/>
                            <w:right w:val="none" w:sz="0" w:space="0" w:color="auto"/>
                          </w:divBdr>
                          <w:divsChild>
                            <w:div w:id="2101366101">
                              <w:marLeft w:val="0"/>
                              <w:marRight w:val="0"/>
                              <w:marTop w:val="150"/>
                              <w:marBottom w:val="0"/>
                              <w:divBdr>
                                <w:top w:val="none" w:sz="0" w:space="0" w:color="auto"/>
                                <w:left w:val="none" w:sz="0" w:space="0" w:color="auto"/>
                                <w:bottom w:val="none" w:sz="0" w:space="0" w:color="auto"/>
                                <w:right w:val="none" w:sz="0" w:space="0" w:color="auto"/>
                              </w:divBdr>
                              <w:divsChild>
                                <w:div w:id="1136874809">
                                  <w:marLeft w:val="75"/>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39597973">
      <w:bodyDiv w:val="1"/>
      <w:marLeft w:val="0"/>
      <w:marRight w:val="0"/>
      <w:marTop w:val="0"/>
      <w:marBottom w:val="0"/>
      <w:divBdr>
        <w:top w:val="none" w:sz="0" w:space="0" w:color="auto"/>
        <w:left w:val="none" w:sz="0" w:space="0" w:color="auto"/>
        <w:bottom w:val="none" w:sz="0" w:space="0" w:color="auto"/>
        <w:right w:val="none" w:sz="0" w:space="0" w:color="auto"/>
      </w:divBdr>
      <w:divsChild>
        <w:div w:id="1199315345">
          <w:marLeft w:val="0"/>
          <w:marRight w:val="0"/>
          <w:marTop w:val="0"/>
          <w:marBottom w:val="0"/>
          <w:divBdr>
            <w:top w:val="none" w:sz="0" w:space="0" w:color="auto"/>
            <w:left w:val="none" w:sz="0" w:space="0" w:color="auto"/>
            <w:bottom w:val="none" w:sz="0" w:space="0" w:color="auto"/>
            <w:right w:val="none" w:sz="0" w:space="0" w:color="auto"/>
          </w:divBdr>
        </w:div>
      </w:divsChild>
    </w:div>
    <w:div w:id="1880892681">
      <w:bodyDiv w:val="1"/>
      <w:marLeft w:val="0"/>
      <w:marRight w:val="0"/>
      <w:marTop w:val="0"/>
      <w:marBottom w:val="0"/>
      <w:divBdr>
        <w:top w:val="none" w:sz="0" w:space="0" w:color="auto"/>
        <w:left w:val="none" w:sz="0" w:space="0" w:color="auto"/>
        <w:bottom w:val="none" w:sz="0" w:space="0" w:color="auto"/>
        <w:right w:val="none" w:sz="0" w:space="0" w:color="auto"/>
      </w:divBdr>
    </w:div>
    <w:div w:id="1987083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www.gallilex.cfwb.be/fr/leg_res_01.php?ncda=5108&amp;referant=l02&amp;bck_ncda=5108&amp;bck_referant=l00" TargetMode="External"/><Relationship Id="rId21" Type="http://schemas.openxmlformats.org/officeDocument/2006/relationships/hyperlink" Target="http://www.gallilex.cfwb.be/fr/leg_res_01.php?ncda=22229&amp;referant=l02&amp;bck_ncda=22229&amp;bck_referant=l00" TargetMode="External"/><Relationship Id="rId42" Type="http://schemas.openxmlformats.org/officeDocument/2006/relationships/hyperlink" Target="http://www.gallilex.cfwb.be/fr/leg_res_01.php?ncda=37785&amp;referant=l02&amp;bck_ncda=37785&amp;bck_referant=l00" TargetMode="External"/><Relationship Id="rId47" Type="http://schemas.openxmlformats.org/officeDocument/2006/relationships/hyperlink" Target="http://www.gallilex.cfwb.be/fr/leg_res_01.php?ncda=19069&amp;referant=l02&amp;bck_ncda=19069&amp;bck_referant=l00" TargetMode="External"/><Relationship Id="rId63" Type="http://schemas.openxmlformats.org/officeDocument/2006/relationships/hyperlink" Target="http://www.enseignement.be/index.php?page=26823&amp;do_id=5185" TargetMode="External"/><Relationship Id="rId68" Type="http://schemas.openxmlformats.org/officeDocument/2006/relationships/hyperlink" Target="http://www.gallilex.cfwb.be/fr/leg_res_01.php?ncda=21557&amp;referant=l01" TargetMode="External"/><Relationship Id="rId84" Type="http://schemas.openxmlformats.org/officeDocument/2006/relationships/hyperlink" Target="http://www.enseignement.be/index.php?page=26823&amp;do_id=6427" TargetMode="External"/><Relationship Id="rId89" Type="http://schemas.openxmlformats.org/officeDocument/2006/relationships/hyperlink" Target="http://www.gallilex.cfwb.be/fr/leg_res_01.php?ncda=34876&amp;referant=l02&amp;bck_ncda=34876&amp;bck_referant=l00" TargetMode="External"/><Relationship Id="rId112" Type="http://schemas.openxmlformats.org/officeDocument/2006/relationships/hyperlink" Target="http://www.gallilex.cfwb.be/fr/leg_res_01.php?ncda=22229&amp;referant=l02&amp;bck_ncda=22229&amp;bck_referant=l00" TargetMode="External"/><Relationship Id="rId133" Type="http://schemas.openxmlformats.org/officeDocument/2006/relationships/hyperlink" Target="http://www.gallilex.cfwb.be/fr/leg_res_01.php?ncda=30959&amp;referant=l02&amp;bck_ncda=30959&amp;bck_referant=l00" TargetMode="External"/><Relationship Id="rId138" Type="http://schemas.openxmlformats.org/officeDocument/2006/relationships/hyperlink" Target="http://www.gallilex.cfwb.be/fr/leg_res_01.php?ncda=21557&amp;referant=l02&amp;bck_ncda=21557&amp;bck_referant=l00" TargetMode="External"/><Relationship Id="rId154" Type="http://schemas.openxmlformats.org/officeDocument/2006/relationships/hyperlink" Target="http://www.enseignement.be/index.php?page=26823&amp;do_id=5912" TargetMode="External"/><Relationship Id="rId159" Type="http://schemas.openxmlformats.org/officeDocument/2006/relationships/hyperlink" Target="http://www.enseignement.be/index.php?page=26823&amp;do_id=5355" TargetMode="External"/><Relationship Id="rId175" Type="http://schemas.openxmlformats.org/officeDocument/2006/relationships/hyperlink" Target="mailto:lesasbruxellesmidi@hotmail.com" TargetMode="External"/><Relationship Id="rId170" Type="http://schemas.openxmlformats.org/officeDocument/2006/relationships/hyperlink" Target="mailto:saj.neufchateau@cfwb.be" TargetMode="External"/><Relationship Id="rId191" Type="http://schemas.openxmlformats.org/officeDocument/2006/relationships/footer" Target="footer5.xml"/><Relationship Id="rId16" Type="http://schemas.openxmlformats.org/officeDocument/2006/relationships/hyperlink" Target="mailto:ec00****@adm.cfwb.be" TargetMode="External"/><Relationship Id="rId107" Type="http://schemas.openxmlformats.org/officeDocument/2006/relationships/hyperlink" Target="http://www.gallilex.cfwb.be/fr/leg_res_00.php?ncda=37753&amp;referant=l00" TargetMode="External"/><Relationship Id="rId11" Type="http://schemas.openxmlformats.org/officeDocument/2006/relationships/footer" Target="footer1.xml"/><Relationship Id="rId32" Type="http://schemas.openxmlformats.org/officeDocument/2006/relationships/hyperlink" Target="http://www.gallilex.cfwb.be/fr/leg_res_01.php?ncda=9547&amp;referant=l02&amp;bck_ncda=9547&amp;bck_referant=l00" TargetMode="External"/><Relationship Id="rId37" Type="http://schemas.openxmlformats.org/officeDocument/2006/relationships/hyperlink" Target="http://www.gallilex.cfwb.be/fr/leg_res_01.php?ncda=43608&amp;referant=l02&amp;bck_ncda=43608&amp;bck_referant=l00" TargetMode="External"/><Relationship Id="rId53" Type="http://schemas.openxmlformats.org/officeDocument/2006/relationships/hyperlink" Target="mailto:obsi@cfwb.be" TargetMode="External"/><Relationship Id="rId58" Type="http://schemas.openxmlformats.org/officeDocument/2006/relationships/hyperlink" Target="http://www.gallilex.cfwb.be/fr/leg_res_01.php?ncda=39909&amp;referant=l02&amp;bck_ncda=39909&amp;bck_referant=l00" TargetMode="External"/><Relationship Id="rId74" Type="http://schemas.openxmlformats.org/officeDocument/2006/relationships/hyperlink" Target="http://www.am.cfwb.be" TargetMode="External"/><Relationship Id="rId79" Type="http://schemas.openxmlformats.org/officeDocument/2006/relationships/hyperlink" Target="http://www.gallilex.cfwb.be/fr/leg_res_01.php?ncda=39909&amp;referant=l02&amp;bck_ncda=39909&amp;bck_referant=l00" TargetMode="External"/><Relationship Id="rId102" Type="http://schemas.openxmlformats.org/officeDocument/2006/relationships/hyperlink" Target="http://www.enseignement.be/index.php?page=26823&amp;do_id=3997" TargetMode="External"/><Relationship Id="rId123" Type="http://schemas.openxmlformats.org/officeDocument/2006/relationships/hyperlink" Target="http://www.gallilex.cfwb.be/fr/leg_res_01.php?ncda=22229&amp;referant=l02&amp;bck_ncda=22229&amp;bck_referant=l00" TargetMode="External"/><Relationship Id="rId128" Type="http://schemas.openxmlformats.org/officeDocument/2006/relationships/hyperlink" Target="http://www.gallilex.cfwb.be/fr/leg_res_01.php?ncda=21557&amp;referant=l02&amp;bck_ncda=21557&amp;bck_referant=l00" TargetMode="External"/><Relationship Id="rId144" Type="http://schemas.openxmlformats.org/officeDocument/2006/relationships/hyperlink" Target="http://www.gallilex.cfwb.be/fr/leg_res_01.php?ncda=16356&amp;referant=l02&amp;bck_ncda=16356&amp;bck_referant=l00" TargetMode="External"/><Relationship Id="rId149" Type="http://schemas.openxmlformats.org/officeDocument/2006/relationships/image" Target="media/image6.png"/><Relationship Id="rId5" Type="http://schemas.openxmlformats.org/officeDocument/2006/relationships/webSettings" Target="webSettings.xml"/><Relationship Id="rId90" Type="http://schemas.openxmlformats.org/officeDocument/2006/relationships/hyperlink" Target="http://www.gallilex.cfwb.be/fr/leg_res_00.php?ncda=34300&amp;referant=l00" TargetMode="External"/><Relationship Id="rId95" Type="http://schemas.openxmlformats.org/officeDocument/2006/relationships/hyperlink" Target="http://www.gallilex.cfwb.be/fr/leg_res_01.php?ncda=10436&amp;referant=l02&amp;bck_ncda=10436&amp;bck_referant=l00" TargetMode="External"/><Relationship Id="rId160" Type="http://schemas.openxmlformats.org/officeDocument/2006/relationships/hyperlink" Target="http://www.enseignement.be/index.php?page=26823&amp;do_id=3997" TargetMode="External"/><Relationship Id="rId165" Type="http://schemas.openxmlformats.org/officeDocument/2006/relationships/hyperlink" Target="mailto:saj.huy@cfwb.be" TargetMode="External"/><Relationship Id="rId181" Type="http://schemas.openxmlformats.org/officeDocument/2006/relationships/hyperlink" Target="mailto:carrefour.accueil@wol.be" TargetMode="External"/><Relationship Id="rId186" Type="http://schemas.openxmlformats.org/officeDocument/2006/relationships/hyperlink" Target="mailto:frederic.duprez@compas-format.eu" TargetMode="External"/><Relationship Id="rId22" Type="http://schemas.openxmlformats.org/officeDocument/2006/relationships/hyperlink" Target="http://www.gallilex.cfwb.be/fr/leg_res_01.php?ncda=9547&amp;referant=l02&amp;bck_ncda=9547&amp;bck_referant=l00" TargetMode="External"/><Relationship Id="rId27" Type="http://schemas.openxmlformats.org/officeDocument/2006/relationships/hyperlink" Target="http://www.enseignement.be" TargetMode="External"/><Relationship Id="rId43" Type="http://schemas.openxmlformats.org/officeDocument/2006/relationships/hyperlink" Target="http://www.gallilex.cfwb.be/fr/leg_res_01.php?ncda=21557&amp;referant=l02&amp;bck_ncda=21557&amp;bck_referant=l00" TargetMode="External"/><Relationship Id="rId48" Type="http://schemas.openxmlformats.org/officeDocument/2006/relationships/hyperlink" Target="http://www.gallilex.cfwb.be/fr/leg_res_01.php?ncda=43645&amp;referant=l02&amp;bck_ncda=43645&amp;bck_referant=l00" TargetMode="External"/><Relationship Id="rId64" Type="http://schemas.openxmlformats.org/officeDocument/2006/relationships/hyperlink" Target="http://www.am.cfwb.be" TargetMode="External"/><Relationship Id="rId69" Type="http://schemas.openxmlformats.org/officeDocument/2006/relationships/hyperlink" Target="http://www.gallilex.cfwb.be/fr/leg_res_01.php?ncda=32771&amp;referant=l01" TargetMode="External"/><Relationship Id="rId113" Type="http://schemas.openxmlformats.org/officeDocument/2006/relationships/hyperlink" Target="http://www.gallilex.cfwb.be/fr/leg_res_01.php?ncda=10330&amp;referant=l02&amp;bck_ncda=10330&amp;bck_referant=l00" TargetMode="External"/><Relationship Id="rId118" Type="http://schemas.openxmlformats.org/officeDocument/2006/relationships/hyperlink" Target="http://www.gallilex.cfwb.be/fr/leg_res_01.php?ncda=22229&amp;referant=l02&amp;bck_ncda=22229&amp;bck_referant=l00" TargetMode="External"/><Relationship Id="rId134" Type="http://schemas.openxmlformats.org/officeDocument/2006/relationships/hyperlink" Target="http://www.gallilex.cfwb.be/fr/leg_res_01.php?ncda=31317&amp;referant=l02&amp;bck_ncda=31317&amp;bck_referant=l00" TargetMode="External"/><Relationship Id="rId139" Type="http://schemas.openxmlformats.org/officeDocument/2006/relationships/hyperlink" Target="http://www.gallilex.cfwb.be/fr/leg_res_01.php?ncda=22229&amp;referant=l02&amp;bck_ncda=22229&amp;bck_referant=l00" TargetMode="External"/><Relationship Id="rId80" Type="http://schemas.openxmlformats.org/officeDocument/2006/relationships/hyperlink" Target="mailto:equipemobile@cfwb.be" TargetMode="External"/><Relationship Id="rId85" Type="http://schemas.openxmlformats.org/officeDocument/2006/relationships/hyperlink" Target="http://www.enseignement.be/index.php?page=26823&amp;do_id=6427" TargetMode="External"/><Relationship Id="rId150" Type="http://schemas.openxmlformats.org/officeDocument/2006/relationships/hyperlink" Target="http://www.am.cfwb.be" TargetMode="External"/><Relationship Id="rId155" Type="http://schemas.openxmlformats.org/officeDocument/2006/relationships/hyperlink" Target="http://www.enseignement.be/index.php?page=26823&amp;do_id=5758" TargetMode="External"/><Relationship Id="rId171" Type="http://schemas.openxmlformats.org/officeDocument/2006/relationships/hyperlink" Target="mailto:saj.nivelles@cfwb.be" TargetMode="External"/><Relationship Id="rId176" Type="http://schemas.openxmlformats.org/officeDocument/2006/relationships/hyperlink" Target="mailto:seuil.asbl@gmail.com" TargetMode="External"/><Relationship Id="rId192" Type="http://schemas.openxmlformats.org/officeDocument/2006/relationships/footer" Target="footer6.xml"/><Relationship Id="rId12" Type="http://schemas.openxmlformats.org/officeDocument/2006/relationships/footer" Target="footer2.xml"/><Relationship Id="rId17" Type="http://schemas.openxmlformats.org/officeDocument/2006/relationships/hyperlink" Target="mailto:courrier@m&#233;diateurcf.be" TargetMode="External"/><Relationship Id="rId33" Type="http://schemas.openxmlformats.org/officeDocument/2006/relationships/hyperlink" Target="http://www.gallilex.cfwb.be/fr/leg_res_01.php?ncda=18064&amp;referant=l02&amp;bck_ncda=18064&amp;bck_referant=l00" TargetMode="External"/><Relationship Id="rId38" Type="http://schemas.openxmlformats.org/officeDocument/2006/relationships/hyperlink" Target="mailto:edep@cfwb.be" TargetMode="External"/><Relationship Id="rId59" Type="http://schemas.openxmlformats.org/officeDocument/2006/relationships/hyperlink" Target="http://www.gallilex.cfwb.be/fr/leg_res_01.php?ncda=39910&amp;referant=l02&amp;bck_ncda=39910&amp;bck_referant=l00" TargetMode="External"/><Relationship Id="rId103" Type="http://schemas.openxmlformats.org/officeDocument/2006/relationships/hyperlink" Target="mailto:secretariat.fondamental@cfwb.be" TargetMode="External"/><Relationship Id="rId108" Type="http://schemas.openxmlformats.org/officeDocument/2006/relationships/hyperlink" Target="http://www.gallilex.cfwb.be/fr/leg_res_01.php?ncda=22229&amp;referant=l02&amp;bck_ncda=22229&amp;bck_referant=l00" TargetMode="External"/><Relationship Id="rId124" Type="http://schemas.openxmlformats.org/officeDocument/2006/relationships/hyperlink" Target="http://www.gallilex.cfwb.be/fr/leg_res_01.php?ncda=32365&amp;referant=l02&amp;bck_ncda=32365&amp;bck_referant=l00" TargetMode="External"/><Relationship Id="rId129" Type="http://schemas.openxmlformats.org/officeDocument/2006/relationships/hyperlink" Target="http://www.gallilex.cfwb.be/fr/leg_res_01.php?ncda=22229&amp;referant=l02&amp;bck_ncda=22229&amp;bck_referant=l00" TargetMode="External"/><Relationship Id="rId54" Type="http://schemas.openxmlformats.org/officeDocument/2006/relationships/hyperlink" Target="mailto:claudia.lefrere@cfwb.be" TargetMode="External"/><Relationship Id="rId70" Type="http://schemas.openxmlformats.org/officeDocument/2006/relationships/hyperlink" Target="http://www.gallilex.cfwb.be/document/pdf/21557_010.pdf" TargetMode="External"/><Relationship Id="rId75" Type="http://schemas.openxmlformats.org/officeDocument/2006/relationships/hyperlink" Target="http://www.enseignement.be/index.php?page=26823&amp;do_id=3997" TargetMode="External"/><Relationship Id="rId91" Type="http://schemas.openxmlformats.org/officeDocument/2006/relationships/hyperlink" Target="mailto:nathalie.dujardin@cfwb.be" TargetMode="External"/><Relationship Id="rId96" Type="http://schemas.openxmlformats.org/officeDocument/2006/relationships/hyperlink" Target="http://www.gallilex.cfwb.be/fr/leg_res_01.php?ncda=5108&amp;referant=l02&amp;bck_ncda=5108&amp;bck_referant=l00" TargetMode="External"/><Relationship Id="rId140" Type="http://schemas.openxmlformats.org/officeDocument/2006/relationships/hyperlink" Target="http://www.enseignement.be/index.php?page=26823&amp;do_id=855http://www.enseignement.be/index.php?page=26823&amp;do_id=855" TargetMode="External"/><Relationship Id="rId145" Type="http://schemas.openxmlformats.org/officeDocument/2006/relationships/hyperlink" Target="http://www.enseignement.be/index.php?page=26823&amp;do_id=430" TargetMode="External"/><Relationship Id="rId161" Type="http://schemas.openxmlformats.org/officeDocument/2006/relationships/hyperlink" Target="mailto:saj.arlon@cfwb.be" TargetMode="External"/><Relationship Id="rId166" Type="http://schemas.openxmlformats.org/officeDocument/2006/relationships/hyperlink" Target="mailto:saj.liege@cfwb.be" TargetMode="External"/><Relationship Id="rId182" Type="http://schemas.openxmlformats.org/officeDocument/2006/relationships/hyperlink" Target="mailto:saswavre@hotmail.com" TargetMode="External"/><Relationship Id="rId187" Type="http://schemas.openxmlformats.org/officeDocument/2006/relationships/hyperlink" Target="mailto:samuel.palladino@compas-format.eu"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gallilex.cfwb.be/fr/leg_res_01.php?ncda=21557&amp;referant=l02&amp;bck_ncda=21557&amp;bck_referant=l00" TargetMode="External"/><Relationship Id="rId28" Type="http://schemas.openxmlformats.org/officeDocument/2006/relationships/hyperlink" Target="http://www.gallilex.cfwb.be/fr/leg_res_01.php?ncda=19069&amp;referant=l02&amp;bck_ncda=19069&amp;bck_referant=l00" TargetMode="External"/><Relationship Id="rId49" Type="http://schemas.openxmlformats.org/officeDocument/2006/relationships/hyperlink" Target="http://www.gallilex.cfwb.be/fr/leg_res_01.php?ncda=21557&amp;referant=l02&amp;bck_ncda=21557&amp;bck_referant=l00" TargetMode="External"/><Relationship Id="rId114" Type="http://schemas.openxmlformats.org/officeDocument/2006/relationships/hyperlink" Target="http://www.gallilex.cfwb.be/fr/leg_res_01.php?ncda=43794&amp;referant=l02&amp;bck_ncda=43794&amp;bck_referant=l00" TargetMode="External"/><Relationship Id="rId119" Type="http://schemas.openxmlformats.org/officeDocument/2006/relationships/hyperlink" Target="http://www.gallilex.cfwb.be/fr/leg_res_01.php?ncda=21557&amp;referant=l02&amp;bck_ncda=21557&amp;bck_referant=l00" TargetMode="External"/><Relationship Id="rId44" Type="http://schemas.openxmlformats.org/officeDocument/2006/relationships/hyperlink" Target="http://www.enseignement.be/index.php?page=26823&amp;do_id=5204" TargetMode="External"/><Relationship Id="rId60" Type="http://schemas.openxmlformats.org/officeDocument/2006/relationships/hyperlink" Target="http://www.gallilex.cfwb.be/fr/leg_res_01.php?ncda=31007&amp;referant=l01" TargetMode="External"/><Relationship Id="rId65" Type="http://schemas.openxmlformats.org/officeDocument/2006/relationships/hyperlink" Target="http://www.enseignement.be/index.php?page=26823&amp;do_id=3997" TargetMode="External"/><Relationship Id="rId81" Type="http://schemas.openxmlformats.org/officeDocument/2006/relationships/hyperlink" Target="http://www.gallilex.cfwb.be/fr/leg_res_01.php?ncda=28737&amp;referant=l02&amp;bck_ncda=28737&amp;bck_referant=l00" TargetMode="External"/><Relationship Id="rId86" Type="http://schemas.openxmlformats.org/officeDocument/2006/relationships/hyperlink" Target="http://www.enseignement.be/index.php?page=26823&amp;do_id=6427" TargetMode="External"/><Relationship Id="rId130" Type="http://schemas.openxmlformats.org/officeDocument/2006/relationships/hyperlink" Target="http://www.gallilex.cfwb.be/fr/leg_res_01.php?ncda=9547&amp;referant=l02&amp;bck_ncda=9547&amp;bck_referant=l00" TargetMode="External"/><Relationship Id="rId135" Type="http://schemas.openxmlformats.org/officeDocument/2006/relationships/hyperlink" Target="http://www.gallilex.cfwb.be/fr/leg_res_01.php?ncda=5108&amp;referant=l02&amp;bck_ncda=5108&amp;bck_referant=l00" TargetMode="External"/><Relationship Id="rId151" Type="http://schemas.openxmlformats.org/officeDocument/2006/relationships/image" Target="media/image7.png"/><Relationship Id="rId156" Type="http://schemas.openxmlformats.org/officeDocument/2006/relationships/hyperlink" Target="http://www.infodidac.be/siel" TargetMode="External"/><Relationship Id="rId177" Type="http://schemas.openxmlformats.org/officeDocument/2006/relationships/hyperlink" Target="http://www.seuil.be" TargetMode="External"/><Relationship Id="rId172" Type="http://schemas.openxmlformats.org/officeDocument/2006/relationships/hyperlink" Target="mailto:saj.tournai@cfwb.be" TargetMode="External"/><Relationship Id="rId193" Type="http://schemas.openxmlformats.org/officeDocument/2006/relationships/fontTable" Target="fontTable.xml"/><Relationship Id="rId13" Type="http://schemas.openxmlformats.org/officeDocument/2006/relationships/footer" Target="footer3.xml"/><Relationship Id="rId18" Type="http://schemas.openxmlformats.org/officeDocument/2006/relationships/hyperlink" Target="mailto:prenom.nom@cfwb.be" TargetMode="External"/><Relationship Id="rId39" Type="http://schemas.openxmlformats.org/officeDocument/2006/relationships/hyperlink" Target="http://www.gallilex.cfwb.be/fr/leg_res_01.php?ncda=9676&amp;referant=l01" TargetMode="External"/><Relationship Id="rId109" Type="http://schemas.openxmlformats.org/officeDocument/2006/relationships/hyperlink" Target="http://www.gallilex.cfwb.be/fr/leg_res_01.php?ncda=21557&amp;referant=l02&amp;bck_ncda=21557&amp;bck_referant=l00" TargetMode="External"/><Relationship Id="rId34" Type="http://schemas.openxmlformats.org/officeDocument/2006/relationships/hyperlink" Target="http://www.gallilex.cfwb.be/fr/leg_res_01.php?ncda=10886&amp;referant=l01" TargetMode="External"/><Relationship Id="rId50" Type="http://schemas.openxmlformats.org/officeDocument/2006/relationships/hyperlink" Target="http://www.enseignement.be" TargetMode="External"/><Relationship Id="rId55" Type="http://schemas.openxmlformats.org/officeDocument/2006/relationships/hyperlink" Target="http://www.gallilex.cfwb.be/fr/leg_res_01.php?ncda=9676&amp;referant=l02&amp;bck_ncda=9676&amp;bck_referant=l00" TargetMode="External"/><Relationship Id="rId76" Type="http://schemas.openxmlformats.org/officeDocument/2006/relationships/hyperlink" Target="http://www.am.cfwb.be" TargetMode="External"/><Relationship Id="rId97" Type="http://schemas.openxmlformats.org/officeDocument/2006/relationships/hyperlink" Target="http://www.enseignement.be/index.php?page=26823&amp;do_id=6229" TargetMode="External"/><Relationship Id="rId104" Type="http://schemas.openxmlformats.org/officeDocument/2006/relationships/hyperlink" Target="http://www.enseignement.be/index.php?page=26823&amp;do_id=1293" TargetMode="External"/><Relationship Id="rId120" Type="http://schemas.openxmlformats.org/officeDocument/2006/relationships/hyperlink" Target="http://www.gallilex.cfwb.be/fr/leg_res_01.php?ncda=41979&amp;referant=l02&amp;bck_ncda=41979&amp;bck_referant=l00" TargetMode="External"/><Relationship Id="rId125" Type="http://schemas.openxmlformats.org/officeDocument/2006/relationships/hyperlink" Target="http://www.gallilex.cfwb.be/fr/leg_res_01.php?ncda=22229&amp;referant=l02&amp;bck_ncda=22229&amp;bck_referant=l00" TargetMode="External"/><Relationship Id="rId141" Type="http://schemas.openxmlformats.org/officeDocument/2006/relationships/hyperlink" Target="http://www.gallilex.cfwb.be/fr/leg_res_01.php?ncda=37785&amp;referant=l02&amp;bck_ncda=37785&amp;bck_referant=l00" TargetMode="External"/><Relationship Id="rId146" Type="http://schemas.openxmlformats.org/officeDocument/2006/relationships/hyperlink" Target="http://www.gallilex.cfwb.be/fr/leg_res_01.php?ncda=34365&amp;referant=l02&amp;bck_ncda=34365&amp;bck_referant=l00" TargetMode="External"/><Relationship Id="rId167" Type="http://schemas.openxmlformats.org/officeDocument/2006/relationships/hyperlink" Target="mailto:saj.marche@cfwb.be" TargetMode="External"/><Relationship Id="rId188" Type="http://schemas.openxmlformats.org/officeDocument/2006/relationships/hyperlink" Target="mailto:frederic.angelucci@compas-format.eu" TargetMode="External"/><Relationship Id="rId7" Type="http://schemas.openxmlformats.org/officeDocument/2006/relationships/endnotes" Target="endnotes.xml"/><Relationship Id="rId71" Type="http://schemas.openxmlformats.org/officeDocument/2006/relationships/hyperlink" Target="http://www.gallilex.cfwb.be/fr/leg_res_01.php?ncda=21557&amp;referant=l02&amp;bck_ncda=21557&amp;bck_referant=l00" TargetMode="External"/><Relationship Id="rId92" Type="http://schemas.openxmlformats.org/officeDocument/2006/relationships/hyperlink" Target="http://www.enseignement.be/index.php?page=26823&amp;do_id=5493" TargetMode="External"/><Relationship Id="rId162" Type="http://schemas.openxmlformats.org/officeDocument/2006/relationships/hyperlink" Target="mailto:saj.bruxelles@cfwb.be" TargetMode="External"/><Relationship Id="rId183" Type="http://schemas.openxmlformats.org/officeDocument/2006/relationships/hyperlink" Target="mailto:emergenceaccueil@gmail.be" TargetMode="External"/><Relationship Id="rId2" Type="http://schemas.openxmlformats.org/officeDocument/2006/relationships/numbering" Target="numbering.xml"/><Relationship Id="rId29" Type="http://schemas.openxmlformats.org/officeDocument/2006/relationships/hyperlink" Target="http://www.gallilex.cfwb.be/fr/leg_res_01.php?ncda=21557&amp;referant=l02&amp;bck_ncda=21557&amp;bck_referant=l00" TargetMode="External"/><Relationship Id="rId24" Type="http://schemas.openxmlformats.org/officeDocument/2006/relationships/hyperlink" Target="http://www.gallilex.cfwb.be/fr/leg_res_01.php?ncda=10436&amp;referant=l02&amp;bck_ncda=10436&amp;bck_referant=l00" TargetMode="External"/><Relationship Id="rId40" Type="http://schemas.openxmlformats.org/officeDocument/2006/relationships/hyperlink" Target="http://www.gallilex.cfwb.be/fr/leg_res_01.php?ncda=21557&amp;referant=l02&amp;bck_ncda=21557&amp;bck_referant=l00" TargetMode="External"/><Relationship Id="rId45" Type="http://schemas.openxmlformats.org/officeDocument/2006/relationships/hyperlink" Target="http://www.placesecolesmaternellesetprimaires.cfwb.be" TargetMode="External"/><Relationship Id="rId66" Type="http://schemas.openxmlformats.org/officeDocument/2006/relationships/hyperlink" Target="http://www.gallilex.cfwb.be/fr/leg_res_00.php?ncda=5108&amp;referant=l00" TargetMode="External"/><Relationship Id="rId87" Type="http://schemas.openxmlformats.org/officeDocument/2006/relationships/hyperlink" Target="http://www.gallilex.cfwb.be/fr/leg_res_01.php?ncda=28737&amp;referant=l02&amp;bck_ncda=28737&amp;bck_referant=l00" TargetMode="External"/><Relationship Id="rId110" Type="http://schemas.openxmlformats.org/officeDocument/2006/relationships/hyperlink" Target="http://www.gallilex.cfwb.be/fr/leg_res_01.php?ncda=19291&amp;referant=l02&amp;bck_ncda=19291&amp;bck_referant=l00" TargetMode="External"/><Relationship Id="rId115" Type="http://schemas.openxmlformats.org/officeDocument/2006/relationships/hyperlink" Target="http://www.gallilex.cfwb.be/fr/leg_res_01.php?ncda=22229&amp;referant=l02&amp;bck_ncda=22229&amp;bck_referant=l00" TargetMode="External"/><Relationship Id="rId131" Type="http://schemas.openxmlformats.org/officeDocument/2006/relationships/hyperlink" Target="http://www.gallilex.cfwb.be/fr/leg_res_01.php?ncda=21557&amp;referant=l02&amp;bck_ncda=21557&amp;bck_referant=l00" TargetMode="External"/><Relationship Id="rId136" Type="http://schemas.openxmlformats.org/officeDocument/2006/relationships/hyperlink" Target="http://www.gallilex.cfwb.be/fr/leg_res_01.php?ncda=9676&amp;referant=l02&amp;bck_ncda=9676&amp;bck_referant=l00" TargetMode="External"/><Relationship Id="rId157" Type="http://schemas.openxmlformats.org/officeDocument/2006/relationships/hyperlink" Target="http://www.winpage.be/Pages/FAQSiel.html" TargetMode="External"/><Relationship Id="rId178" Type="http://schemas.openxmlformats.org/officeDocument/2006/relationships/hyperlink" Target="mailto:sas-ho@live.be" TargetMode="External"/><Relationship Id="rId61" Type="http://schemas.openxmlformats.org/officeDocument/2006/relationships/hyperlink" Target="http://www.gallilex.cfwb.be/fr/leg_res_01.php?ncda=31929&amp;referant=l01" TargetMode="External"/><Relationship Id="rId82" Type="http://schemas.openxmlformats.org/officeDocument/2006/relationships/hyperlink" Target="http://www.enseignement.be/index.php?page=26823&amp;do_id=6427" TargetMode="External"/><Relationship Id="rId152" Type="http://schemas.openxmlformats.org/officeDocument/2006/relationships/hyperlink" Target="mailto:ec00xxxx@adm.cfwb.be" TargetMode="External"/><Relationship Id="rId173" Type="http://schemas.openxmlformats.org/officeDocument/2006/relationships/hyperlink" Target="mailto:saj.verviers@cfwb.be" TargetMode="External"/><Relationship Id="rId194" Type="http://schemas.openxmlformats.org/officeDocument/2006/relationships/theme" Target="theme/theme1.xml"/><Relationship Id="rId19" Type="http://schemas.openxmlformats.org/officeDocument/2006/relationships/hyperlink" Target="mailto:equipemobile@cfwb.be" TargetMode="External"/><Relationship Id="rId14" Type="http://schemas.openxmlformats.org/officeDocument/2006/relationships/hyperlink" Target="http://enseignement.be/index.php?page=26823&amp;do_id=6458" TargetMode="External"/><Relationship Id="rId30" Type="http://schemas.openxmlformats.org/officeDocument/2006/relationships/hyperlink" Target="http://www.gallilex.cfwb.be/fr/leg_res_01.php?ncda=22229&amp;referant=l02&amp;bck_ncda=22229&amp;bck_referant=l00" TargetMode="External"/><Relationship Id="rId35" Type="http://schemas.openxmlformats.org/officeDocument/2006/relationships/hyperlink" Target="http://www.gallilex.cfwb.be/fr/leg_res_01.php?ncda=28737&amp;referant=l01" TargetMode="External"/><Relationship Id="rId56" Type="http://schemas.openxmlformats.org/officeDocument/2006/relationships/hyperlink" Target="http://www.gallilex.cfwb.be/fr/leg_res_01.php?ncda=21557&amp;referant=l01" TargetMode="External"/><Relationship Id="rId77" Type="http://schemas.openxmlformats.org/officeDocument/2006/relationships/hyperlink" Target="http://www.enseignement.be/index.php?page=26823&amp;do_id=3997" TargetMode="External"/><Relationship Id="rId100" Type="http://schemas.openxmlformats.org/officeDocument/2006/relationships/hyperlink" Target="http://www.gallilex.cfwb.be/fr/leg_res_00.php?ncda=37753&amp;referant=l00" TargetMode="External"/><Relationship Id="rId105" Type="http://schemas.openxmlformats.org/officeDocument/2006/relationships/hyperlink" Target="http://www.gallilex.cfwb.be/fr/leg_res_01.php?ncda=22229&amp;referant=l02&amp;bck_ncda=22229&amp;bck_referant=l00" TargetMode="External"/><Relationship Id="rId126" Type="http://schemas.openxmlformats.org/officeDocument/2006/relationships/hyperlink" Target="http://www.gallilex.cfwb.be/fr/leg_res_01.php?ncda=33928&amp;referant=l02&amp;bck_ncda=33928&amp;bck_referant=l00" TargetMode="External"/><Relationship Id="rId147" Type="http://schemas.openxmlformats.org/officeDocument/2006/relationships/hyperlink" Target="http://www.enseignement.be/index.php?page=26823&amp;do_id=4399" TargetMode="External"/><Relationship Id="rId168" Type="http://schemas.openxmlformats.org/officeDocument/2006/relationships/hyperlink" Target="mailto:saj.mons@cfwb.be" TargetMode="External"/><Relationship Id="rId8" Type="http://schemas.openxmlformats.org/officeDocument/2006/relationships/image" Target="media/image2.jpeg"/><Relationship Id="rId51" Type="http://schemas.openxmlformats.org/officeDocument/2006/relationships/hyperlink" Target="http://www.enseignement.be/index.php?page=26823&amp;do_id=179" TargetMode="External"/><Relationship Id="rId72" Type="http://schemas.openxmlformats.org/officeDocument/2006/relationships/hyperlink" Target="http://www.am.cfwb.be" TargetMode="External"/><Relationship Id="rId93" Type="http://schemas.openxmlformats.org/officeDocument/2006/relationships/hyperlink" Target="http://www.adm.cfwb.be" TargetMode="External"/><Relationship Id="rId98" Type="http://schemas.openxmlformats.org/officeDocument/2006/relationships/hyperlink" Target="http://www.gallilex.cfwb.be/fr/leg_res_01.php?ncda=22229&amp;referant=l02&amp;bck_ncda=22229&amp;bck_referant=l00" TargetMode="External"/><Relationship Id="rId121" Type="http://schemas.openxmlformats.org/officeDocument/2006/relationships/hyperlink" Target="http://www.gallilex.cfwb.be/fr/leg_res_01.php?ncda=4329&amp;referant=l02&amp;bck_ncda=4329&amp;bck_referant=l00" TargetMode="External"/><Relationship Id="rId142" Type="http://schemas.openxmlformats.org/officeDocument/2006/relationships/hyperlink" Target="http://www.gallilex.cfwb.be/fr/leg_res_01.php?ncda=18673&amp;referant=l01" TargetMode="External"/><Relationship Id="rId163" Type="http://schemas.openxmlformats.org/officeDocument/2006/relationships/hyperlink" Target="mailto:saj.charleroi@cfwb.be" TargetMode="External"/><Relationship Id="rId184" Type="http://schemas.openxmlformats.org/officeDocument/2006/relationships/hyperlink" Target="mailto:sasauxsources@live.be" TargetMode="External"/><Relationship Id="rId189"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www.gallilex.cfwb.be/fr/leg_res_01.php?ncda=21557&amp;referant=l02&amp;bck_ncda=21557&amp;bck_referant=l00" TargetMode="External"/><Relationship Id="rId46" Type="http://schemas.openxmlformats.org/officeDocument/2006/relationships/hyperlink" Target="http://www.gallilex.cfwb.be/fr/leg_res_01.php?ncda=9547&amp;referant=l02&amp;bck_ncda=9547&amp;bck_referant=l00" TargetMode="External"/><Relationship Id="rId67" Type="http://schemas.openxmlformats.org/officeDocument/2006/relationships/hyperlink" Target="http://www.gallilex.cfwb.be/fr/leg_res_01.php?ncda=22229&amp;referant=l01" TargetMode="External"/><Relationship Id="rId116" Type="http://schemas.openxmlformats.org/officeDocument/2006/relationships/hyperlink" Target="http://www.gallilex.cfwb.be/fr/leg_res_01.php?ncda=21557&amp;referant=l02&amp;bck_ncda=21557&amp;bck_referant=l00" TargetMode="External"/><Relationship Id="rId137" Type="http://schemas.openxmlformats.org/officeDocument/2006/relationships/hyperlink" Target="http://www.gallilex.cfwb.be/fr/leg_res_01.php?ncda=9547&amp;referant=l02&amp;bck_ncda=9547&amp;bck_referant=l00" TargetMode="External"/><Relationship Id="rId158" Type="http://schemas.openxmlformats.org/officeDocument/2006/relationships/hyperlink" Target="http://www.enseignement.be/index.php?page=26823&amp;do_id=5204" TargetMode="External"/><Relationship Id="rId20" Type="http://schemas.openxmlformats.org/officeDocument/2006/relationships/hyperlink" Target="mailto:exclusion-inscription@cfwb.be" TargetMode="External"/><Relationship Id="rId41" Type="http://schemas.openxmlformats.org/officeDocument/2006/relationships/hyperlink" Target="http://www.gallilex.cfwb.be/fr/leg_res_01.php?ncda=22229&amp;referant=l01" TargetMode="External"/><Relationship Id="rId62" Type="http://schemas.openxmlformats.org/officeDocument/2006/relationships/hyperlink" Target="http://www.gallilex.cfwb.be/fr/leg_res_01.php?ncda=31614&amp;referant=l02&amp;bck_ncda=31614&amp;bck_referant=l00" TargetMode="External"/><Relationship Id="rId83" Type="http://schemas.openxmlformats.org/officeDocument/2006/relationships/hyperlink" Target="http://www.adm.cfwb.be" TargetMode="External"/><Relationship Id="rId88" Type="http://schemas.openxmlformats.org/officeDocument/2006/relationships/hyperlink" Target="http://www.gallilex.cfwb.be/fr/leg_res_01.php?ncda=29067&amp;referant=l02&amp;bck_ncda=29067&amp;bck_referant=l00" TargetMode="External"/><Relationship Id="rId111" Type="http://schemas.openxmlformats.org/officeDocument/2006/relationships/hyperlink" Target="http://www.gallilex.cfwb.be/fr/leg_res_01.php?ncda=19664&amp;referant=l02&amp;bck_ncda=19664&amp;bck_referant=l00" TargetMode="External"/><Relationship Id="rId132" Type="http://schemas.openxmlformats.org/officeDocument/2006/relationships/hyperlink" Target="http://www.gallilex.cfwb.be/fr/leg_res_01.php?ncda=23278&amp;referant=l02&amp;bck_ncda=23278&amp;bck_referant=l00" TargetMode="External"/><Relationship Id="rId153" Type="http://schemas.openxmlformats.org/officeDocument/2006/relationships/hyperlink" Target="mailto:po00xxxx@adm.cfwb.be" TargetMode="External"/><Relationship Id="rId174" Type="http://schemas.openxmlformats.org/officeDocument/2006/relationships/hyperlink" Target="mailto:info@sas-parenthese.be" TargetMode="External"/><Relationship Id="rId179" Type="http://schemas.openxmlformats.org/officeDocument/2006/relationships/hyperlink" Target="mailto:sens-sas@hotmail.com" TargetMode="External"/><Relationship Id="rId190" Type="http://schemas.openxmlformats.org/officeDocument/2006/relationships/footer" Target="footer4.xml"/><Relationship Id="rId15" Type="http://schemas.openxmlformats.org/officeDocument/2006/relationships/hyperlink" Target="http://www.enseignement.be/index.php?page=26823&amp;do_id=6389" TargetMode="External"/><Relationship Id="rId36" Type="http://schemas.openxmlformats.org/officeDocument/2006/relationships/hyperlink" Target="http://www.gallilex.cfwb.be/fr/leg_res_00.php?ncda=31726&amp;referant=l00" TargetMode="External"/><Relationship Id="rId57" Type="http://schemas.openxmlformats.org/officeDocument/2006/relationships/hyperlink" Target="http://www.gallilex.cfwb.be/fr/leg_res_01.php?ncda=40870&amp;referant=l02&amp;bck_ncda=40870&amp;bck_referant=l00" TargetMode="External"/><Relationship Id="rId106" Type="http://schemas.openxmlformats.org/officeDocument/2006/relationships/hyperlink" Target="http://www.gallilex.cfwb.be/fr/leg_res_01.php?ncda=34295&amp;referant=l01" TargetMode="External"/><Relationship Id="rId127" Type="http://schemas.openxmlformats.org/officeDocument/2006/relationships/hyperlink" Target="http://www.gallilex.cfwb.be/fr/leg_res_01.php?ncda=22229&amp;referant=l02&amp;bck_ncda=22229&amp;bck_referant=l00" TargetMode="External"/><Relationship Id="rId10" Type="http://schemas.openxmlformats.org/officeDocument/2006/relationships/image" Target="media/image4.jpeg"/><Relationship Id="rId31" Type="http://schemas.openxmlformats.org/officeDocument/2006/relationships/hyperlink" Target="http://www.gallilex.cfwb.be/fr/leg_res_01.php?ncda=9676&amp;referant=l01" TargetMode="External"/><Relationship Id="rId52" Type="http://schemas.openxmlformats.org/officeDocument/2006/relationships/image" Target="media/image5.png"/><Relationship Id="rId73" Type="http://schemas.openxmlformats.org/officeDocument/2006/relationships/hyperlink" Target="http://www.enseignement.be/index.php?page=26823&amp;do_id=3997" TargetMode="External"/><Relationship Id="rId78" Type="http://schemas.openxmlformats.org/officeDocument/2006/relationships/hyperlink" Target="http://www.gallilex.cfwb.be/fr/leg_res_01.php?ncda=21557&amp;referant=l02&amp;bck_ncda=21557&amp;bck_referant=l00" TargetMode="External"/><Relationship Id="rId94" Type="http://schemas.openxmlformats.org/officeDocument/2006/relationships/hyperlink" Target="mailto:nathalie.dujardin@cfwb.be" TargetMode="External"/><Relationship Id="rId99" Type="http://schemas.openxmlformats.org/officeDocument/2006/relationships/hyperlink" Target="http://www.gallilex.cfwb.be/fr/leg_res_01.php?ncda=34295&amp;referant=l01" TargetMode="External"/><Relationship Id="rId101" Type="http://schemas.openxmlformats.org/officeDocument/2006/relationships/hyperlink" Target="http://www.am.cfwb.be" TargetMode="External"/><Relationship Id="rId122" Type="http://schemas.openxmlformats.org/officeDocument/2006/relationships/hyperlink" Target="http://www.gallilex.cfwb.be/fr/leg_res_00.php?ncda=3440&amp;referant=l00" TargetMode="External"/><Relationship Id="rId143" Type="http://schemas.openxmlformats.org/officeDocument/2006/relationships/hyperlink" Target="http://www.gallilex.cfwb.be/fr/leg_res_01.php?ncda=21557&amp;referant=l01" TargetMode="External"/><Relationship Id="rId148" Type="http://schemas.openxmlformats.org/officeDocument/2006/relationships/hyperlink" Target="mailto:alain-yves.lamberts@cfwb.be" TargetMode="External"/><Relationship Id="rId164" Type="http://schemas.openxmlformats.org/officeDocument/2006/relationships/hyperlink" Target="mailto:saj.dinant@cfwb.be" TargetMode="External"/><Relationship Id="rId169" Type="http://schemas.openxmlformats.org/officeDocument/2006/relationships/hyperlink" Target="mailto:saj.namur@cfwb.be" TargetMode="External"/><Relationship Id="rId185" Type="http://schemas.openxmlformats.org/officeDocument/2006/relationships/hyperlink" Target="mailto:asbl.rebonds@gmail.com" TargetMode="External"/><Relationship Id="rId4" Type="http://schemas.openxmlformats.org/officeDocument/2006/relationships/settings" Target="settings.xml"/><Relationship Id="rId9" Type="http://schemas.openxmlformats.org/officeDocument/2006/relationships/image" Target="media/image3.emf"/><Relationship Id="rId180" Type="http://schemas.openxmlformats.org/officeDocument/2006/relationships/hyperlink" Target="mailto:sasdemons@yahoo.fr" TargetMode="External"/><Relationship Id="rId26" Type="http://schemas.openxmlformats.org/officeDocument/2006/relationships/hyperlink" Target="http://www.gallilex.cfwb.be/fr/leg_res_01.php?ncda=26663&amp;referant=l02&amp;bck_ncda=26663&amp;bck_referant=l00"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enseignement.be/index.php?page=26823&amp;do_id=5185" TargetMode="External"/><Relationship Id="rId3" Type="http://schemas.openxmlformats.org/officeDocument/2006/relationships/hyperlink" Target="http://www.enseignement.be/index.php?page=26823&amp;do_id=4189" TargetMode="External"/><Relationship Id="rId7" Type="http://schemas.openxmlformats.org/officeDocument/2006/relationships/hyperlink" Target="http://www.gallilex.cfwb.be/fr/leg_res_01.php?ncda=40252&amp;referant=l02&amp;bck_ncda=40252&amp;bck_referant=l00" TargetMode="External"/><Relationship Id="rId2" Type="http://schemas.openxmlformats.org/officeDocument/2006/relationships/hyperlink" Target="http://www.enseignement.be/index.php?page=26823&amp;do_id=2405" TargetMode="External"/><Relationship Id="rId1" Type="http://schemas.openxmlformats.org/officeDocument/2006/relationships/hyperlink" Target="https://www.ordomedic.be/fr/conseils-provinciaux/les-conseils-provinciaux/" TargetMode="External"/><Relationship Id="rId6" Type="http://schemas.openxmlformats.org/officeDocument/2006/relationships/hyperlink" Target="http://www.enseignement.be/index.php?page=26823&amp;do_id=2519" TargetMode="External"/><Relationship Id="rId5" Type="http://schemas.openxmlformats.org/officeDocument/2006/relationships/hyperlink" Target="http://www.gallilex.cfwb.be/fr/leg_res_01.php?ncda=32771&amp;referant=l02&amp;bck_ncda=32771&amp;bck_referant=l00" TargetMode="External"/><Relationship Id="rId4" Type="http://schemas.openxmlformats.org/officeDocument/2006/relationships/hyperlink" Target="http://www.gallilex.cfwb.be/fr/leg_res_01.php?ncda=32771&amp;referant=l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07CB7-2A04-491B-96B9-CA144F397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226</Pages>
  <Words>88935</Words>
  <Characters>489143</Characters>
  <Application>Microsoft Office Word</Application>
  <DocSecurity>0</DocSecurity>
  <Lines>4076</Lines>
  <Paragraphs>1153</Paragraphs>
  <ScaleCrop>false</ScaleCrop>
  <HeadingPairs>
    <vt:vector size="2" baseType="variant">
      <vt:variant>
        <vt:lpstr>Titre</vt:lpstr>
      </vt:variant>
      <vt:variant>
        <vt:i4>1</vt:i4>
      </vt:variant>
    </vt:vector>
  </HeadingPairs>
  <TitlesOfParts>
    <vt:vector size="1" baseType="lpstr">
      <vt:lpstr/>
    </vt:vector>
  </TitlesOfParts>
  <Company>CFWB</Company>
  <LinksUpToDate>false</LinksUpToDate>
  <CharactersWithSpaces>576925</CharactersWithSpaces>
  <SharedDoc>false</SharedDoc>
  <HLinks>
    <vt:vector size="4434" baseType="variant">
      <vt:variant>
        <vt:i4>6029436</vt:i4>
      </vt:variant>
      <vt:variant>
        <vt:i4>3206</vt:i4>
      </vt:variant>
      <vt:variant>
        <vt:i4>0</vt:i4>
      </vt:variant>
      <vt:variant>
        <vt:i4>5</vt:i4>
      </vt:variant>
      <vt:variant>
        <vt:lpwstr>mailto:frederic.angelucci@compas-format.eu</vt:lpwstr>
      </vt:variant>
      <vt:variant>
        <vt:lpwstr/>
      </vt:variant>
      <vt:variant>
        <vt:i4>3276824</vt:i4>
      </vt:variant>
      <vt:variant>
        <vt:i4>3203</vt:i4>
      </vt:variant>
      <vt:variant>
        <vt:i4>0</vt:i4>
      </vt:variant>
      <vt:variant>
        <vt:i4>5</vt:i4>
      </vt:variant>
      <vt:variant>
        <vt:lpwstr>mailto:samuel.palladino@compas-format.eu</vt:lpwstr>
      </vt:variant>
      <vt:variant>
        <vt:lpwstr/>
      </vt:variant>
      <vt:variant>
        <vt:i4>7274571</vt:i4>
      </vt:variant>
      <vt:variant>
        <vt:i4>3200</vt:i4>
      </vt:variant>
      <vt:variant>
        <vt:i4>0</vt:i4>
      </vt:variant>
      <vt:variant>
        <vt:i4>5</vt:i4>
      </vt:variant>
      <vt:variant>
        <vt:lpwstr>mailto:frederic.duprez@compas-format.eu</vt:lpwstr>
      </vt:variant>
      <vt:variant>
        <vt:lpwstr/>
      </vt:variant>
      <vt:variant>
        <vt:i4>2359377</vt:i4>
      </vt:variant>
      <vt:variant>
        <vt:i4>3197</vt:i4>
      </vt:variant>
      <vt:variant>
        <vt:i4>0</vt:i4>
      </vt:variant>
      <vt:variant>
        <vt:i4>5</vt:i4>
      </vt:variant>
      <vt:variant>
        <vt:lpwstr>mailto:asbl.rebonds@gmail.com</vt:lpwstr>
      </vt:variant>
      <vt:variant>
        <vt:lpwstr/>
      </vt:variant>
      <vt:variant>
        <vt:i4>5242980</vt:i4>
      </vt:variant>
      <vt:variant>
        <vt:i4>3194</vt:i4>
      </vt:variant>
      <vt:variant>
        <vt:i4>0</vt:i4>
      </vt:variant>
      <vt:variant>
        <vt:i4>5</vt:i4>
      </vt:variant>
      <vt:variant>
        <vt:lpwstr>mailto:sasauxsources@live.be</vt:lpwstr>
      </vt:variant>
      <vt:variant>
        <vt:lpwstr/>
      </vt:variant>
      <vt:variant>
        <vt:i4>8257616</vt:i4>
      </vt:variant>
      <vt:variant>
        <vt:i4>3191</vt:i4>
      </vt:variant>
      <vt:variant>
        <vt:i4>0</vt:i4>
      </vt:variant>
      <vt:variant>
        <vt:i4>5</vt:i4>
      </vt:variant>
      <vt:variant>
        <vt:lpwstr>mailto:emergenceaccueil@gmail.be</vt:lpwstr>
      </vt:variant>
      <vt:variant>
        <vt:lpwstr/>
      </vt:variant>
      <vt:variant>
        <vt:i4>1769533</vt:i4>
      </vt:variant>
      <vt:variant>
        <vt:i4>3188</vt:i4>
      </vt:variant>
      <vt:variant>
        <vt:i4>0</vt:i4>
      </vt:variant>
      <vt:variant>
        <vt:i4>5</vt:i4>
      </vt:variant>
      <vt:variant>
        <vt:lpwstr>mailto:saswavre@hotmail.com</vt:lpwstr>
      </vt:variant>
      <vt:variant>
        <vt:lpwstr/>
      </vt:variant>
      <vt:variant>
        <vt:i4>7929882</vt:i4>
      </vt:variant>
      <vt:variant>
        <vt:i4>3185</vt:i4>
      </vt:variant>
      <vt:variant>
        <vt:i4>0</vt:i4>
      </vt:variant>
      <vt:variant>
        <vt:i4>5</vt:i4>
      </vt:variant>
      <vt:variant>
        <vt:lpwstr>mailto:carrefour.accueil@wol.be</vt:lpwstr>
      </vt:variant>
      <vt:variant>
        <vt:lpwstr/>
      </vt:variant>
      <vt:variant>
        <vt:i4>196652</vt:i4>
      </vt:variant>
      <vt:variant>
        <vt:i4>3182</vt:i4>
      </vt:variant>
      <vt:variant>
        <vt:i4>0</vt:i4>
      </vt:variant>
      <vt:variant>
        <vt:i4>5</vt:i4>
      </vt:variant>
      <vt:variant>
        <vt:lpwstr>mailto:sasdemons@yahoo.fr</vt:lpwstr>
      </vt:variant>
      <vt:variant>
        <vt:lpwstr/>
      </vt:variant>
      <vt:variant>
        <vt:i4>5832750</vt:i4>
      </vt:variant>
      <vt:variant>
        <vt:i4>3179</vt:i4>
      </vt:variant>
      <vt:variant>
        <vt:i4>0</vt:i4>
      </vt:variant>
      <vt:variant>
        <vt:i4>5</vt:i4>
      </vt:variant>
      <vt:variant>
        <vt:lpwstr>mailto:sens-sas@hotmail.com</vt:lpwstr>
      </vt:variant>
      <vt:variant>
        <vt:lpwstr/>
      </vt:variant>
      <vt:variant>
        <vt:i4>2359389</vt:i4>
      </vt:variant>
      <vt:variant>
        <vt:i4>3176</vt:i4>
      </vt:variant>
      <vt:variant>
        <vt:i4>0</vt:i4>
      </vt:variant>
      <vt:variant>
        <vt:i4>5</vt:i4>
      </vt:variant>
      <vt:variant>
        <vt:lpwstr>mailto:sas-ho@live.be</vt:lpwstr>
      </vt:variant>
      <vt:variant>
        <vt:lpwstr/>
      </vt:variant>
      <vt:variant>
        <vt:i4>786455</vt:i4>
      </vt:variant>
      <vt:variant>
        <vt:i4>3173</vt:i4>
      </vt:variant>
      <vt:variant>
        <vt:i4>0</vt:i4>
      </vt:variant>
      <vt:variant>
        <vt:i4>5</vt:i4>
      </vt:variant>
      <vt:variant>
        <vt:lpwstr>http://www.seuil.be/</vt:lpwstr>
      </vt:variant>
      <vt:variant>
        <vt:lpwstr/>
      </vt:variant>
      <vt:variant>
        <vt:i4>917630</vt:i4>
      </vt:variant>
      <vt:variant>
        <vt:i4>3170</vt:i4>
      </vt:variant>
      <vt:variant>
        <vt:i4>0</vt:i4>
      </vt:variant>
      <vt:variant>
        <vt:i4>5</vt:i4>
      </vt:variant>
      <vt:variant>
        <vt:lpwstr>mailto:seuil.asbl@gmail.com</vt:lpwstr>
      </vt:variant>
      <vt:variant>
        <vt:lpwstr/>
      </vt:variant>
      <vt:variant>
        <vt:i4>7209041</vt:i4>
      </vt:variant>
      <vt:variant>
        <vt:i4>3167</vt:i4>
      </vt:variant>
      <vt:variant>
        <vt:i4>0</vt:i4>
      </vt:variant>
      <vt:variant>
        <vt:i4>5</vt:i4>
      </vt:variant>
      <vt:variant>
        <vt:lpwstr>mailto:lesasbruxellesmidi@hotmail.com</vt:lpwstr>
      </vt:variant>
      <vt:variant>
        <vt:lpwstr/>
      </vt:variant>
      <vt:variant>
        <vt:i4>7536658</vt:i4>
      </vt:variant>
      <vt:variant>
        <vt:i4>3164</vt:i4>
      </vt:variant>
      <vt:variant>
        <vt:i4>0</vt:i4>
      </vt:variant>
      <vt:variant>
        <vt:i4>5</vt:i4>
      </vt:variant>
      <vt:variant>
        <vt:lpwstr>mailto:info@sas-parenthese.be</vt:lpwstr>
      </vt:variant>
      <vt:variant>
        <vt:lpwstr/>
      </vt:variant>
      <vt:variant>
        <vt:i4>4325434</vt:i4>
      </vt:variant>
      <vt:variant>
        <vt:i4>3161</vt:i4>
      </vt:variant>
      <vt:variant>
        <vt:i4>0</vt:i4>
      </vt:variant>
      <vt:variant>
        <vt:i4>5</vt:i4>
      </vt:variant>
      <vt:variant>
        <vt:lpwstr>mailto:saj.verviers@cfwb.be</vt:lpwstr>
      </vt:variant>
      <vt:variant>
        <vt:lpwstr/>
      </vt:variant>
      <vt:variant>
        <vt:i4>2228319</vt:i4>
      </vt:variant>
      <vt:variant>
        <vt:i4>3158</vt:i4>
      </vt:variant>
      <vt:variant>
        <vt:i4>0</vt:i4>
      </vt:variant>
      <vt:variant>
        <vt:i4>5</vt:i4>
      </vt:variant>
      <vt:variant>
        <vt:lpwstr>mailto:saj.tournai@cfwb.be</vt:lpwstr>
      </vt:variant>
      <vt:variant>
        <vt:lpwstr/>
      </vt:variant>
      <vt:variant>
        <vt:i4>4980780</vt:i4>
      </vt:variant>
      <vt:variant>
        <vt:i4>3155</vt:i4>
      </vt:variant>
      <vt:variant>
        <vt:i4>0</vt:i4>
      </vt:variant>
      <vt:variant>
        <vt:i4>5</vt:i4>
      </vt:variant>
      <vt:variant>
        <vt:lpwstr>mailto:saj.nivelles@cfwb.be</vt:lpwstr>
      </vt:variant>
      <vt:variant>
        <vt:lpwstr/>
      </vt:variant>
      <vt:variant>
        <vt:i4>2949213</vt:i4>
      </vt:variant>
      <vt:variant>
        <vt:i4>3152</vt:i4>
      </vt:variant>
      <vt:variant>
        <vt:i4>0</vt:i4>
      </vt:variant>
      <vt:variant>
        <vt:i4>5</vt:i4>
      </vt:variant>
      <vt:variant>
        <vt:lpwstr>mailto:saj.neufchateau@cfwb.be</vt:lpwstr>
      </vt:variant>
      <vt:variant>
        <vt:lpwstr/>
      </vt:variant>
      <vt:variant>
        <vt:i4>5570615</vt:i4>
      </vt:variant>
      <vt:variant>
        <vt:i4>3149</vt:i4>
      </vt:variant>
      <vt:variant>
        <vt:i4>0</vt:i4>
      </vt:variant>
      <vt:variant>
        <vt:i4>5</vt:i4>
      </vt:variant>
      <vt:variant>
        <vt:lpwstr>mailto:saj.namur@cfwb.be</vt:lpwstr>
      </vt:variant>
      <vt:variant>
        <vt:lpwstr/>
      </vt:variant>
      <vt:variant>
        <vt:i4>6160419</vt:i4>
      </vt:variant>
      <vt:variant>
        <vt:i4>3146</vt:i4>
      </vt:variant>
      <vt:variant>
        <vt:i4>0</vt:i4>
      </vt:variant>
      <vt:variant>
        <vt:i4>5</vt:i4>
      </vt:variant>
      <vt:variant>
        <vt:lpwstr>mailto:saj.mons@cfwb.be</vt:lpwstr>
      </vt:variant>
      <vt:variant>
        <vt:lpwstr/>
      </vt:variant>
      <vt:variant>
        <vt:i4>2752600</vt:i4>
      </vt:variant>
      <vt:variant>
        <vt:i4>3143</vt:i4>
      </vt:variant>
      <vt:variant>
        <vt:i4>0</vt:i4>
      </vt:variant>
      <vt:variant>
        <vt:i4>5</vt:i4>
      </vt:variant>
      <vt:variant>
        <vt:lpwstr>mailto:saj.marche@cfwb.be</vt:lpwstr>
      </vt:variant>
      <vt:variant>
        <vt:lpwstr/>
      </vt:variant>
      <vt:variant>
        <vt:i4>4718637</vt:i4>
      </vt:variant>
      <vt:variant>
        <vt:i4>3140</vt:i4>
      </vt:variant>
      <vt:variant>
        <vt:i4>0</vt:i4>
      </vt:variant>
      <vt:variant>
        <vt:i4>5</vt:i4>
      </vt:variant>
      <vt:variant>
        <vt:lpwstr>mailto:saj.liege@cfwb.be</vt:lpwstr>
      </vt:variant>
      <vt:variant>
        <vt:lpwstr/>
      </vt:variant>
      <vt:variant>
        <vt:i4>3473494</vt:i4>
      </vt:variant>
      <vt:variant>
        <vt:i4>3137</vt:i4>
      </vt:variant>
      <vt:variant>
        <vt:i4>0</vt:i4>
      </vt:variant>
      <vt:variant>
        <vt:i4>5</vt:i4>
      </vt:variant>
      <vt:variant>
        <vt:lpwstr>mailto:saj.huy@cfwb.be</vt:lpwstr>
      </vt:variant>
      <vt:variant>
        <vt:lpwstr/>
      </vt:variant>
      <vt:variant>
        <vt:i4>3735619</vt:i4>
      </vt:variant>
      <vt:variant>
        <vt:i4>3134</vt:i4>
      </vt:variant>
      <vt:variant>
        <vt:i4>0</vt:i4>
      </vt:variant>
      <vt:variant>
        <vt:i4>5</vt:i4>
      </vt:variant>
      <vt:variant>
        <vt:lpwstr>mailto:saj.dinant@cfwb.be</vt:lpwstr>
      </vt:variant>
      <vt:variant>
        <vt:lpwstr/>
      </vt:variant>
      <vt:variant>
        <vt:i4>5308467</vt:i4>
      </vt:variant>
      <vt:variant>
        <vt:i4>3131</vt:i4>
      </vt:variant>
      <vt:variant>
        <vt:i4>0</vt:i4>
      </vt:variant>
      <vt:variant>
        <vt:i4>5</vt:i4>
      </vt:variant>
      <vt:variant>
        <vt:lpwstr>mailto:saj.charleroi@cfwb.be</vt:lpwstr>
      </vt:variant>
      <vt:variant>
        <vt:lpwstr/>
      </vt:variant>
      <vt:variant>
        <vt:i4>4784160</vt:i4>
      </vt:variant>
      <vt:variant>
        <vt:i4>3128</vt:i4>
      </vt:variant>
      <vt:variant>
        <vt:i4>0</vt:i4>
      </vt:variant>
      <vt:variant>
        <vt:i4>5</vt:i4>
      </vt:variant>
      <vt:variant>
        <vt:lpwstr>mailto:saj.bruxelles@cfwb.be</vt:lpwstr>
      </vt:variant>
      <vt:variant>
        <vt:lpwstr/>
      </vt:variant>
      <vt:variant>
        <vt:i4>4653118</vt:i4>
      </vt:variant>
      <vt:variant>
        <vt:i4>3125</vt:i4>
      </vt:variant>
      <vt:variant>
        <vt:i4>0</vt:i4>
      </vt:variant>
      <vt:variant>
        <vt:i4>5</vt:i4>
      </vt:variant>
      <vt:variant>
        <vt:lpwstr>mailto:saj.arlon@cfwb.be</vt:lpwstr>
      </vt:variant>
      <vt:variant>
        <vt:lpwstr/>
      </vt:variant>
      <vt:variant>
        <vt:i4>1114167</vt:i4>
      </vt:variant>
      <vt:variant>
        <vt:i4>3122</vt:i4>
      </vt:variant>
      <vt:variant>
        <vt:i4>0</vt:i4>
      </vt:variant>
      <vt:variant>
        <vt:i4>5</vt:i4>
      </vt:variant>
      <vt:variant>
        <vt:lpwstr/>
      </vt:variant>
      <vt:variant>
        <vt:lpwstr>_Toc103770211</vt:lpwstr>
      </vt:variant>
      <vt:variant>
        <vt:i4>1114167</vt:i4>
      </vt:variant>
      <vt:variant>
        <vt:i4>3119</vt:i4>
      </vt:variant>
      <vt:variant>
        <vt:i4>0</vt:i4>
      </vt:variant>
      <vt:variant>
        <vt:i4>5</vt:i4>
      </vt:variant>
      <vt:variant>
        <vt:lpwstr/>
      </vt:variant>
      <vt:variant>
        <vt:lpwstr>_Toc103770210</vt:lpwstr>
      </vt:variant>
      <vt:variant>
        <vt:i4>3801119</vt:i4>
      </vt:variant>
      <vt:variant>
        <vt:i4>3116</vt:i4>
      </vt:variant>
      <vt:variant>
        <vt:i4>0</vt:i4>
      </vt:variant>
      <vt:variant>
        <vt:i4>5</vt:i4>
      </vt:variant>
      <vt:variant>
        <vt:lpwstr>http://www.enseignement.be/index.php?page=26823&amp;do_id=3997</vt:lpwstr>
      </vt:variant>
      <vt:variant>
        <vt:lpwstr/>
      </vt:variant>
      <vt:variant>
        <vt:i4>3276821</vt:i4>
      </vt:variant>
      <vt:variant>
        <vt:i4>3113</vt:i4>
      </vt:variant>
      <vt:variant>
        <vt:i4>0</vt:i4>
      </vt:variant>
      <vt:variant>
        <vt:i4>5</vt:i4>
      </vt:variant>
      <vt:variant>
        <vt:lpwstr>http://www.enseignement.be/index.php?page=26823&amp;do_id=5355</vt:lpwstr>
      </vt:variant>
      <vt:variant>
        <vt:lpwstr/>
      </vt:variant>
      <vt:variant>
        <vt:i4>3276816</vt:i4>
      </vt:variant>
      <vt:variant>
        <vt:i4>3110</vt:i4>
      </vt:variant>
      <vt:variant>
        <vt:i4>0</vt:i4>
      </vt:variant>
      <vt:variant>
        <vt:i4>5</vt:i4>
      </vt:variant>
      <vt:variant>
        <vt:lpwstr>http://www.enseignement.be/index.php?page=26823&amp;do_id=5204</vt:lpwstr>
      </vt:variant>
      <vt:variant>
        <vt:lpwstr/>
      </vt:variant>
      <vt:variant>
        <vt:i4>3866645</vt:i4>
      </vt:variant>
      <vt:variant>
        <vt:i4>3107</vt:i4>
      </vt:variant>
      <vt:variant>
        <vt:i4>0</vt:i4>
      </vt:variant>
      <vt:variant>
        <vt:i4>5</vt:i4>
      </vt:variant>
      <vt:variant>
        <vt:lpwstr>http://www.enseignement.be/index.php?page=26823&amp;do_id=5758</vt:lpwstr>
      </vt:variant>
      <vt:variant>
        <vt:lpwstr/>
      </vt:variant>
      <vt:variant>
        <vt:i4>4128785</vt:i4>
      </vt:variant>
      <vt:variant>
        <vt:i4>3104</vt:i4>
      </vt:variant>
      <vt:variant>
        <vt:i4>0</vt:i4>
      </vt:variant>
      <vt:variant>
        <vt:i4>5</vt:i4>
      </vt:variant>
      <vt:variant>
        <vt:lpwstr>http://www.enseignement.be/index.php?page=26823&amp;do_id=5912</vt:lpwstr>
      </vt:variant>
      <vt:variant>
        <vt:lpwstr/>
      </vt:variant>
      <vt:variant>
        <vt:i4>5111843</vt:i4>
      </vt:variant>
      <vt:variant>
        <vt:i4>3101</vt:i4>
      </vt:variant>
      <vt:variant>
        <vt:i4>0</vt:i4>
      </vt:variant>
      <vt:variant>
        <vt:i4>5</vt:i4>
      </vt:variant>
      <vt:variant>
        <vt:lpwstr>mailto:po00xxxx@adm.cfwb.be</vt:lpwstr>
      </vt:variant>
      <vt:variant>
        <vt:lpwstr/>
      </vt:variant>
      <vt:variant>
        <vt:i4>5963823</vt:i4>
      </vt:variant>
      <vt:variant>
        <vt:i4>3098</vt:i4>
      </vt:variant>
      <vt:variant>
        <vt:i4>0</vt:i4>
      </vt:variant>
      <vt:variant>
        <vt:i4>5</vt:i4>
      </vt:variant>
      <vt:variant>
        <vt:lpwstr>mailto:ec00xxxx@adm.cfwb.be</vt:lpwstr>
      </vt:variant>
      <vt:variant>
        <vt:lpwstr/>
      </vt:variant>
      <vt:variant>
        <vt:i4>2949218</vt:i4>
      </vt:variant>
      <vt:variant>
        <vt:i4>3095</vt:i4>
      </vt:variant>
      <vt:variant>
        <vt:i4>0</vt:i4>
      </vt:variant>
      <vt:variant>
        <vt:i4>5</vt:i4>
      </vt:variant>
      <vt:variant>
        <vt:lpwstr>http://www.am.cfwb.be/</vt:lpwstr>
      </vt:variant>
      <vt:variant>
        <vt:lpwstr/>
      </vt:variant>
      <vt:variant>
        <vt:i4>5701672</vt:i4>
      </vt:variant>
      <vt:variant>
        <vt:i4>3092</vt:i4>
      </vt:variant>
      <vt:variant>
        <vt:i4>0</vt:i4>
      </vt:variant>
      <vt:variant>
        <vt:i4>5</vt:i4>
      </vt:variant>
      <vt:variant>
        <vt:lpwstr/>
      </vt:variant>
      <vt:variant>
        <vt:lpwstr>Annexe_9</vt:lpwstr>
      </vt:variant>
      <vt:variant>
        <vt:i4>3211342</vt:i4>
      </vt:variant>
      <vt:variant>
        <vt:i4>3089</vt:i4>
      </vt:variant>
      <vt:variant>
        <vt:i4>0</vt:i4>
      </vt:variant>
      <vt:variant>
        <vt:i4>5</vt:i4>
      </vt:variant>
      <vt:variant>
        <vt:lpwstr/>
      </vt:variant>
      <vt:variant>
        <vt:lpwstr>Annexe9_C</vt:lpwstr>
      </vt:variant>
      <vt:variant>
        <vt:i4>3211342</vt:i4>
      </vt:variant>
      <vt:variant>
        <vt:i4>3086</vt:i4>
      </vt:variant>
      <vt:variant>
        <vt:i4>0</vt:i4>
      </vt:variant>
      <vt:variant>
        <vt:i4>5</vt:i4>
      </vt:variant>
      <vt:variant>
        <vt:lpwstr/>
      </vt:variant>
      <vt:variant>
        <vt:lpwstr>Annexe9_B</vt:lpwstr>
      </vt:variant>
      <vt:variant>
        <vt:i4>5701672</vt:i4>
      </vt:variant>
      <vt:variant>
        <vt:i4>3083</vt:i4>
      </vt:variant>
      <vt:variant>
        <vt:i4>0</vt:i4>
      </vt:variant>
      <vt:variant>
        <vt:i4>5</vt:i4>
      </vt:variant>
      <vt:variant>
        <vt:lpwstr/>
      </vt:variant>
      <vt:variant>
        <vt:lpwstr>Annexe_9A</vt:lpwstr>
      </vt:variant>
      <vt:variant>
        <vt:i4>3014669</vt:i4>
      </vt:variant>
      <vt:variant>
        <vt:i4>3080</vt:i4>
      </vt:variant>
      <vt:variant>
        <vt:i4>0</vt:i4>
      </vt:variant>
      <vt:variant>
        <vt:i4>5</vt:i4>
      </vt:variant>
      <vt:variant>
        <vt:lpwstr>mailto:c1mail@diplobel.fed.be</vt:lpwstr>
      </vt:variant>
      <vt:variant>
        <vt:lpwstr/>
      </vt:variant>
      <vt:variant>
        <vt:i4>4849729</vt:i4>
      </vt:variant>
      <vt:variant>
        <vt:i4>3077</vt:i4>
      </vt:variant>
      <vt:variant>
        <vt:i4>0</vt:i4>
      </vt:variant>
      <vt:variant>
        <vt:i4>5</vt:i4>
      </vt:variant>
      <vt:variant>
        <vt:lpwstr>http://www.diplomatie.belgium.be/</vt:lpwstr>
      </vt:variant>
      <vt:variant>
        <vt:lpwstr/>
      </vt:variant>
      <vt:variant>
        <vt:i4>524345</vt:i4>
      </vt:variant>
      <vt:variant>
        <vt:i4>3074</vt:i4>
      </vt:variant>
      <vt:variant>
        <vt:i4>0</vt:i4>
      </vt:variant>
      <vt:variant>
        <vt:i4>5</vt:i4>
      </vt:variant>
      <vt:variant>
        <vt:lpwstr>mailto:asile.administration@ibz.fgov.be</vt:lpwstr>
      </vt:variant>
      <vt:variant>
        <vt:lpwstr/>
      </vt:variant>
      <vt:variant>
        <vt:i4>4718672</vt:i4>
      </vt:variant>
      <vt:variant>
        <vt:i4>3071</vt:i4>
      </vt:variant>
      <vt:variant>
        <vt:i4>0</vt:i4>
      </vt:variant>
      <vt:variant>
        <vt:i4>5</vt:i4>
      </vt:variant>
      <vt:variant>
        <vt:lpwstr>https://dofi.ibz.be/sites/dvzoe/FR/Guidedesprocedures/Pages/Voyagesscolaires.aspx</vt:lpwstr>
      </vt:variant>
      <vt:variant>
        <vt:lpwstr/>
      </vt:variant>
      <vt:variant>
        <vt:i4>2359320</vt:i4>
      </vt:variant>
      <vt:variant>
        <vt:i4>3068</vt:i4>
      </vt:variant>
      <vt:variant>
        <vt:i4>0</vt:i4>
      </vt:variant>
      <vt:variant>
        <vt:i4>5</vt:i4>
      </vt:variant>
      <vt:variant>
        <vt:lpwstr>mailto:depaysement@cfwb.be</vt:lpwstr>
      </vt:variant>
      <vt:variant>
        <vt:lpwstr/>
      </vt:variant>
      <vt:variant>
        <vt:i4>2359320</vt:i4>
      </vt:variant>
      <vt:variant>
        <vt:i4>3065</vt:i4>
      </vt:variant>
      <vt:variant>
        <vt:i4>0</vt:i4>
      </vt:variant>
      <vt:variant>
        <vt:i4>5</vt:i4>
      </vt:variant>
      <vt:variant>
        <vt:lpwstr>mailto:depaysement@cfwb.be</vt:lpwstr>
      </vt:variant>
      <vt:variant>
        <vt:lpwstr/>
      </vt:variant>
      <vt:variant>
        <vt:i4>4784236</vt:i4>
      </vt:variant>
      <vt:variant>
        <vt:i4>3062</vt:i4>
      </vt:variant>
      <vt:variant>
        <vt:i4>0</vt:i4>
      </vt:variant>
      <vt:variant>
        <vt:i4>5</vt:i4>
      </vt:variant>
      <vt:variant>
        <vt:lpwstr/>
      </vt:variant>
      <vt:variant>
        <vt:lpwstr>_8.5.2._Les_demandes</vt:lpwstr>
      </vt:variant>
      <vt:variant>
        <vt:i4>4784236</vt:i4>
      </vt:variant>
      <vt:variant>
        <vt:i4>3059</vt:i4>
      </vt:variant>
      <vt:variant>
        <vt:i4>0</vt:i4>
      </vt:variant>
      <vt:variant>
        <vt:i4>5</vt:i4>
      </vt:variant>
      <vt:variant>
        <vt:lpwstr/>
      </vt:variant>
      <vt:variant>
        <vt:lpwstr>_8.5.2._Les_demandes</vt:lpwstr>
      </vt:variant>
      <vt:variant>
        <vt:i4>2359320</vt:i4>
      </vt:variant>
      <vt:variant>
        <vt:i4>3056</vt:i4>
      </vt:variant>
      <vt:variant>
        <vt:i4>0</vt:i4>
      </vt:variant>
      <vt:variant>
        <vt:i4>5</vt:i4>
      </vt:variant>
      <vt:variant>
        <vt:lpwstr>mailto:depaysement@cfwb.be</vt:lpwstr>
      </vt:variant>
      <vt:variant>
        <vt:lpwstr/>
      </vt:variant>
      <vt:variant>
        <vt:i4>3211342</vt:i4>
      </vt:variant>
      <vt:variant>
        <vt:i4>3053</vt:i4>
      </vt:variant>
      <vt:variant>
        <vt:i4>0</vt:i4>
      </vt:variant>
      <vt:variant>
        <vt:i4>5</vt:i4>
      </vt:variant>
      <vt:variant>
        <vt:lpwstr/>
      </vt:variant>
      <vt:variant>
        <vt:lpwstr>Annexe9_C</vt:lpwstr>
      </vt:variant>
      <vt:variant>
        <vt:i4>3211342</vt:i4>
      </vt:variant>
      <vt:variant>
        <vt:i4>3050</vt:i4>
      </vt:variant>
      <vt:variant>
        <vt:i4>0</vt:i4>
      </vt:variant>
      <vt:variant>
        <vt:i4>5</vt:i4>
      </vt:variant>
      <vt:variant>
        <vt:lpwstr/>
      </vt:variant>
      <vt:variant>
        <vt:lpwstr>Annexe9_B</vt:lpwstr>
      </vt:variant>
      <vt:variant>
        <vt:i4>5701672</vt:i4>
      </vt:variant>
      <vt:variant>
        <vt:i4>3047</vt:i4>
      </vt:variant>
      <vt:variant>
        <vt:i4>0</vt:i4>
      </vt:variant>
      <vt:variant>
        <vt:i4>5</vt:i4>
      </vt:variant>
      <vt:variant>
        <vt:lpwstr/>
      </vt:variant>
      <vt:variant>
        <vt:lpwstr>Annexe_9A</vt:lpwstr>
      </vt:variant>
      <vt:variant>
        <vt:i4>4456569</vt:i4>
      </vt:variant>
      <vt:variant>
        <vt:i4>3044</vt:i4>
      </vt:variant>
      <vt:variant>
        <vt:i4>0</vt:i4>
      </vt:variant>
      <vt:variant>
        <vt:i4>5</vt:i4>
      </vt:variant>
      <vt:variant>
        <vt:lpwstr/>
      </vt:variant>
      <vt:variant>
        <vt:lpwstr>_Chapitre_8.2._Classes</vt:lpwstr>
      </vt:variant>
      <vt:variant>
        <vt:i4>12648550</vt:i4>
      </vt:variant>
      <vt:variant>
        <vt:i4>3041</vt:i4>
      </vt:variant>
      <vt:variant>
        <vt:i4>0</vt:i4>
      </vt:variant>
      <vt:variant>
        <vt:i4>5</vt:i4>
      </vt:variant>
      <vt:variant>
        <vt:lpwstr/>
      </vt:variant>
      <vt:variant>
        <vt:lpwstr>_8.3.3._Durée_des</vt:lpwstr>
      </vt:variant>
      <vt:variant>
        <vt:i4>2359320</vt:i4>
      </vt:variant>
      <vt:variant>
        <vt:i4>3038</vt:i4>
      </vt:variant>
      <vt:variant>
        <vt:i4>0</vt:i4>
      </vt:variant>
      <vt:variant>
        <vt:i4>5</vt:i4>
      </vt:variant>
      <vt:variant>
        <vt:lpwstr>mailto:depaysement@cfwb.be</vt:lpwstr>
      </vt:variant>
      <vt:variant>
        <vt:lpwstr/>
      </vt:variant>
      <vt:variant>
        <vt:i4>3211342</vt:i4>
      </vt:variant>
      <vt:variant>
        <vt:i4>3035</vt:i4>
      </vt:variant>
      <vt:variant>
        <vt:i4>0</vt:i4>
      </vt:variant>
      <vt:variant>
        <vt:i4>5</vt:i4>
      </vt:variant>
      <vt:variant>
        <vt:lpwstr/>
      </vt:variant>
      <vt:variant>
        <vt:lpwstr>Annexe9_C</vt:lpwstr>
      </vt:variant>
      <vt:variant>
        <vt:i4>3211342</vt:i4>
      </vt:variant>
      <vt:variant>
        <vt:i4>3032</vt:i4>
      </vt:variant>
      <vt:variant>
        <vt:i4>0</vt:i4>
      </vt:variant>
      <vt:variant>
        <vt:i4>5</vt:i4>
      </vt:variant>
      <vt:variant>
        <vt:lpwstr/>
      </vt:variant>
      <vt:variant>
        <vt:lpwstr>Annexe9_B</vt:lpwstr>
      </vt:variant>
      <vt:variant>
        <vt:i4>5701672</vt:i4>
      </vt:variant>
      <vt:variant>
        <vt:i4>3029</vt:i4>
      </vt:variant>
      <vt:variant>
        <vt:i4>0</vt:i4>
      </vt:variant>
      <vt:variant>
        <vt:i4>5</vt:i4>
      </vt:variant>
      <vt:variant>
        <vt:lpwstr/>
      </vt:variant>
      <vt:variant>
        <vt:lpwstr>Annexe_9A</vt:lpwstr>
      </vt:variant>
      <vt:variant>
        <vt:i4>5636128</vt:i4>
      </vt:variant>
      <vt:variant>
        <vt:i4>3026</vt:i4>
      </vt:variant>
      <vt:variant>
        <vt:i4>0</vt:i4>
      </vt:variant>
      <vt:variant>
        <vt:i4>5</vt:i4>
      </vt:variant>
      <vt:variant>
        <vt:lpwstr/>
      </vt:variant>
      <vt:variant>
        <vt:lpwstr>Chapitre9_3</vt:lpwstr>
      </vt:variant>
      <vt:variant>
        <vt:i4>4456569</vt:i4>
      </vt:variant>
      <vt:variant>
        <vt:i4>3023</vt:i4>
      </vt:variant>
      <vt:variant>
        <vt:i4>0</vt:i4>
      </vt:variant>
      <vt:variant>
        <vt:i4>5</vt:i4>
      </vt:variant>
      <vt:variant>
        <vt:lpwstr/>
      </vt:variant>
      <vt:variant>
        <vt:lpwstr>_Chapitre_8.2._Classes</vt:lpwstr>
      </vt:variant>
      <vt:variant>
        <vt:i4>5636128</vt:i4>
      </vt:variant>
      <vt:variant>
        <vt:i4>3020</vt:i4>
      </vt:variant>
      <vt:variant>
        <vt:i4>0</vt:i4>
      </vt:variant>
      <vt:variant>
        <vt:i4>5</vt:i4>
      </vt:variant>
      <vt:variant>
        <vt:lpwstr/>
      </vt:variant>
      <vt:variant>
        <vt:lpwstr>Chapitre9_1</vt:lpwstr>
      </vt:variant>
      <vt:variant>
        <vt:i4>7536660</vt:i4>
      </vt:variant>
      <vt:variant>
        <vt:i4>3017</vt:i4>
      </vt:variant>
      <vt:variant>
        <vt:i4>0</vt:i4>
      </vt:variant>
      <vt:variant>
        <vt:i4>5</vt:i4>
      </vt:variant>
      <vt:variant>
        <vt:lpwstr>mailto:cedric.derycke@cfwb.be</vt:lpwstr>
      </vt:variant>
      <vt:variant>
        <vt:lpwstr/>
      </vt:variant>
      <vt:variant>
        <vt:i4>4063256</vt:i4>
      </vt:variant>
      <vt:variant>
        <vt:i4>3014</vt:i4>
      </vt:variant>
      <vt:variant>
        <vt:i4>0</vt:i4>
      </vt:variant>
      <vt:variant>
        <vt:i4>5</vt:i4>
      </vt:variant>
      <vt:variant>
        <vt:lpwstr>http://www.enseignement.be/index.php?page=26823&amp;do_id=4399</vt:lpwstr>
      </vt:variant>
      <vt:variant>
        <vt:lpwstr/>
      </vt:variant>
      <vt:variant>
        <vt:i4>6881385</vt:i4>
      </vt:variant>
      <vt:variant>
        <vt:i4>3011</vt:i4>
      </vt:variant>
      <vt:variant>
        <vt:i4>0</vt:i4>
      </vt:variant>
      <vt:variant>
        <vt:i4>5</vt:i4>
      </vt:variant>
      <vt:variant>
        <vt:lpwstr>http://www.gallilex.cfwb.be/fr/leg_res_01.php?ncda=34365&amp;referant=l02&amp;bck_ncda=34365&amp;bck_referant=l00</vt:lpwstr>
      </vt:variant>
      <vt:variant>
        <vt:lpwstr/>
      </vt:variant>
      <vt:variant>
        <vt:i4>458785</vt:i4>
      </vt:variant>
      <vt:variant>
        <vt:i4>3008</vt:i4>
      </vt:variant>
      <vt:variant>
        <vt:i4>0</vt:i4>
      </vt:variant>
      <vt:variant>
        <vt:i4>5</vt:i4>
      </vt:variant>
      <vt:variant>
        <vt:lpwstr>http://www.enseignement.be/index.php?page=26823&amp;do_id=430</vt:lpwstr>
      </vt:variant>
      <vt:variant>
        <vt:lpwstr/>
      </vt:variant>
      <vt:variant>
        <vt:i4>6881385</vt:i4>
      </vt:variant>
      <vt:variant>
        <vt:i4>3005</vt:i4>
      </vt:variant>
      <vt:variant>
        <vt:i4>0</vt:i4>
      </vt:variant>
      <vt:variant>
        <vt:i4>5</vt:i4>
      </vt:variant>
      <vt:variant>
        <vt:lpwstr>http://www.gallilex.cfwb.be/fr/leg_res_01.php?ncda=16356&amp;referant=l02&amp;bck_ncda=16356&amp;bck_referant=l00</vt:lpwstr>
      </vt:variant>
      <vt:variant>
        <vt:lpwstr/>
      </vt:variant>
      <vt:variant>
        <vt:i4>5046274</vt:i4>
      </vt:variant>
      <vt:variant>
        <vt:i4>3002</vt:i4>
      </vt:variant>
      <vt:variant>
        <vt:i4>0</vt:i4>
      </vt:variant>
      <vt:variant>
        <vt:i4>5</vt:i4>
      </vt:variant>
      <vt:variant>
        <vt:lpwstr>http://www.gallilex.cfwb.be/fr/leg_res_01.php?ncda=21557&amp;referant=l01</vt:lpwstr>
      </vt:variant>
      <vt:variant>
        <vt:lpwstr/>
      </vt:variant>
      <vt:variant>
        <vt:i4>4784137</vt:i4>
      </vt:variant>
      <vt:variant>
        <vt:i4>2999</vt:i4>
      </vt:variant>
      <vt:variant>
        <vt:i4>0</vt:i4>
      </vt:variant>
      <vt:variant>
        <vt:i4>5</vt:i4>
      </vt:variant>
      <vt:variant>
        <vt:lpwstr>http://www.gallilex.cfwb.be/fr/leg_res_01.php?ncda=18673&amp;referant=l01</vt:lpwstr>
      </vt:variant>
      <vt:variant>
        <vt:lpwstr/>
      </vt:variant>
      <vt:variant>
        <vt:i4>7274522</vt:i4>
      </vt:variant>
      <vt:variant>
        <vt:i4>2996</vt:i4>
      </vt:variant>
      <vt:variant>
        <vt:i4>0</vt:i4>
      </vt:variant>
      <vt:variant>
        <vt:i4>5</vt:i4>
      </vt:variant>
      <vt:variant>
        <vt:lpwstr/>
      </vt:variant>
      <vt:variant>
        <vt:lpwstr>Annexe_223</vt:lpwstr>
      </vt:variant>
      <vt:variant>
        <vt:i4>5636139</vt:i4>
      </vt:variant>
      <vt:variant>
        <vt:i4>2993</vt:i4>
      </vt:variant>
      <vt:variant>
        <vt:i4>0</vt:i4>
      </vt:variant>
      <vt:variant>
        <vt:i4>5</vt:i4>
      </vt:variant>
      <vt:variant>
        <vt:lpwstr/>
      </vt:variant>
      <vt:variant>
        <vt:lpwstr>Chapitre2_4</vt:lpwstr>
      </vt:variant>
      <vt:variant>
        <vt:i4>3997724</vt:i4>
      </vt:variant>
      <vt:variant>
        <vt:i4>2990</vt:i4>
      </vt:variant>
      <vt:variant>
        <vt:i4>0</vt:i4>
      </vt:variant>
      <vt:variant>
        <vt:i4>5</vt:i4>
      </vt:variant>
      <vt:variant>
        <vt:lpwstr/>
      </vt:variant>
      <vt:variant>
        <vt:lpwstr>Annexe_24A</vt:lpwstr>
      </vt:variant>
      <vt:variant>
        <vt:i4>5636139</vt:i4>
      </vt:variant>
      <vt:variant>
        <vt:i4>2987</vt:i4>
      </vt:variant>
      <vt:variant>
        <vt:i4>0</vt:i4>
      </vt:variant>
      <vt:variant>
        <vt:i4>5</vt:i4>
      </vt:variant>
      <vt:variant>
        <vt:lpwstr/>
      </vt:variant>
      <vt:variant>
        <vt:lpwstr>Chapitre2_4</vt:lpwstr>
      </vt:variant>
      <vt:variant>
        <vt:i4>4128795</vt:i4>
      </vt:variant>
      <vt:variant>
        <vt:i4>2984</vt:i4>
      </vt:variant>
      <vt:variant>
        <vt:i4>0</vt:i4>
      </vt:variant>
      <vt:variant>
        <vt:i4>5</vt:i4>
      </vt:variant>
      <vt:variant>
        <vt:lpwstr/>
      </vt:variant>
      <vt:variant>
        <vt:lpwstr>Annexe_23C</vt:lpwstr>
      </vt:variant>
      <vt:variant>
        <vt:i4>4063259</vt:i4>
      </vt:variant>
      <vt:variant>
        <vt:i4>2981</vt:i4>
      </vt:variant>
      <vt:variant>
        <vt:i4>0</vt:i4>
      </vt:variant>
      <vt:variant>
        <vt:i4>5</vt:i4>
      </vt:variant>
      <vt:variant>
        <vt:lpwstr/>
      </vt:variant>
      <vt:variant>
        <vt:lpwstr>Annexe_23B</vt:lpwstr>
      </vt:variant>
      <vt:variant>
        <vt:i4>3997723</vt:i4>
      </vt:variant>
      <vt:variant>
        <vt:i4>2978</vt:i4>
      </vt:variant>
      <vt:variant>
        <vt:i4>0</vt:i4>
      </vt:variant>
      <vt:variant>
        <vt:i4>5</vt:i4>
      </vt:variant>
      <vt:variant>
        <vt:lpwstr/>
      </vt:variant>
      <vt:variant>
        <vt:lpwstr>Annexe_23A</vt:lpwstr>
      </vt:variant>
      <vt:variant>
        <vt:i4>8273</vt:i4>
      </vt:variant>
      <vt:variant>
        <vt:i4>2975</vt:i4>
      </vt:variant>
      <vt:variant>
        <vt:i4>0</vt:i4>
      </vt:variant>
      <vt:variant>
        <vt:i4>5</vt:i4>
      </vt:variant>
      <vt:variant>
        <vt:lpwstr/>
      </vt:variant>
      <vt:variant>
        <vt:lpwstr>_2.3.2._Dans_l’enseignement</vt:lpwstr>
      </vt:variant>
      <vt:variant>
        <vt:i4>204881</vt:i4>
      </vt:variant>
      <vt:variant>
        <vt:i4>2972</vt:i4>
      </vt:variant>
      <vt:variant>
        <vt:i4>0</vt:i4>
      </vt:variant>
      <vt:variant>
        <vt:i4>5</vt:i4>
      </vt:variant>
      <vt:variant>
        <vt:lpwstr/>
      </vt:variant>
      <vt:variant>
        <vt:lpwstr>_2.3.1._Dans_l’enseignement</vt:lpwstr>
      </vt:variant>
      <vt:variant>
        <vt:i4>4063259</vt:i4>
      </vt:variant>
      <vt:variant>
        <vt:i4>2969</vt:i4>
      </vt:variant>
      <vt:variant>
        <vt:i4>0</vt:i4>
      </vt:variant>
      <vt:variant>
        <vt:i4>5</vt:i4>
      </vt:variant>
      <vt:variant>
        <vt:lpwstr/>
      </vt:variant>
      <vt:variant>
        <vt:lpwstr>Annexe_23B</vt:lpwstr>
      </vt:variant>
      <vt:variant>
        <vt:i4>3997723</vt:i4>
      </vt:variant>
      <vt:variant>
        <vt:i4>2966</vt:i4>
      </vt:variant>
      <vt:variant>
        <vt:i4>0</vt:i4>
      </vt:variant>
      <vt:variant>
        <vt:i4>5</vt:i4>
      </vt:variant>
      <vt:variant>
        <vt:lpwstr/>
      </vt:variant>
      <vt:variant>
        <vt:lpwstr>Annexe_23A</vt:lpwstr>
      </vt:variant>
      <vt:variant>
        <vt:i4>4128795</vt:i4>
      </vt:variant>
      <vt:variant>
        <vt:i4>2963</vt:i4>
      </vt:variant>
      <vt:variant>
        <vt:i4>0</vt:i4>
      </vt:variant>
      <vt:variant>
        <vt:i4>5</vt:i4>
      </vt:variant>
      <vt:variant>
        <vt:lpwstr/>
      </vt:variant>
      <vt:variant>
        <vt:lpwstr>Annexe_23C</vt:lpwstr>
      </vt:variant>
      <vt:variant>
        <vt:i4>5636139</vt:i4>
      </vt:variant>
      <vt:variant>
        <vt:i4>2960</vt:i4>
      </vt:variant>
      <vt:variant>
        <vt:i4>0</vt:i4>
      </vt:variant>
      <vt:variant>
        <vt:i4>5</vt:i4>
      </vt:variant>
      <vt:variant>
        <vt:lpwstr/>
      </vt:variant>
      <vt:variant>
        <vt:lpwstr>chapitre2_3</vt:lpwstr>
      </vt:variant>
      <vt:variant>
        <vt:i4>3932186</vt:i4>
      </vt:variant>
      <vt:variant>
        <vt:i4>2957</vt:i4>
      </vt:variant>
      <vt:variant>
        <vt:i4>0</vt:i4>
      </vt:variant>
      <vt:variant>
        <vt:i4>5</vt:i4>
      </vt:variant>
      <vt:variant>
        <vt:lpwstr/>
      </vt:variant>
      <vt:variant>
        <vt:lpwstr>Annexe_62D</vt:lpwstr>
      </vt:variant>
      <vt:variant>
        <vt:i4>3866650</vt:i4>
      </vt:variant>
      <vt:variant>
        <vt:i4>2954</vt:i4>
      </vt:variant>
      <vt:variant>
        <vt:i4>0</vt:i4>
      </vt:variant>
      <vt:variant>
        <vt:i4>5</vt:i4>
      </vt:variant>
      <vt:variant>
        <vt:lpwstr/>
      </vt:variant>
      <vt:variant>
        <vt:lpwstr>Annexe_62C</vt:lpwstr>
      </vt:variant>
      <vt:variant>
        <vt:i4>3801114</vt:i4>
      </vt:variant>
      <vt:variant>
        <vt:i4>2951</vt:i4>
      </vt:variant>
      <vt:variant>
        <vt:i4>0</vt:i4>
      </vt:variant>
      <vt:variant>
        <vt:i4>5</vt:i4>
      </vt:variant>
      <vt:variant>
        <vt:lpwstr/>
      </vt:variant>
      <vt:variant>
        <vt:lpwstr>Annexe_62B</vt:lpwstr>
      </vt:variant>
      <vt:variant>
        <vt:i4>3735578</vt:i4>
      </vt:variant>
      <vt:variant>
        <vt:i4>2948</vt:i4>
      </vt:variant>
      <vt:variant>
        <vt:i4>0</vt:i4>
      </vt:variant>
      <vt:variant>
        <vt:i4>5</vt:i4>
      </vt:variant>
      <vt:variant>
        <vt:lpwstr/>
      </vt:variant>
      <vt:variant>
        <vt:lpwstr>Annexe_62A</vt:lpwstr>
      </vt:variant>
      <vt:variant>
        <vt:i4>4718615</vt:i4>
      </vt:variant>
      <vt:variant>
        <vt:i4>2945</vt:i4>
      </vt:variant>
      <vt:variant>
        <vt:i4>0</vt:i4>
      </vt:variant>
      <vt:variant>
        <vt:i4>5</vt:i4>
      </vt:variant>
      <vt:variant>
        <vt:lpwstr/>
      </vt:variant>
      <vt:variant>
        <vt:lpwstr>Section2_2_6</vt:lpwstr>
      </vt:variant>
      <vt:variant>
        <vt:i4>8192031</vt:i4>
      </vt:variant>
      <vt:variant>
        <vt:i4>2942</vt:i4>
      </vt:variant>
      <vt:variant>
        <vt:i4>0</vt:i4>
      </vt:variant>
      <vt:variant>
        <vt:i4>5</vt:i4>
      </vt:variant>
      <vt:variant>
        <vt:lpwstr/>
      </vt:variant>
      <vt:variant>
        <vt:lpwstr>_3.2.4._Cours_d'adaptation</vt:lpwstr>
      </vt:variant>
      <vt:variant>
        <vt:i4>7077904</vt:i4>
      </vt:variant>
      <vt:variant>
        <vt:i4>2939</vt:i4>
      </vt:variant>
      <vt:variant>
        <vt:i4>0</vt:i4>
      </vt:variant>
      <vt:variant>
        <vt:i4>5</vt:i4>
      </vt:variant>
      <vt:variant>
        <vt:lpwstr/>
      </vt:variant>
      <vt:variant>
        <vt:lpwstr>_3.4.1._Nombre_d'emplois</vt:lpwstr>
      </vt:variant>
      <vt:variant>
        <vt:i4>4718615</vt:i4>
      </vt:variant>
      <vt:variant>
        <vt:i4>2936</vt:i4>
      </vt:variant>
      <vt:variant>
        <vt:i4>0</vt:i4>
      </vt:variant>
      <vt:variant>
        <vt:i4>5</vt:i4>
      </vt:variant>
      <vt:variant>
        <vt:lpwstr/>
      </vt:variant>
      <vt:variant>
        <vt:lpwstr>Section2_2_6</vt:lpwstr>
      </vt:variant>
      <vt:variant>
        <vt:i4>8192031</vt:i4>
      </vt:variant>
      <vt:variant>
        <vt:i4>2933</vt:i4>
      </vt:variant>
      <vt:variant>
        <vt:i4>0</vt:i4>
      </vt:variant>
      <vt:variant>
        <vt:i4>5</vt:i4>
      </vt:variant>
      <vt:variant>
        <vt:lpwstr/>
      </vt:variant>
      <vt:variant>
        <vt:lpwstr>_3.2.4._Cours_d'adaptation</vt:lpwstr>
      </vt:variant>
      <vt:variant>
        <vt:i4>4718615</vt:i4>
      </vt:variant>
      <vt:variant>
        <vt:i4>2930</vt:i4>
      </vt:variant>
      <vt:variant>
        <vt:i4>0</vt:i4>
      </vt:variant>
      <vt:variant>
        <vt:i4>5</vt:i4>
      </vt:variant>
      <vt:variant>
        <vt:lpwstr/>
      </vt:variant>
      <vt:variant>
        <vt:lpwstr>Section2_2_6</vt:lpwstr>
      </vt:variant>
      <vt:variant>
        <vt:i4>11272347</vt:i4>
      </vt:variant>
      <vt:variant>
        <vt:i4>2927</vt:i4>
      </vt:variant>
      <vt:variant>
        <vt:i4>0</vt:i4>
      </vt:variant>
      <vt:variant>
        <vt:i4>5</vt:i4>
      </vt:variant>
      <vt:variant>
        <vt:lpwstr/>
      </vt:variant>
      <vt:variant>
        <vt:lpwstr>_6.2.2.2._Deuxième_catégorie:</vt:lpwstr>
      </vt:variant>
      <vt:variant>
        <vt:i4>11337856</vt:i4>
      </vt:variant>
      <vt:variant>
        <vt:i4>2924</vt:i4>
      </vt:variant>
      <vt:variant>
        <vt:i4>0</vt:i4>
      </vt:variant>
      <vt:variant>
        <vt:i4>5</vt:i4>
      </vt:variant>
      <vt:variant>
        <vt:lpwstr/>
      </vt:variant>
      <vt:variant>
        <vt:lpwstr>_6.2.2.1._Première_catégorie:</vt:lpwstr>
      </vt:variant>
      <vt:variant>
        <vt:i4>4849687</vt:i4>
      </vt:variant>
      <vt:variant>
        <vt:i4>2921</vt:i4>
      </vt:variant>
      <vt:variant>
        <vt:i4>0</vt:i4>
      </vt:variant>
      <vt:variant>
        <vt:i4>5</vt:i4>
      </vt:variant>
      <vt:variant>
        <vt:lpwstr/>
      </vt:variant>
      <vt:variant>
        <vt:lpwstr>Section3_2_5</vt:lpwstr>
      </vt:variant>
      <vt:variant>
        <vt:i4>7995464</vt:i4>
      </vt:variant>
      <vt:variant>
        <vt:i4>2918</vt:i4>
      </vt:variant>
      <vt:variant>
        <vt:i4>0</vt:i4>
      </vt:variant>
      <vt:variant>
        <vt:i4>5</vt:i4>
      </vt:variant>
      <vt:variant>
        <vt:lpwstr/>
      </vt:variant>
      <vt:variant>
        <vt:lpwstr>Section6_2_2_2</vt:lpwstr>
      </vt:variant>
      <vt:variant>
        <vt:i4>7995464</vt:i4>
      </vt:variant>
      <vt:variant>
        <vt:i4>2915</vt:i4>
      </vt:variant>
      <vt:variant>
        <vt:i4>0</vt:i4>
      </vt:variant>
      <vt:variant>
        <vt:i4>5</vt:i4>
      </vt:variant>
      <vt:variant>
        <vt:lpwstr/>
      </vt:variant>
      <vt:variant>
        <vt:lpwstr>Section6_2_2_2</vt:lpwstr>
      </vt:variant>
      <vt:variant>
        <vt:i4>7929928</vt:i4>
      </vt:variant>
      <vt:variant>
        <vt:i4>2912</vt:i4>
      </vt:variant>
      <vt:variant>
        <vt:i4>0</vt:i4>
      </vt:variant>
      <vt:variant>
        <vt:i4>5</vt:i4>
      </vt:variant>
      <vt:variant>
        <vt:lpwstr/>
      </vt:variant>
      <vt:variant>
        <vt:lpwstr>Section6_2_2_1</vt:lpwstr>
      </vt:variant>
      <vt:variant>
        <vt:i4>7078001</vt:i4>
      </vt:variant>
      <vt:variant>
        <vt:i4>2909</vt:i4>
      </vt:variant>
      <vt:variant>
        <vt:i4>0</vt:i4>
      </vt:variant>
      <vt:variant>
        <vt:i4>5</vt:i4>
      </vt:variant>
      <vt:variant>
        <vt:lpwstr/>
      </vt:variant>
      <vt:variant>
        <vt:lpwstr>_2.2.3.__</vt:lpwstr>
      </vt:variant>
      <vt:variant>
        <vt:i4>5636138</vt:i4>
      </vt:variant>
      <vt:variant>
        <vt:i4>2906</vt:i4>
      </vt:variant>
      <vt:variant>
        <vt:i4>0</vt:i4>
      </vt:variant>
      <vt:variant>
        <vt:i4>5</vt:i4>
      </vt:variant>
      <vt:variant>
        <vt:lpwstr/>
      </vt:variant>
      <vt:variant>
        <vt:lpwstr>Chapitre3_4</vt:lpwstr>
      </vt:variant>
      <vt:variant>
        <vt:i4>5636138</vt:i4>
      </vt:variant>
      <vt:variant>
        <vt:i4>2903</vt:i4>
      </vt:variant>
      <vt:variant>
        <vt:i4>0</vt:i4>
      </vt:variant>
      <vt:variant>
        <vt:i4>5</vt:i4>
      </vt:variant>
      <vt:variant>
        <vt:lpwstr/>
      </vt:variant>
      <vt:variant>
        <vt:lpwstr>Chapitre3_2</vt:lpwstr>
      </vt:variant>
      <vt:variant>
        <vt:i4>2097161</vt:i4>
      </vt:variant>
      <vt:variant>
        <vt:i4>2900</vt:i4>
      </vt:variant>
      <vt:variant>
        <vt:i4>0</vt:i4>
      </vt:variant>
      <vt:variant>
        <vt:i4>5</vt:i4>
      </vt:variant>
      <vt:variant>
        <vt:lpwstr/>
      </vt:variant>
      <vt:variant>
        <vt:lpwstr>_Chapitre_3.1._Programmation_</vt:lpwstr>
      </vt:variant>
      <vt:variant>
        <vt:i4>6881385</vt:i4>
      </vt:variant>
      <vt:variant>
        <vt:i4>2897</vt:i4>
      </vt:variant>
      <vt:variant>
        <vt:i4>0</vt:i4>
      </vt:variant>
      <vt:variant>
        <vt:i4>5</vt:i4>
      </vt:variant>
      <vt:variant>
        <vt:lpwstr>http://www.gallilex.cfwb.be/fr/leg_res_01.php?ncda=37785&amp;referant=l02&amp;bck_ncda=37785&amp;bck_referant=l00</vt:lpwstr>
      </vt:variant>
      <vt:variant>
        <vt:lpwstr/>
      </vt:variant>
      <vt:variant>
        <vt:i4>1638425</vt:i4>
      </vt:variant>
      <vt:variant>
        <vt:i4>2894</vt:i4>
      </vt:variant>
      <vt:variant>
        <vt:i4>0</vt:i4>
      </vt:variant>
      <vt:variant>
        <vt:i4>5</vt:i4>
      </vt:variant>
      <vt:variant>
        <vt:lpwstr>http://www.enseignement.be/index.php?page=26823&amp;do_id=855http://www.enseignement.be/index.php?page=26823&amp;do_id=855</vt:lpwstr>
      </vt:variant>
      <vt:variant>
        <vt:lpwstr/>
      </vt:variant>
      <vt:variant>
        <vt:i4>6881385</vt:i4>
      </vt:variant>
      <vt:variant>
        <vt:i4>2891</vt:i4>
      </vt:variant>
      <vt:variant>
        <vt:i4>0</vt:i4>
      </vt:variant>
      <vt:variant>
        <vt:i4>5</vt:i4>
      </vt:variant>
      <vt:variant>
        <vt:lpwstr>http://www.gallilex.cfwb.be/fr/leg_res_01.php?ncda=22229&amp;referant=l02&amp;bck_ncda=22229&amp;bck_referant=l00</vt:lpwstr>
      </vt:variant>
      <vt:variant>
        <vt:lpwstr/>
      </vt:variant>
      <vt:variant>
        <vt:i4>6881385</vt:i4>
      </vt:variant>
      <vt:variant>
        <vt:i4>2888</vt:i4>
      </vt:variant>
      <vt:variant>
        <vt:i4>0</vt:i4>
      </vt:variant>
      <vt:variant>
        <vt:i4>5</vt:i4>
      </vt:variant>
      <vt:variant>
        <vt:lpwstr>http://www.gallilex.cfwb.be/fr/leg_res_01.php?ncda=21557&amp;referant=l02&amp;bck_ncda=21557&amp;bck_referant=l00</vt:lpwstr>
      </vt:variant>
      <vt:variant>
        <vt:lpwstr/>
      </vt:variant>
      <vt:variant>
        <vt:i4>2621480</vt:i4>
      </vt:variant>
      <vt:variant>
        <vt:i4>2885</vt:i4>
      </vt:variant>
      <vt:variant>
        <vt:i4>0</vt:i4>
      </vt:variant>
      <vt:variant>
        <vt:i4>5</vt:i4>
      </vt:variant>
      <vt:variant>
        <vt:lpwstr>http://www.gallilex.cfwb.be/fr/leg_res_01.php?ncda=9547&amp;referant=l02&amp;bck_ncda=9547&amp;bck_referant=l00</vt:lpwstr>
      </vt:variant>
      <vt:variant>
        <vt:lpwstr/>
      </vt:variant>
      <vt:variant>
        <vt:i4>2687017</vt:i4>
      </vt:variant>
      <vt:variant>
        <vt:i4>2882</vt:i4>
      </vt:variant>
      <vt:variant>
        <vt:i4>0</vt:i4>
      </vt:variant>
      <vt:variant>
        <vt:i4>5</vt:i4>
      </vt:variant>
      <vt:variant>
        <vt:lpwstr>http://www.gallilex.cfwb.be/fr/leg_res_01.php?ncda=9676&amp;referant=l02&amp;bck_ncda=9676&amp;bck_referant=l00</vt:lpwstr>
      </vt:variant>
      <vt:variant>
        <vt:lpwstr/>
      </vt:variant>
      <vt:variant>
        <vt:i4>2818091</vt:i4>
      </vt:variant>
      <vt:variant>
        <vt:i4>2879</vt:i4>
      </vt:variant>
      <vt:variant>
        <vt:i4>0</vt:i4>
      </vt:variant>
      <vt:variant>
        <vt:i4>5</vt:i4>
      </vt:variant>
      <vt:variant>
        <vt:lpwstr>http://www.gallilex.cfwb.be/fr/leg_res_01.php?ncda=5108&amp;referant=l02&amp;bck_ncda=5108&amp;bck_referant=l00</vt:lpwstr>
      </vt:variant>
      <vt:variant>
        <vt:lpwstr/>
      </vt:variant>
      <vt:variant>
        <vt:i4>6881385</vt:i4>
      </vt:variant>
      <vt:variant>
        <vt:i4>2876</vt:i4>
      </vt:variant>
      <vt:variant>
        <vt:i4>0</vt:i4>
      </vt:variant>
      <vt:variant>
        <vt:i4>5</vt:i4>
      </vt:variant>
      <vt:variant>
        <vt:lpwstr>http://www.gallilex.cfwb.be/fr/leg_res_01.php?ncda=31317&amp;referant=l02&amp;bck_ncda=31317&amp;bck_referant=l00</vt:lpwstr>
      </vt:variant>
      <vt:variant>
        <vt:lpwstr/>
      </vt:variant>
      <vt:variant>
        <vt:i4>6881385</vt:i4>
      </vt:variant>
      <vt:variant>
        <vt:i4>2873</vt:i4>
      </vt:variant>
      <vt:variant>
        <vt:i4>0</vt:i4>
      </vt:variant>
      <vt:variant>
        <vt:i4>5</vt:i4>
      </vt:variant>
      <vt:variant>
        <vt:lpwstr>http://www.gallilex.cfwb.be/fr/leg_res_01.php?ncda=30959&amp;referant=l02&amp;bck_ncda=30959&amp;bck_referant=l00</vt:lpwstr>
      </vt:variant>
      <vt:variant>
        <vt:lpwstr/>
      </vt:variant>
      <vt:variant>
        <vt:i4>6881385</vt:i4>
      </vt:variant>
      <vt:variant>
        <vt:i4>2870</vt:i4>
      </vt:variant>
      <vt:variant>
        <vt:i4>0</vt:i4>
      </vt:variant>
      <vt:variant>
        <vt:i4>5</vt:i4>
      </vt:variant>
      <vt:variant>
        <vt:lpwstr>http://www.gallilex.cfwb.be/fr/leg_res_01.php?ncda=23278&amp;referant=l02&amp;bck_ncda=23278&amp;bck_referant=l00</vt:lpwstr>
      </vt:variant>
      <vt:variant>
        <vt:lpwstr/>
      </vt:variant>
      <vt:variant>
        <vt:i4>6881385</vt:i4>
      </vt:variant>
      <vt:variant>
        <vt:i4>2867</vt:i4>
      </vt:variant>
      <vt:variant>
        <vt:i4>0</vt:i4>
      </vt:variant>
      <vt:variant>
        <vt:i4>5</vt:i4>
      </vt:variant>
      <vt:variant>
        <vt:lpwstr>http://www.gallilex.cfwb.be/fr/leg_res_01.php?ncda=21557&amp;referant=l02&amp;bck_ncda=21557&amp;bck_referant=l00</vt:lpwstr>
      </vt:variant>
      <vt:variant>
        <vt:lpwstr/>
      </vt:variant>
      <vt:variant>
        <vt:i4>2621480</vt:i4>
      </vt:variant>
      <vt:variant>
        <vt:i4>2864</vt:i4>
      </vt:variant>
      <vt:variant>
        <vt:i4>0</vt:i4>
      </vt:variant>
      <vt:variant>
        <vt:i4>5</vt:i4>
      </vt:variant>
      <vt:variant>
        <vt:lpwstr>http://www.gallilex.cfwb.be/fr/leg_res_01.php?ncda=9547&amp;referant=l02&amp;bck_ncda=9547&amp;bck_referant=l00</vt:lpwstr>
      </vt:variant>
      <vt:variant>
        <vt:lpwstr/>
      </vt:variant>
      <vt:variant>
        <vt:i4>3866656</vt:i4>
      </vt:variant>
      <vt:variant>
        <vt:i4>2861</vt:i4>
      </vt:variant>
      <vt:variant>
        <vt:i4>0</vt:i4>
      </vt:variant>
      <vt:variant>
        <vt:i4>5</vt:i4>
      </vt:variant>
      <vt:variant>
        <vt:lpwstr/>
      </vt:variant>
      <vt:variant>
        <vt:lpwstr>_3.2.7._Reliquat__</vt:lpwstr>
      </vt:variant>
      <vt:variant>
        <vt:i4>6881385</vt:i4>
      </vt:variant>
      <vt:variant>
        <vt:i4>2858</vt:i4>
      </vt:variant>
      <vt:variant>
        <vt:i4>0</vt:i4>
      </vt:variant>
      <vt:variant>
        <vt:i4>5</vt:i4>
      </vt:variant>
      <vt:variant>
        <vt:lpwstr>http://www.gallilex.cfwb.be/fr/leg_res_01.php?ncda=22229&amp;referant=l02&amp;bck_ncda=22229&amp;bck_referant=l00</vt:lpwstr>
      </vt:variant>
      <vt:variant>
        <vt:lpwstr/>
      </vt:variant>
      <vt:variant>
        <vt:i4>6881385</vt:i4>
      </vt:variant>
      <vt:variant>
        <vt:i4>2855</vt:i4>
      </vt:variant>
      <vt:variant>
        <vt:i4>0</vt:i4>
      </vt:variant>
      <vt:variant>
        <vt:i4>5</vt:i4>
      </vt:variant>
      <vt:variant>
        <vt:lpwstr>http://www.gallilex.cfwb.be/fr/leg_res_01.php?ncda=21557&amp;referant=l02&amp;bck_ncda=21557&amp;bck_referant=l00</vt:lpwstr>
      </vt:variant>
      <vt:variant>
        <vt:lpwstr/>
      </vt:variant>
      <vt:variant>
        <vt:i4>6881385</vt:i4>
      </vt:variant>
      <vt:variant>
        <vt:i4>2852</vt:i4>
      </vt:variant>
      <vt:variant>
        <vt:i4>0</vt:i4>
      </vt:variant>
      <vt:variant>
        <vt:i4>5</vt:i4>
      </vt:variant>
      <vt:variant>
        <vt:lpwstr>http://www.gallilex.cfwb.be/fr/leg_res_01.php?ncda=22229&amp;referant=l02&amp;bck_ncda=22229&amp;bck_referant=l00</vt:lpwstr>
      </vt:variant>
      <vt:variant>
        <vt:lpwstr/>
      </vt:variant>
      <vt:variant>
        <vt:i4>7274524</vt:i4>
      </vt:variant>
      <vt:variant>
        <vt:i4>2849</vt:i4>
      </vt:variant>
      <vt:variant>
        <vt:i4>0</vt:i4>
      </vt:variant>
      <vt:variant>
        <vt:i4>5</vt:i4>
      </vt:variant>
      <vt:variant>
        <vt:lpwstr/>
      </vt:variant>
      <vt:variant>
        <vt:lpwstr>Annexe_342</vt:lpwstr>
      </vt:variant>
      <vt:variant>
        <vt:i4>4587626</vt:i4>
      </vt:variant>
      <vt:variant>
        <vt:i4>2846</vt:i4>
      </vt:variant>
      <vt:variant>
        <vt:i4>0</vt:i4>
      </vt:variant>
      <vt:variant>
        <vt:i4>5</vt:i4>
      </vt:variant>
      <vt:variant>
        <vt:lpwstr/>
      </vt:variant>
      <vt:variant>
        <vt:lpwstr>_3.4.4._Augmentations_de</vt:lpwstr>
      </vt:variant>
      <vt:variant>
        <vt:i4>4063260</vt:i4>
      </vt:variant>
      <vt:variant>
        <vt:i4>2843</vt:i4>
      </vt:variant>
      <vt:variant>
        <vt:i4>0</vt:i4>
      </vt:variant>
      <vt:variant>
        <vt:i4>5</vt:i4>
      </vt:variant>
      <vt:variant>
        <vt:lpwstr/>
      </vt:variant>
      <vt:variant>
        <vt:lpwstr>Annexe_44D</vt:lpwstr>
      </vt:variant>
      <vt:variant>
        <vt:i4>3735580</vt:i4>
      </vt:variant>
      <vt:variant>
        <vt:i4>2840</vt:i4>
      </vt:variant>
      <vt:variant>
        <vt:i4>0</vt:i4>
      </vt:variant>
      <vt:variant>
        <vt:i4>5</vt:i4>
      </vt:variant>
      <vt:variant>
        <vt:lpwstr/>
      </vt:variant>
      <vt:variant>
        <vt:lpwstr>Annexe_44C</vt:lpwstr>
      </vt:variant>
      <vt:variant>
        <vt:i4>4456566</vt:i4>
      </vt:variant>
      <vt:variant>
        <vt:i4>2837</vt:i4>
      </vt:variant>
      <vt:variant>
        <vt:i4>0</vt:i4>
      </vt:variant>
      <vt:variant>
        <vt:i4>5</vt:i4>
      </vt:variant>
      <vt:variant>
        <vt:lpwstr/>
      </vt:variant>
      <vt:variant>
        <vt:lpwstr>_4.4.4._Apprentissage_par</vt:lpwstr>
      </vt:variant>
      <vt:variant>
        <vt:i4>6881385</vt:i4>
      </vt:variant>
      <vt:variant>
        <vt:i4>2834</vt:i4>
      </vt:variant>
      <vt:variant>
        <vt:i4>0</vt:i4>
      </vt:variant>
      <vt:variant>
        <vt:i4>5</vt:i4>
      </vt:variant>
      <vt:variant>
        <vt:lpwstr>http://www.gallilex.cfwb.be/fr/leg_res_01.php?ncda=33928&amp;referant=l02&amp;bck_ncda=33928&amp;bck_referant=l00</vt:lpwstr>
      </vt:variant>
      <vt:variant>
        <vt:lpwstr/>
      </vt:variant>
      <vt:variant>
        <vt:i4>6881385</vt:i4>
      </vt:variant>
      <vt:variant>
        <vt:i4>2831</vt:i4>
      </vt:variant>
      <vt:variant>
        <vt:i4>0</vt:i4>
      </vt:variant>
      <vt:variant>
        <vt:i4>5</vt:i4>
      </vt:variant>
      <vt:variant>
        <vt:lpwstr>http://www.gallilex.cfwb.be/fr/leg_res_01.php?ncda=22229&amp;referant=l02&amp;bck_ncda=22229&amp;bck_referant=l00</vt:lpwstr>
      </vt:variant>
      <vt:variant>
        <vt:lpwstr/>
      </vt:variant>
      <vt:variant>
        <vt:i4>3670044</vt:i4>
      </vt:variant>
      <vt:variant>
        <vt:i4>2827</vt:i4>
      </vt:variant>
      <vt:variant>
        <vt:i4>0</vt:i4>
      </vt:variant>
      <vt:variant>
        <vt:i4>5</vt:i4>
      </vt:variant>
      <vt:variant>
        <vt:lpwstr/>
      </vt:variant>
      <vt:variant>
        <vt:lpwstr>Annexe_44B</vt:lpwstr>
      </vt:variant>
      <vt:variant>
        <vt:i4>3670044</vt:i4>
      </vt:variant>
      <vt:variant>
        <vt:i4>2825</vt:i4>
      </vt:variant>
      <vt:variant>
        <vt:i4>0</vt:i4>
      </vt:variant>
      <vt:variant>
        <vt:i4>5</vt:i4>
      </vt:variant>
      <vt:variant>
        <vt:lpwstr/>
      </vt:variant>
      <vt:variant>
        <vt:lpwstr>Annexe_44B</vt:lpwstr>
      </vt:variant>
      <vt:variant>
        <vt:i4>3866652</vt:i4>
      </vt:variant>
      <vt:variant>
        <vt:i4>2822</vt:i4>
      </vt:variant>
      <vt:variant>
        <vt:i4>0</vt:i4>
      </vt:variant>
      <vt:variant>
        <vt:i4>5</vt:i4>
      </vt:variant>
      <vt:variant>
        <vt:lpwstr/>
      </vt:variant>
      <vt:variant>
        <vt:lpwstr>Annexe_44A</vt:lpwstr>
      </vt:variant>
      <vt:variant>
        <vt:i4>2162702</vt:i4>
      </vt:variant>
      <vt:variant>
        <vt:i4>2819</vt:i4>
      </vt:variant>
      <vt:variant>
        <vt:i4>0</vt:i4>
      </vt:variant>
      <vt:variant>
        <vt:i4>5</vt:i4>
      </vt:variant>
      <vt:variant>
        <vt:lpwstr/>
      </vt:variant>
      <vt:variant>
        <vt:lpwstr>_4.4.3.4._organisation_et</vt:lpwstr>
      </vt:variant>
      <vt:variant>
        <vt:i4>3670044</vt:i4>
      </vt:variant>
      <vt:variant>
        <vt:i4>2816</vt:i4>
      </vt:variant>
      <vt:variant>
        <vt:i4>0</vt:i4>
      </vt:variant>
      <vt:variant>
        <vt:i4>5</vt:i4>
      </vt:variant>
      <vt:variant>
        <vt:lpwstr/>
      </vt:variant>
      <vt:variant>
        <vt:lpwstr>Annexe_44B</vt:lpwstr>
      </vt:variant>
      <vt:variant>
        <vt:i4>3866652</vt:i4>
      </vt:variant>
      <vt:variant>
        <vt:i4>2813</vt:i4>
      </vt:variant>
      <vt:variant>
        <vt:i4>0</vt:i4>
      </vt:variant>
      <vt:variant>
        <vt:i4>5</vt:i4>
      </vt:variant>
      <vt:variant>
        <vt:lpwstr/>
      </vt:variant>
      <vt:variant>
        <vt:lpwstr>Annexe_44A</vt:lpwstr>
      </vt:variant>
      <vt:variant>
        <vt:i4>9109565</vt:i4>
      </vt:variant>
      <vt:variant>
        <vt:i4>2810</vt:i4>
      </vt:variant>
      <vt:variant>
        <vt:i4>0</vt:i4>
      </vt:variant>
      <vt:variant>
        <vt:i4>5</vt:i4>
      </vt:variant>
      <vt:variant>
        <vt:lpwstr/>
      </vt:variant>
      <vt:variant>
        <vt:lpwstr>_4.4.3.6._Modalités_à</vt:lpwstr>
      </vt:variant>
      <vt:variant>
        <vt:i4>2621448</vt:i4>
      </vt:variant>
      <vt:variant>
        <vt:i4>2807</vt:i4>
      </vt:variant>
      <vt:variant>
        <vt:i4>0</vt:i4>
      </vt:variant>
      <vt:variant>
        <vt:i4>5</vt:i4>
      </vt:variant>
      <vt:variant>
        <vt:lpwstr/>
      </vt:variant>
      <vt:variant>
        <vt:lpwstr>_4.4.1._Cours_obligatoires</vt:lpwstr>
      </vt:variant>
      <vt:variant>
        <vt:i4>3407980</vt:i4>
      </vt:variant>
      <vt:variant>
        <vt:i4>2804</vt:i4>
      </vt:variant>
      <vt:variant>
        <vt:i4>0</vt:i4>
      </vt:variant>
      <vt:variant>
        <vt:i4>5</vt:i4>
      </vt:variant>
      <vt:variant>
        <vt:lpwstr/>
      </vt:variant>
      <vt:variant>
        <vt:lpwstr>_4.4.3.5._Grille-horaire</vt:lpwstr>
      </vt:variant>
      <vt:variant>
        <vt:i4>2162702</vt:i4>
      </vt:variant>
      <vt:variant>
        <vt:i4>2801</vt:i4>
      </vt:variant>
      <vt:variant>
        <vt:i4>0</vt:i4>
      </vt:variant>
      <vt:variant>
        <vt:i4>5</vt:i4>
      </vt:variant>
      <vt:variant>
        <vt:lpwstr/>
      </vt:variant>
      <vt:variant>
        <vt:lpwstr>_4.4.3.4._organisation_et</vt:lpwstr>
      </vt:variant>
      <vt:variant>
        <vt:i4>7864411</vt:i4>
      </vt:variant>
      <vt:variant>
        <vt:i4>2798</vt:i4>
      </vt:variant>
      <vt:variant>
        <vt:i4>0</vt:i4>
      </vt:variant>
      <vt:variant>
        <vt:i4>5</vt:i4>
      </vt:variant>
      <vt:variant>
        <vt:lpwstr/>
      </vt:variant>
      <vt:variant>
        <vt:lpwstr>_1.1.3._Socles_de</vt:lpwstr>
      </vt:variant>
      <vt:variant>
        <vt:i4>6881385</vt:i4>
      </vt:variant>
      <vt:variant>
        <vt:i4>2795</vt:i4>
      </vt:variant>
      <vt:variant>
        <vt:i4>0</vt:i4>
      </vt:variant>
      <vt:variant>
        <vt:i4>5</vt:i4>
      </vt:variant>
      <vt:variant>
        <vt:lpwstr>http://www.gallilex.cfwb.be/fr/leg_res_01.php?ncda=32365&amp;referant=l02&amp;bck_ncda=32365&amp;bck_referant=l00</vt:lpwstr>
      </vt:variant>
      <vt:variant>
        <vt:lpwstr/>
      </vt:variant>
      <vt:variant>
        <vt:i4>2883587</vt:i4>
      </vt:variant>
      <vt:variant>
        <vt:i4>2792</vt:i4>
      </vt:variant>
      <vt:variant>
        <vt:i4>0</vt:i4>
      </vt:variant>
      <vt:variant>
        <vt:i4>5</vt:i4>
      </vt:variant>
      <vt:variant>
        <vt:lpwstr/>
      </vt:variant>
      <vt:variant>
        <vt:lpwstr>_4.2.3._Horaire_des</vt:lpwstr>
      </vt:variant>
      <vt:variant>
        <vt:i4>6881385</vt:i4>
      </vt:variant>
      <vt:variant>
        <vt:i4>2789</vt:i4>
      </vt:variant>
      <vt:variant>
        <vt:i4>0</vt:i4>
      </vt:variant>
      <vt:variant>
        <vt:i4>5</vt:i4>
      </vt:variant>
      <vt:variant>
        <vt:lpwstr>http://www.gallilex.cfwb.be/fr/leg_res_01.php?ncda=22229&amp;referant=l02&amp;bck_ncda=22229&amp;bck_referant=l00</vt:lpwstr>
      </vt:variant>
      <vt:variant>
        <vt:lpwstr/>
      </vt:variant>
      <vt:variant>
        <vt:i4>1048665</vt:i4>
      </vt:variant>
      <vt:variant>
        <vt:i4>2786</vt:i4>
      </vt:variant>
      <vt:variant>
        <vt:i4>0</vt:i4>
      </vt:variant>
      <vt:variant>
        <vt:i4>5</vt:i4>
      </vt:variant>
      <vt:variant>
        <vt:lpwstr>http://www.gallilex.cfwb.be/fr/leg_res_00.php?ncda=3440&amp;referant=l00</vt:lpwstr>
      </vt:variant>
      <vt:variant>
        <vt:lpwstr/>
      </vt:variant>
      <vt:variant>
        <vt:i4>2818091</vt:i4>
      </vt:variant>
      <vt:variant>
        <vt:i4>2783</vt:i4>
      </vt:variant>
      <vt:variant>
        <vt:i4>0</vt:i4>
      </vt:variant>
      <vt:variant>
        <vt:i4>5</vt:i4>
      </vt:variant>
      <vt:variant>
        <vt:lpwstr>http://www.gallilex.cfwb.be/fr/leg_res_01.php?ncda=4329&amp;referant=l02&amp;bck_ncda=4329&amp;bck_referant=l00</vt:lpwstr>
      </vt:variant>
      <vt:variant>
        <vt:lpwstr/>
      </vt:variant>
      <vt:variant>
        <vt:i4>6881385</vt:i4>
      </vt:variant>
      <vt:variant>
        <vt:i4>2780</vt:i4>
      </vt:variant>
      <vt:variant>
        <vt:i4>0</vt:i4>
      </vt:variant>
      <vt:variant>
        <vt:i4>5</vt:i4>
      </vt:variant>
      <vt:variant>
        <vt:lpwstr>http://www.gallilex.cfwb.be/fr/leg_res_01.php?ncda=41979&amp;referant=l02&amp;bck_ncda=41979&amp;bck_referant=l00</vt:lpwstr>
      </vt:variant>
      <vt:variant>
        <vt:lpwstr/>
      </vt:variant>
      <vt:variant>
        <vt:i4>6881385</vt:i4>
      </vt:variant>
      <vt:variant>
        <vt:i4>2777</vt:i4>
      </vt:variant>
      <vt:variant>
        <vt:i4>0</vt:i4>
      </vt:variant>
      <vt:variant>
        <vt:i4>5</vt:i4>
      </vt:variant>
      <vt:variant>
        <vt:lpwstr>http://www.gallilex.cfwb.be/fr/leg_res_01.php?ncda=21557&amp;referant=l02&amp;bck_ncda=21557&amp;bck_referant=l00</vt:lpwstr>
      </vt:variant>
      <vt:variant>
        <vt:lpwstr/>
      </vt:variant>
      <vt:variant>
        <vt:i4>6881385</vt:i4>
      </vt:variant>
      <vt:variant>
        <vt:i4>2774</vt:i4>
      </vt:variant>
      <vt:variant>
        <vt:i4>0</vt:i4>
      </vt:variant>
      <vt:variant>
        <vt:i4>5</vt:i4>
      </vt:variant>
      <vt:variant>
        <vt:lpwstr>http://www.gallilex.cfwb.be/fr/leg_res_01.php?ncda=22229&amp;referant=l02&amp;bck_ncda=22229&amp;bck_referant=l00</vt:lpwstr>
      </vt:variant>
      <vt:variant>
        <vt:lpwstr/>
      </vt:variant>
      <vt:variant>
        <vt:i4>2818091</vt:i4>
      </vt:variant>
      <vt:variant>
        <vt:i4>2771</vt:i4>
      </vt:variant>
      <vt:variant>
        <vt:i4>0</vt:i4>
      </vt:variant>
      <vt:variant>
        <vt:i4>5</vt:i4>
      </vt:variant>
      <vt:variant>
        <vt:lpwstr>http://www.gallilex.cfwb.be/fr/leg_res_01.php?ncda=5108&amp;referant=l02&amp;bck_ncda=5108&amp;bck_referant=l00</vt:lpwstr>
      </vt:variant>
      <vt:variant>
        <vt:lpwstr/>
      </vt:variant>
      <vt:variant>
        <vt:i4>12189705</vt:i4>
      </vt:variant>
      <vt:variant>
        <vt:i4>2768</vt:i4>
      </vt:variant>
      <vt:variant>
        <vt:i4>0</vt:i4>
      </vt:variant>
      <vt:variant>
        <vt:i4>5</vt:i4>
      </vt:variant>
      <vt:variant>
        <vt:lpwstr/>
      </vt:variant>
      <vt:variant>
        <vt:lpwstr>_1.1.4._Activités_obligatoires_</vt:lpwstr>
      </vt:variant>
      <vt:variant>
        <vt:i4>7864411</vt:i4>
      </vt:variant>
      <vt:variant>
        <vt:i4>2765</vt:i4>
      </vt:variant>
      <vt:variant>
        <vt:i4>0</vt:i4>
      </vt:variant>
      <vt:variant>
        <vt:i4>5</vt:i4>
      </vt:variant>
      <vt:variant>
        <vt:lpwstr/>
      </vt:variant>
      <vt:variant>
        <vt:lpwstr>_1.1.3._Socles_de</vt:lpwstr>
      </vt:variant>
      <vt:variant>
        <vt:i4>6881385</vt:i4>
      </vt:variant>
      <vt:variant>
        <vt:i4>2762</vt:i4>
      </vt:variant>
      <vt:variant>
        <vt:i4>0</vt:i4>
      </vt:variant>
      <vt:variant>
        <vt:i4>5</vt:i4>
      </vt:variant>
      <vt:variant>
        <vt:lpwstr>http://www.gallilex.cfwb.be/fr/leg_res_01.php?ncda=21557&amp;referant=l02&amp;bck_ncda=21557&amp;bck_referant=l00</vt:lpwstr>
      </vt:variant>
      <vt:variant>
        <vt:lpwstr/>
      </vt:variant>
      <vt:variant>
        <vt:i4>6881385</vt:i4>
      </vt:variant>
      <vt:variant>
        <vt:i4>2759</vt:i4>
      </vt:variant>
      <vt:variant>
        <vt:i4>0</vt:i4>
      </vt:variant>
      <vt:variant>
        <vt:i4>5</vt:i4>
      </vt:variant>
      <vt:variant>
        <vt:lpwstr>http://www.gallilex.cfwb.be/fr/leg_res_01.php?ncda=22229&amp;referant=l02&amp;bck_ncda=22229&amp;bck_referant=l00</vt:lpwstr>
      </vt:variant>
      <vt:variant>
        <vt:lpwstr/>
      </vt:variant>
      <vt:variant>
        <vt:i4>6881385</vt:i4>
      </vt:variant>
      <vt:variant>
        <vt:i4>2756</vt:i4>
      </vt:variant>
      <vt:variant>
        <vt:i4>0</vt:i4>
      </vt:variant>
      <vt:variant>
        <vt:i4>5</vt:i4>
      </vt:variant>
      <vt:variant>
        <vt:lpwstr>http://www.gallilex.cfwb.be/fr/leg_res_01.php?ncda=41733&amp;referant=l02&amp;bck_ncda=41733&amp;bck_referant=l00</vt:lpwstr>
      </vt:variant>
      <vt:variant>
        <vt:lpwstr/>
      </vt:variant>
      <vt:variant>
        <vt:i4>6881385</vt:i4>
      </vt:variant>
      <vt:variant>
        <vt:i4>2753</vt:i4>
      </vt:variant>
      <vt:variant>
        <vt:i4>0</vt:i4>
      </vt:variant>
      <vt:variant>
        <vt:i4>5</vt:i4>
      </vt:variant>
      <vt:variant>
        <vt:lpwstr>http://www.gallilex.cfwb.be/fr/leg_res_01.php?ncda=10330&amp;referant=l02&amp;bck_ncda=10330&amp;bck_referant=l00</vt:lpwstr>
      </vt:variant>
      <vt:variant>
        <vt:lpwstr/>
      </vt:variant>
      <vt:variant>
        <vt:i4>6881385</vt:i4>
      </vt:variant>
      <vt:variant>
        <vt:i4>2750</vt:i4>
      </vt:variant>
      <vt:variant>
        <vt:i4>0</vt:i4>
      </vt:variant>
      <vt:variant>
        <vt:i4>5</vt:i4>
      </vt:variant>
      <vt:variant>
        <vt:lpwstr>http://www.gallilex.cfwb.be/fr/leg_res_01.php?ncda=22229&amp;referant=l02&amp;bck_ncda=22229&amp;bck_referant=l00</vt:lpwstr>
      </vt:variant>
      <vt:variant>
        <vt:lpwstr/>
      </vt:variant>
      <vt:variant>
        <vt:i4>7209021</vt:i4>
      </vt:variant>
      <vt:variant>
        <vt:i4>2747</vt:i4>
      </vt:variant>
      <vt:variant>
        <vt:i4>0</vt:i4>
      </vt:variant>
      <vt:variant>
        <vt:i4>5</vt:i4>
      </vt:variant>
      <vt:variant>
        <vt:lpwstr/>
      </vt:variant>
      <vt:variant>
        <vt:lpwstr>_3.4.3._Demi-emplois</vt:lpwstr>
      </vt:variant>
      <vt:variant>
        <vt:i4>3866656</vt:i4>
      </vt:variant>
      <vt:variant>
        <vt:i4>2744</vt:i4>
      </vt:variant>
      <vt:variant>
        <vt:i4>0</vt:i4>
      </vt:variant>
      <vt:variant>
        <vt:i4>5</vt:i4>
      </vt:variant>
      <vt:variant>
        <vt:lpwstr/>
      </vt:variant>
      <vt:variant>
        <vt:lpwstr>_3.2.7._Reliquat__</vt:lpwstr>
      </vt:variant>
      <vt:variant>
        <vt:i4>3866656</vt:i4>
      </vt:variant>
      <vt:variant>
        <vt:i4>2741</vt:i4>
      </vt:variant>
      <vt:variant>
        <vt:i4>0</vt:i4>
      </vt:variant>
      <vt:variant>
        <vt:i4>5</vt:i4>
      </vt:variant>
      <vt:variant>
        <vt:lpwstr/>
      </vt:variant>
      <vt:variant>
        <vt:lpwstr>_3.2.7._Reliquat__</vt:lpwstr>
      </vt:variant>
      <vt:variant>
        <vt:i4>4653079</vt:i4>
      </vt:variant>
      <vt:variant>
        <vt:i4>2738</vt:i4>
      </vt:variant>
      <vt:variant>
        <vt:i4>0</vt:i4>
      </vt:variant>
      <vt:variant>
        <vt:i4>5</vt:i4>
      </vt:variant>
      <vt:variant>
        <vt:lpwstr/>
      </vt:variant>
      <vt:variant>
        <vt:lpwstr>Section3_2_8</vt:lpwstr>
      </vt:variant>
      <vt:variant>
        <vt:i4>7077904</vt:i4>
      </vt:variant>
      <vt:variant>
        <vt:i4>2735</vt:i4>
      </vt:variant>
      <vt:variant>
        <vt:i4>0</vt:i4>
      </vt:variant>
      <vt:variant>
        <vt:i4>5</vt:i4>
      </vt:variant>
      <vt:variant>
        <vt:lpwstr/>
      </vt:variant>
      <vt:variant>
        <vt:lpwstr>_3.4.1._Nombre_d'emplois</vt:lpwstr>
      </vt:variant>
      <vt:variant>
        <vt:i4>14221357</vt:i4>
      </vt:variant>
      <vt:variant>
        <vt:i4>2732</vt:i4>
      </vt:variant>
      <vt:variant>
        <vt:i4>0</vt:i4>
      </vt:variant>
      <vt:variant>
        <vt:i4>5</vt:i4>
      </vt:variant>
      <vt:variant>
        <vt:lpwstr/>
      </vt:variant>
      <vt:variant>
        <vt:lpwstr>_3.2.1._Capital-périodes_et</vt:lpwstr>
      </vt:variant>
      <vt:variant>
        <vt:i4>6881385</vt:i4>
      </vt:variant>
      <vt:variant>
        <vt:i4>2729</vt:i4>
      </vt:variant>
      <vt:variant>
        <vt:i4>0</vt:i4>
      </vt:variant>
      <vt:variant>
        <vt:i4>5</vt:i4>
      </vt:variant>
      <vt:variant>
        <vt:lpwstr>http://www.gallilex.cfwb.be/fr/leg_res_01.php?ncda=19664&amp;referant=l02&amp;bck_ncda=19664&amp;bck_referant=l00</vt:lpwstr>
      </vt:variant>
      <vt:variant>
        <vt:lpwstr/>
      </vt:variant>
      <vt:variant>
        <vt:i4>6881385</vt:i4>
      </vt:variant>
      <vt:variant>
        <vt:i4>2726</vt:i4>
      </vt:variant>
      <vt:variant>
        <vt:i4>0</vt:i4>
      </vt:variant>
      <vt:variant>
        <vt:i4>5</vt:i4>
      </vt:variant>
      <vt:variant>
        <vt:lpwstr>http://www.gallilex.cfwb.be/fr/leg_res_01.php?ncda=19291&amp;referant=l02&amp;bck_ncda=19291&amp;bck_referant=l00</vt:lpwstr>
      </vt:variant>
      <vt:variant>
        <vt:lpwstr/>
      </vt:variant>
      <vt:variant>
        <vt:i4>6881385</vt:i4>
      </vt:variant>
      <vt:variant>
        <vt:i4>2723</vt:i4>
      </vt:variant>
      <vt:variant>
        <vt:i4>0</vt:i4>
      </vt:variant>
      <vt:variant>
        <vt:i4>5</vt:i4>
      </vt:variant>
      <vt:variant>
        <vt:lpwstr>http://www.gallilex.cfwb.be/fr/leg_res_01.php?ncda=21557&amp;referant=l02&amp;bck_ncda=21557&amp;bck_referant=l00</vt:lpwstr>
      </vt:variant>
      <vt:variant>
        <vt:lpwstr/>
      </vt:variant>
      <vt:variant>
        <vt:i4>6881385</vt:i4>
      </vt:variant>
      <vt:variant>
        <vt:i4>2720</vt:i4>
      </vt:variant>
      <vt:variant>
        <vt:i4>0</vt:i4>
      </vt:variant>
      <vt:variant>
        <vt:i4>5</vt:i4>
      </vt:variant>
      <vt:variant>
        <vt:lpwstr>http://www.gallilex.cfwb.be/fr/leg_res_01.php?ncda=22229&amp;referant=l02&amp;bck_ncda=22229&amp;bck_referant=l00</vt:lpwstr>
      </vt:variant>
      <vt:variant>
        <vt:lpwstr/>
      </vt:variant>
      <vt:variant>
        <vt:i4>7208988</vt:i4>
      </vt:variant>
      <vt:variant>
        <vt:i4>2717</vt:i4>
      </vt:variant>
      <vt:variant>
        <vt:i4>0</vt:i4>
      </vt:variant>
      <vt:variant>
        <vt:i4>5</vt:i4>
      </vt:variant>
      <vt:variant>
        <vt:lpwstr/>
      </vt:variant>
      <vt:variant>
        <vt:lpwstr>Annexe_343</vt:lpwstr>
      </vt:variant>
      <vt:variant>
        <vt:i4>4980759</vt:i4>
      </vt:variant>
      <vt:variant>
        <vt:i4>2714</vt:i4>
      </vt:variant>
      <vt:variant>
        <vt:i4>0</vt:i4>
      </vt:variant>
      <vt:variant>
        <vt:i4>5</vt:i4>
      </vt:variant>
      <vt:variant>
        <vt:lpwstr/>
      </vt:variant>
      <vt:variant>
        <vt:lpwstr>Section3_4_5</vt:lpwstr>
      </vt:variant>
      <vt:variant>
        <vt:i4>7208988</vt:i4>
      </vt:variant>
      <vt:variant>
        <vt:i4>2711</vt:i4>
      </vt:variant>
      <vt:variant>
        <vt:i4>0</vt:i4>
      </vt:variant>
      <vt:variant>
        <vt:i4>5</vt:i4>
      </vt:variant>
      <vt:variant>
        <vt:lpwstr/>
      </vt:variant>
      <vt:variant>
        <vt:lpwstr>Annexe_343</vt:lpwstr>
      </vt:variant>
      <vt:variant>
        <vt:i4>7209072</vt:i4>
      </vt:variant>
      <vt:variant>
        <vt:i4>2708</vt:i4>
      </vt:variant>
      <vt:variant>
        <vt:i4>0</vt:i4>
      </vt:variant>
      <vt:variant>
        <vt:i4>5</vt:i4>
      </vt:variant>
      <vt:variant>
        <vt:lpwstr/>
      </vt:variant>
      <vt:variant>
        <vt:lpwstr>annexe3_4_5</vt:lpwstr>
      </vt:variant>
      <vt:variant>
        <vt:i4>5111831</vt:i4>
      </vt:variant>
      <vt:variant>
        <vt:i4>2705</vt:i4>
      </vt:variant>
      <vt:variant>
        <vt:i4>0</vt:i4>
      </vt:variant>
      <vt:variant>
        <vt:i4>5</vt:i4>
      </vt:variant>
      <vt:variant>
        <vt:lpwstr/>
      </vt:variant>
      <vt:variant>
        <vt:lpwstr>Section3_4_7</vt:lpwstr>
      </vt:variant>
      <vt:variant>
        <vt:i4>5898246</vt:i4>
      </vt:variant>
      <vt:variant>
        <vt:i4>2702</vt:i4>
      </vt:variant>
      <vt:variant>
        <vt:i4>0</vt:i4>
      </vt:variant>
      <vt:variant>
        <vt:i4>5</vt:i4>
      </vt:variant>
      <vt:variant>
        <vt:lpwstr/>
      </vt:variant>
      <vt:variant>
        <vt:lpwstr>Tableau3_4_1</vt:lpwstr>
      </vt:variant>
      <vt:variant>
        <vt:i4>7077904</vt:i4>
      </vt:variant>
      <vt:variant>
        <vt:i4>2699</vt:i4>
      </vt:variant>
      <vt:variant>
        <vt:i4>0</vt:i4>
      </vt:variant>
      <vt:variant>
        <vt:i4>5</vt:i4>
      </vt:variant>
      <vt:variant>
        <vt:lpwstr/>
      </vt:variant>
      <vt:variant>
        <vt:lpwstr>_3.4.1._Nombre_d'emplois</vt:lpwstr>
      </vt:variant>
      <vt:variant>
        <vt:i4>5636138</vt:i4>
      </vt:variant>
      <vt:variant>
        <vt:i4>2696</vt:i4>
      </vt:variant>
      <vt:variant>
        <vt:i4>0</vt:i4>
      </vt:variant>
      <vt:variant>
        <vt:i4>5</vt:i4>
      </vt:variant>
      <vt:variant>
        <vt:lpwstr/>
      </vt:variant>
      <vt:variant>
        <vt:lpwstr>chapitre3_5</vt:lpwstr>
      </vt:variant>
      <vt:variant>
        <vt:i4>5701764</vt:i4>
      </vt:variant>
      <vt:variant>
        <vt:i4>2693</vt:i4>
      </vt:variant>
      <vt:variant>
        <vt:i4>0</vt:i4>
      </vt:variant>
      <vt:variant>
        <vt:i4>5</vt:i4>
      </vt:variant>
      <vt:variant>
        <vt:lpwstr/>
      </vt:variant>
      <vt:variant>
        <vt:lpwstr>_3.2.6._Direction_d'école_</vt:lpwstr>
      </vt:variant>
      <vt:variant>
        <vt:i4>4718615</vt:i4>
      </vt:variant>
      <vt:variant>
        <vt:i4>2690</vt:i4>
      </vt:variant>
      <vt:variant>
        <vt:i4>0</vt:i4>
      </vt:variant>
      <vt:variant>
        <vt:i4>5</vt:i4>
      </vt:variant>
      <vt:variant>
        <vt:lpwstr/>
      </vt:variant>
      <vt:variant>
        <vt:lpwstr>Section2_2_6</vt:lpwstr>
      </vt:variant>
      <vt:variant>
        <vt:i4>5111831</vt:i4>
      </vt:variant>
      <vt:variant>
        <vt:i4>2687</vt:i4>
      </vt:variant>
      <vt:variant>
        <vt:i4>0</vt:i4>
      </vt:variant>
      <vt:variant>
        <vt:i4>5</vt:i4>
      </vt:variant>
      <vt:variant>
        <vt:lpwstr/>
      </vt:variant>
      <vt:variant>
        <vt:lpwstr>Section6_2_4</vt:lpwstr>
      </vt:variant>
      <vt:variant>
        <vt:i4>4849669</vt:i4>
      </vt:variant>
      <vt:variant>
        <vt:i4>2684</vt:i4>
      </vt:variant>
      <vt:variant>
        <vt:i4>0</vt:i4>
      </vt:variant>
      <vt:variant>
        <vt:i4>5</vt:i4>
      </vt:variant>
      <vt:variant>
        <vt:lpwstr>http://www.gallilex.cfwb.be/fr/leg_res_00.php?ncda=37753&amp;referant=l00</vt:lpwstr>
      </vt:variant>
      <vt:variant>
        <vt:lpwstr/>
      </vt:variant>
      <vt:variant>
        <vt:i4>4784139</vt:i4>
      </vt:variant>
      <vt:variant>
        <vt:i4>2681</vt:i4>
      </vt:variant>
      <vt:variant>
        <vt:i4>0</vt:i4>
      </vt:variant>
      <vt:variant>
        <vt:i4>5</vt:i4>
      </vt:variant>
      <vt:variant>
        <vt:lpwstr>http://www.gallilex.cfwb.be/fr/leg_res_01.php?ncda=34295&amp;referant=l01</vt:lpwstr>
      </vt:variant>
      <vt:variant>
        <vt:lpwstr/>
      </vt:variant>
      <vt:variant>
        <vt:i4>6881385</vt:i4>
      </vt:variant>
      <vt:variant>
        <vt:i4>2678</vt:i4>
      </vt:variant>
      <vt:variant>
        <vt:i4>0</vt:i4>
      </vt:variant>
      <vt:variant>
        <vt:i4>5</vt:i4>
      </vt:variant>
      <vt:variant>
        <vt:lpwstr>http://www.gallilex.cfwb.be/fr/leg_res_01.php?ncda=22229&amp;referant=l02&amp;bck_ncda=22229&amp;bck_referant=l00</vt:lpwstr>
      </vt:variant>
      <vt:variant>
        <vt:lpwstr/>
      </vt:variant>
      <vt:variant>
        <vt:i4>7077915</vt:i4>
      </vt:variant>
      <vt:variant>
        <vt:i4>2675</vt:i4>
      </vt:variant>
      <vt:variant>
        <vt:i4>0</vt:i4>
      </vt:variant>
      <vt:variant>
        <vt:i4>5</vt:i4>
      </vt:variant>
      <vt:variant>
        <vt:lpwstr/>
      </vt:variant>
      <vt:variant>
        <vt:lpwstr>Annexe_331</vt:lpwstr>
      </vt:variant>
      <vt:variant>
        <vt:i4>7208987</vt:i4>
      </vt:variant>
      <vt:variant>
        <vt:i4>2672</vt:i4>
      </vt:variant>
      <vt:variant>
        <vt:i4>0</vt:i4>
      </vt:variant>
      <vt:variant>
        <vt:i4>5</vt:i4>
      </vt:variant>
      <vt:variant>
        <vt:lpwstr/>
      </vt:variant>
      <vt:variant>
        <vt:lpwstr>Annexe_333</vt:lpwstr>
      </vt:variant>
      <vt:variant>
        <vt:i4>7274523</vt:i4>
      </vt:variant>
      <vt:variant>
        <vt:i4>2669</vt:i4>
      </vt:variant>
      <vt:variant>
        <vt:i4>0</vt:i4>
      </vt:variant>
      <vt:variant>
        <vt:i4>5</vt:i4>
      </vt:variant>
      <vt:variant>
        <vt:lpwstr/>
      </vt:variant>
      <vt:variant>
        <vt:lpwstr>Annexe_332</vt:lpwstr>
      </vt:variant>
      <vt:variant>
        <vt:i4>7077915</vt:i4>
      </vt:variant>
      <vt:variant>
        <vt:i4>2666</vt:i4>
      </vt:variant>
      <vt:variant>
        <vt:i4>0</vt:i4>
      </vt:variant>
      <vt:variant>
        <vt:i4>5</vt:i4>
      </vt:variant>
      <vt:variant>
        <vt:lpwstr/>
      </vt:variant>
      <vt:variant>
        <vt:lpwstr>Annexe_331</vt:lpwstr>
      </vt:variant>
      <vt:variant>
        <vt:i4>7209072</vt:i4>
      </vt:variant>
      <vt:variant>
        <vt:i4>2663</vt:i4>
      </vt:variant>
      <vt:variant>
        <vt:i4>0</vt:i4>
      </vt:variant>
      <vt:variant>
        <vt:i4>5</vt:i4>
      </vt:variant>
      <vt:variant>
        <vt:lpwstr/>
      </vt:variant>
      <vt:variant>
        <vt:lpwstr>annexe3_4_4</vt:lpwstr>
      </vt:variant>
      <vt:variant>
        <vt:i4>7209072</vt:i4>
      </vt:variant>
      <vt:variant>
        <vt:i4>2660</vt:i4>
      </vt:variant>
      <vt:variant>
        <vt:i4>0</vt:i4>
      </vt:variant>
      <vt:variant>
        <vt:i4>5</vt:i4>
      </vt:variant>
      <vt:variant>
        <vt:lpwstr/>
      </vt:variant>
      <vt:variant>
        <vt:lpwstr>annexe3_4_5</vt:lpwstr>
      </vt:variant>
      <vt:variant>
        <vt:i4>5636138</vt:i4>
      </vt:variant>
      <vt:variant>
        <vt:i4>2657</vt:i4>
      </vt:variant>
      <vt:variant>
        <vt:i4>0</vt:i4>
      </vt:variant>
      <vt:variant>
        <vt:i4>5</vt:i4>
      </vt:variant>
      <vt:variant>
        <vt:lpwstr/>
      </vt:variant>
      <vt:variant>
        <vt:lpwstr>chapitre3_5</vt:lpwstr>
      </vt:variant>
      <vt:variant>
        <vt:i4>5636138</vt:i4>
      </vt:variant>
      <vt:variant>
        <vt:i4>2654</vt:i4>
      </vt:variant>
      <vt:variant>
        <vt:i4>0</vt:i4>
      </vt:variant>
      <vt:variant>
        <vt:i4>5</vt:i4>
      </vt:variant>
      <vt:variant>
        <vt:lpwstr/>
      </vt:variant>
      <vt:variant>
        <vt:lpwstr>chapitre3_5</vt:lpwstr>
      </vt:variant>
      <vt:variant>
        <vt:i4>655585</vt:i4>
      </vt:variant>
      <vt:variant>
        <vt:i4>2651</vt:i4>
      </vt:variant>
      <vt:variant>
        <vt:i4>0</vt:i4>
      </vt:variant>
      <vt:variant>
        <vt:i4>5</vt:i4>
      </vt:variant>
      <vt:variant>
        <vt:lpwstr/>
      </vt:variant>
      <vt:variant>
        <vt:lpwstr>_3.4.2._Direction_d'école</vt:lpwstr>
      </vt:variant>
      <vt:variant>
        <vt:i4>7077904</vt:i4>
      </vt:variant>
      <vt:variant>
        <vt:i4>2648</vt:i4>
      </vt:variant>
      <vt:variant>
        <vt:i4>0</vt:i4>
      </vt:variant>
      <vt:variant>
        <vt:i4>5</vt:i4>
      </vt:variant>
      <vt:variant>
        <vt:lpwstr/>
      </vt:variant>
      <vt:variant>
        <vt:lpwstr>_3.4.1._Nombre_d'emplois</vt:lpwstr>
      </vt:variant>
      <vt:variant>
        <vt:i4>7929928</vt:i4>
      </vt:variant>
      <vt:variant>
        <vt:i4>2645</vt:i4>
      </vt:variant>
      <vt:variant>
        <vt:i4>0</vt:i4>
      </vt:variant>
      <vt:variant>
        <vt:i4>5</vt:i4>
      </vt:variant>
      <vt:variant>
        <vt:lpwstr/>
      </vt:variant>
      <vt:variant>
        <vt:lpwstr>Section3_2_5_3</vt:lpwstr>
      </vt:variant>
      <vt:variant>
        <vt:i4>5636206</vt:i4>
      </vt:variant>
      <vt:variant>
        <vt:i4>2642</vt:i4>
      </vt:variant>
      <vt:variant>
        <vt:i4>0</vt:i4>
      </vt:variant>
      <vt:variant>
        <vt:i4>5</vt:i4>
      </vt:variant>
      <vt:variant>
        <vt:lpwstr/>
      </vt:variant>
      <vt:variant>
        <vt:lpwstr>_6.2.2._Documents_concernant</vt:lpwstr>
      </vt:variant>
      <vt:variant>
        <vt:i4>4718615</vt:i4>
      </vt:variant>
      <vt:variant>
        <vt:i4>2639</vt:i4>
      </vt:variant>
      <vt:variant>
        <vt:i4>0</vt:i4>
      </vt:variant>
      <vt:variant>
        <vt:i4>5</vt:i4>
      </vt:variant>
      <vt:variant>
        <vt:lpwstr/>
      </vt:variant>
      <vt:variant>
        <vt:lpwstr>Section2_2_6</vt:lpwstr>
      </vt:variant>
      <vt:variant>
        <vt:i4>4718615</vt:i4>
      </vt:variant>
      <vt:variant>
        <vt:i4>2636</vt:i4>
      </vt:variant>
      <vt:variant>
        <vt:i4>0</vt:i4>
      </vt:variant>
      <vt:variant>
        <vt:i4>5</vt:i4>
      </vt:variant>
      <vt:variant>
        <vt:lpwstr/>
      </vt:variant>
      <vt:variant>
        <vt:lpwstr>Section2_2_6</vt:lpwstr>
      </vt:variant>
      <vt:variant>
        <vt:i4>5636141</vt:i4>
      </vt:variant>
      <vt:variant>
        <vt:i4>2633</vt:i4>
      </vt:variant>
      <vt:variant>
        <vt:i4>0</vt:i4>
      </vt:variant>
      <vt:variant>
        <vt:i4>5</vt:i4>
      </vt:variant>
      <vt:variant>
        <vt:lpwstr/>
      </vt:variant>
      <vt:variant>
        <vt:lpwstr>Chapitre4_4</vt:lpwstr>
      </vt:variant>
      <vt:variant>
        <vt:i4>3866656</vt:i4>
      </vt:variant>
      <vt:variant>
        <vt:i4>2630</vt:i4>
      </vt:variant>
      <vt:variant>
        <vt:i4>0</vt:i4>
      </vt:variant>
      <vt:variant>
        <vt:i4>5</vt:i4>
      </vt:variant>
      <vt:variant>
        <vt:lpwstr/>
      </vt:variant>
      <vt:variant>
        <vt:lpwstr>_3.2.7._Reliquat__</vt:lpwstr>
      </vt:variant>
      <vt:variant>
        <vt:i4>14221357</vt:i4>
      </vt:variant>
      <vt:variant>
        <vt:i4>2627</vt:i4>
      </vt:variant>
      <vt:variant>
        <vt:i4>0</vt:i4>
      </vt:variant>
      <vt:variant>
        <vt:i4>5</vt:i4>
      </vt:variant>
      <vt:variant>
        <vt:lpwstr/>
      </vt:variant>
      <vt:variant>
        <vt:lpwstr>_3.2.1._Capital-périodes_et</vt:lpwstr>
      </vt:variant>
      <vt:variant>
        <vt:i4>5636138</vt:i4>
      </vt:variant>
      <vt:variant>
        <vt:i4>2624</vt:i4>
      </vt:variant>
      <vt:variant>
        <vt:i4>0</vt:i4>
      </vt:variant>
      <vt:variant>
        <vt:i4>5</vt:i4>
      </vt:variant>
      <vt:variant>
        <vt:lpwstr/>
      </vt:variant>
      <vt:variant>
        <vt:lpwstr>chapitre3_3</vt:lpwstr>
      </vt:variant>
      <vt:variant>
        <vt:i4>3473437</vt:i4>
      </vt:variant>
      <vt:variant>
        <vt:i4>2621</vt:i4>
      </vt:variant>
      <vt:variant>
        <vt:i4>0</vt:i4>
      </vt:variant>
      <vt:variant>
        <vt:i4>5</vt:i4>
      </vt:variant>
      <vt:variant>
        <vt:lpwstr>http://www.enseignement.be/index.php?page=26823&amp;do_id=1293</vt:lpwstr>
      </vt:variant>
      <vt:variant>
        <vt:lpwstr/>
      </vt:variant>
      <vt:variant>
        <vt:i4>3866656</vt:i4>
      </vt:variant>
      <vt:variant>
        <vt:i4>2618</vt:i4>
      </vt:variant>
      <vt:variant>
        <vt:i4>0</vt:i4>
      </vt:variant>
      <vt:variant>
        <vt:i4>5</vt:i4>
      </vt:variant>
      <vt:variant>
        <vt:lpwstr/>
      </vt:variant>
      <vt:variant>
        <vt:lpwstr>_3.2.7._Reliquat__</vt:lpwstr>
      </vt:variant>
      <vt:variant>
        <vt:i4>5177367</vt:i4>
      </vt:variant>
      <vt:variant>
        <vt:i4>2615</vt:i4>
      </vt:variant>
      <vt:variant>
        <vt:i4>0</vt:i4>
      </vt:variant>
      <vt:variant>
        <vt:i4>5</vt:i4>
      </vt:variant>
      <vt:variant>
        <vt:lpwstr/>
      </vt:variant>
      <vt:variant>
        <vt:lpwstr>Section6_2_5</vt:lpwstr>
      </vt:variant>
      <vt:variant>
        <vt:i4>2097243</vt:i4>
      </vt:variant>
      <vt:variant>
        <vt:i4>2612</vt:i4>
      </vt:variant>
      <vt:variant>
        <vt:i4>0</vt:i4>
      </vt:variant>
      <vt:variant>
        <vt:i4>5</vt:i4>
      </vt:variant>
      <vt:variant>
        <vt:lpwstr>mailto:secretariat.fondamental@cfwb.be</vt:lpwstr>
      </vt:variant>
      <vt:variant>
        <vt:lpwstr/>
      </vt:variant>
      <vt:variant>
        <vt:i4>15597647</vt:i4>
      </vt:variant>
      <vt:variant>
        <vt:i4>2609</vt:i4>
      </vt:variant>
      <vt:variant>
        <vt:i4>0</vt:i4>
      </vt:variant>
      <vt:variant>
        <vt:i4>5</vt:i4>
      </vt:variant>
      <vt:variant>
        <vt:lpwstr/>
      </vt:variant>
      <vt:variant>
        <vt:lpwstr>_3.2.3._Complément_de</vt:lpwstr>
      </vt:variant>
      <vt:variant>
        <vt:i4>4849687</vt:i4>
      </vt:variant>
      <vt:variant>
        <vt:i4>2606</vt:i4>
      </vt:variant>
      <vt:variant>
        <vt:i4>0</vt:i4>
      </vt:variant>
      <vt:variant>
        <vt:i4>5</vt:i4>
      </vt:variant>
      <vt:variant>
        <vt:lpwstr/>
      </vt:variant>
      <vt:variant>
        <vt:lpwstr>Section3_2_5</vt:lpwstr>
      </vt:variant>
      <vt:variant>
        <vt:i4>5111831</vt:i4>
      </vt:variant>
      <vt:variant>
        <vt:i4>2603</vt:i4>
      </vt:variant>
      <vt:variant>
        <vt:i4>0</vt:i4>
      </vt:variant>
      <vt:variant>
        <vt:i4>5</vt:i4>
      </vt:variant>
      <vt:variant>
        <vt:lpwstr/>
      </vt:variant>
      <vt:variant>
        <vt:lpwstr>section3_2_10</vt:lpwstr>
      </vt:variant>
      <vt:variant>
        <vt:i4>3801119</vt:i4>
      </vt:variant>
      <vt:variant>
        <vt:i4>2600</vt:i4>
      </vt:variant>
      <vt:variant>
        <vt:i4>0</vt:i4>
      </vt:variant>
      <vt:variant>
        <vt:i4>5</vt:i4>
      </vt:variant>
      <vt:variant>
        <vt:lpwstr>http://www.enseignement.be/index.php?page=26823&amp;do_id=3997</vt:lpwstr>
      </vt:variant>
      <vt:variant>
        <vt:lpwstr/>
      </vt:variant>
      <vt:variant>
        <vt:i4>2949218</vt:i4>
      </vt:variant>
      <vt:variant>
        <vt:i4>2597</vt:i4>
      </vt:variant>
      <vt:variant>
        <vt:i4>0</vt:i4>
      </vt:variant>
      <vt:variant>
        <vt:i4>5</vt:i4>
      </vt:variant>
      <vt:variant>
        <vt:lpwstr>http://www.am.cfwb.be/</vt:lpwstr>
      </vt:variant>
      <vt:variant>
        <vt:lpwstr/>
      </vt:variant>
      <vt:variant>
        <vt:i4>5111831</vt:i4>
      </vt:variant>
      <vt:variant>
        <vt:i4>2594</vt:i4>
      </vt:variant>
      <vt:variant>
        <vt:i4>0</vt:i4>
      </vt:variant>
      <vt:variant>
        <vt:i4>5</vt:i4>
      </vt:variant>
      <vt:variant>
        <vt:lpwstr/>
      </vt:variant>
      <vt:variant>
        <vt:lpwstr>section3_2_10</vt:lpwstr>
      </vt:variant>
      <vt:variant>
        <vt:i4>4849669</vt:i4>
      </vt:variant>
      <vt:variant>
        <vt:i4>2591</vt:i4>
      </vt:variant>
      <vt:variant>
        <vt:i4>0</vt:i4>
      </vt:variant>
      <vt:variant>
        <vt:i4>5</vt:i4>
      </vt:variant>
      <vt:variant>
        <vt:lpwstr>http://www.gallilex.cfwb.be/fr/leg_res_00.php?ncda=37753&amp;referant=l00</vt:lpwstr>
      </vt:variant>
      <vt:variant>
        <vt:lpwstr/>
      </vt:variant>
      <vt:variant>
        <vt:i4>4784139</vt:i4>
      </vt:variant>
      <vt:variant>
        <vt:i4>2588</vt:i4>
      </vt:variant>
      <vt:variant>
        <vt:i4>0</vt:i4>
      </vt:variant>
      <vt:variant>
        <vt:i4>5</vt:i4>
      </vt:variant>
      <vt:variant>
        <vt:lpwstr>http://www.gallilex.cfwb.be/fr/leg_res_01.php?ncda=34295&amp;referant=l01</vt:lpwstr>
      </vt:variant>
      <vt:variant>
        <vt:lpwstr/>
      </vt:variant>
      <vt:variant>
        <vt:i4>6881385</vt:i4>
      </vt:variant>
      <vt:variant>
        <vt:i4>2585</vt:i4>
      </vt:variant>
      <vt:variant>
        <vt:i4>0</vt:i4>
      </vt:variant>
      <vt:variant>
        <vt:i4>5</vt:i4>
      </vt:variant>
      <vt:variant>
        <vt:lpwstr>http://www.gallilex.cfwb.be/fr/leg_res_01.php?ncda=22229&amp;referant=l02&amp;bck_ncda=22229&amp;bck_referant=l00</vt:lpwstr>
      </vt:variant>
      <vt:variant>
        <vt:lpwstr/>
      </vt:variant>
      <vt:variant>
        <vt:i4>2555906</vt:i4>
      </vt:variant>
      <vt:variant>
        <vt:i4>2582</vt:i4>
      </vt:variant>
      <vt:variant>
        <vt:i4>0</vt:i4>
      </vt:variant>
      <vt:variant>
        <vt:i4>5</vt:i4>
      </vt:variant>
      <vt:variant>
        <vt:lpwstr/>
      </vt:variant>
      <vt:variant>
        <vt:lpwstr>_3.1.2.1.__Normes</vt:lpwstr>
      </vt:variant>
      <vt:variant>
        <vt:i4>2424860</vt:i4>
      </vt:variant>
      <vt:variant>
        <vt:i4>2579</vt:i4>
      </vt:variant>
      <vt:variant>
        <vt:i4>0</vt:i4>
      </vt:variant>
      <vt:variant>
        <vt:i4>5</vt:i4>
      </vt:variant>
      <vt:variant>
        <vt:lpwstr/>
      </vt:variant>
      <vt:variant>
        <vt:lpwstr>_3.1.3.3._Introduction_de</vt:lpwstr>
      </vt:variant>
      <vt:variant>
        <vt:i4>3932185</vt:i4>
      </vt:variant>
      <vt:variant>
        <vt:i4>2576</vt:i4>
      </vt:variant>
      <vt:variant>
        <vt:i4>0</vt:i4>
      </vt:variant>
      <vt:variant>
        <vt:i4>5</vt:i4>
      </vt:variant>
      <vt:variant>
        <vt:lpwstr/>
      </vt:variant>
      <vt:variant>
        <vt:lpwstr>Annexe_31A</vt:lpwstr>
      </vt:variant>
      <vt:variant>
        <vt:i4>2686981</vt:i4>
      </vt:variant>
      <vt:variant>
        <vt:i4>2573</vt:i4>
      </vt:variant>
      <vt:variant>
        <vt:i4>0</vt:i4>
      </vt:variant>
      <vt:variant>
        <vt:i4>5</vt:i4>
      </vt:variant>
      <vt:variant>
        <vt:lpwstr/>
      </vt:variant>
      <vt:variant>
        <vt:lpwstr>_Chapitre_1.2._Ecole_</vt:lpwstr>
      </vt:variant>
      <vt:variant>
        <vt:i4>3801116</vt:i4>
      </vt:variant>
      <vt:variant>
        <vt:i4>2570</vt:i4>
      </vt:variant>
      <vt:variant>
        <vt:i4>0</vt:i4>
      </vt:variant>
      <vt:variant>
        <vt:i4>5</vt:i4>
      </vt:variant>
      <vt:variant>
        <vt:lpwstr/>
      </vt:variant>
      <vt:variant>
        <vt:lpwstr>_Chapitre_1.1._Objectifs_</vt:lpwstr>
      </vt:variant>
      <vt:variant>
        <vt:i4>8192072</vt:i4>
      </vt:variant>
      <vt:variant>
        <vt:i4>2567</vt:i4>
      </vt:variant>
      <vt:variant>
        <vt:i4>0</vt:i4>
      </vt:variant>
      <vt:variant>
        <vt:i4>5</vt:i4>
      </vt:variant>
      <vt:variant>
        <vt:lpwstr/>
      </vt:variant>
      <vt:variant>
        <vt:lpwstr>Section3_1_3_2</vt:lpwstr>
      </vt:variant>
      <vt:variant>
        <vt:i4>8323144</vt:i4>
      </vt:variant>
      <vt:variant>
        <vt:i4>2564</vt:i4>
      </vt:variant>
      <vt:variant>
        <vt:i4>0</vt:i4>
      </vt:variant>
      <vt:variant>
        <vt:i4>5</vt:i4>
      </vt:variant>
      <vt:variant>
        <vt:lpwstr/>
      </vt:variant>
      <vt:variant>
        <vt:lpwstr>Section3_1_2_1</vt:lpwstr>
      </vt:variant>
      <vt:variant>
        <vt:i4>2686981</vt:i4>
      </vt:variant>
      <vt:variant>
        <vt:i4>2561</vt:i4>
      </vt:variant>
      <vt:variant>
        <vt:i4>0</vt:i4>
      </vt:variant>
      <vt:variant>
        <vt:i4>5</vt:i4>
      </vt:variant>
      <vt:variant>
        <vt:lpwstr/>
      </vt:variant>
      <vt:variant>
        <vt:lpwstr>_Chapitre_1.2._Ecole_</vt:lpwstr>
      </vt:variant>
      <vt:variant>
        <vt:i4>3801116</vt:i4>
      </vt:variant>
      <vt:variant>
        <vt:i4>2558</vt:i4>
      </vt:variant>
      <vt:variant>
        <vt:i4>0</vt:i4>
      </vt:variant>
      <vt:variant>
        <vt:i4>5</vt:i4>
      </vt:variant>
      <vt:variant>
        <vt:lpwstr/>
      </vt:variant>
      <vt:variant>
        <vt:lpwstr>_Chapitre_1.1._Objectifs_</vt:lpwstr>
      </vt:variant>
      <vt:variant>
        <vt:i4>1441841</vt:i4>
      </vt:variant>
      <vt:variant>
        <vt:i4>2555</vt:i4>
      </vt:variant>
      <vt:variant>
        <vt:i4>0</vt:i4>
      </vt:variant>
      <vt:variant>
        <vt:i4>5</vt:i4>
      </vt:variant>
      <vt:variant>
        <vt:lpwstr/>
      </vt:variant>
      <vt:variant>
        <vt:lpwstr>_2.5.1.__Justification</vt:lpwstr>
      </vt:variant>
      <vt:variant>
        <vt:i4>4128793</vt:i4>
      </vt:variant>
      <vt:variant>
        <vt:i4>2552</vt:i4>
      </vt:variant>
      <vt:variant>
        <vt:i4>0</vt:i4>
      </vt:variant>
      <vt:variant>
        <vt:i4>5</vt:i4>
      </vt:variant>
      <vt:variant>
        <vt:lpwstr/>
      </vt:variant>
      <vt:variant>
        <vt:lpwstr>Annexe_31B</vt:lpwstr>
      </vt:variant>
      <vt:variant>
        <vt:i4>3932185</vt:i4>
      </vt:variant>
      <vt:variant>
        <vt:i4>2549</vt:i4>
      </vt:variant>
      <vt:variant>
        <vt:i4>0</vt:i4>
      </vt:variant>
      <vt:variant>
        <vt:i4>5</vt:i4>
      </vt:variant>
      <vt:variant>
        <vt:lpwstr/>
      </vt:variant>
      <vt:variant>
        <vt:lpwstr>Annexe_31A</vt:lpwstr>
      </vt:variant>
      <vt:variant>
        <vt:i4>4718615</vt:i4>
      </vt:variant>
      <vt:variant>
        <vt:i4>2546</vt:i4>
      </vt:variant>
      <vt:variant>
        <vt:i4>0</vt:i4>
      </vt:variant>
      <vt:variant>
        <vt:i4>5</vt:i4>
      </vt:variant>
      <vt:variant>
        <vt:lpwstr/>
      </vt:variant>
      <vt:variant>
        <vt:lpwstr>section3_1_4</vt:lpwstr>
      </vt:variant>
      <vt:variant>
        <vt:i4>2818091</vt:i4>
      </vt:variant>
      <vt:variant>
        <vt:i4>2543</vt:i4>
      </vt:variant>
      <vt:variant>
        <vt:i4>0</vt:i4>
      </vt:variant>
      <vt:variant>
        <vt:i4>5</vt:i4>
      </vt:variant>
      <vt:variant>
        <vt:lpwstr>http://www.gallilex.cfwb.be/fr/leg_res_01.php?ncda=5108&amp;referant=l02&amp;bck_ncda=5108&amp;bck_referant=l00</vt:lpwstr>
      </vt:variant>
      <vt:variant>
        <vt:lpwstr/>
      </vt:variant>
      <vt:variant>
        <vt:i4>6881385</vt:i4>
      </vt:variant>
      <vt:variant>
        <vt:i4>2540</vt:i4>
      </vt:variant>
      <vt:variant>
        <vt:i4>0</vt:i4>
      </vt:variant>
      <vt:variant>
        <vt:i4>5</vt:i4>
      </vt:variant>
      <vt:variant>
        <vt:lpwstr>http://www.gallilex.cfwb.be/fr/leg_res_01.php?ncda=10436&amp;referant=l02&amp;bck_ncda=10436&amp;bck_referant=l00</vt:lpwstr>
      </vt:variant>
      <vt:variant>
        <vt:lpwstr/>
      </vt:variant>
      <vt:variant>
        <vt:i4>2031737</vt:i4>
      </vt:variant>
      <vt:variant>
        <vt:i4>2537</vt:i4>
      </vt:variant>
      <vt:variant>
        <vt:i4>0</vt:i4>
      </vt:variant>
      <vt:variant>
        <vt:i4>5</vt:i4>
      </vt:variant>
      <vt:variant>
        <vt:lpwstr>mailto:nathalie.dujardin@cfwb.be</vt:lpwstr>
      </vt:variant>
      <vt:variant>
        <vt:lpwstr/>
      </vt:variant>
      <vt:variant>
        <vt:i4>7864444</vt:i4>
      </vt:variant>
      <vt:variant>
        <vt:i4>2534</vt:i4>
      </vt:variant>
      <vt:variant>
        <vt:i4>0</vt:i4>
      </vt:variant>
      <vt:variant>
        <vt:i4>5</vt:i4>
      </vt:variant>
      <vt:variant>
        <vt:lpwstr>http://www.adm.cfwb.be/</vt:lpwstr>
      </vt:variant>
      <vt:variant>
        <vt:lpwstr/>
      </vt:variant>
      <vt:variant>
        <vt:i4>3342361</vt:i4>
      </vt:variant>
      <vt:variant>
        <vt:i4>2531</vt:i4>
      </vt:variant>
      <vt:variant>
        <vt:i4>0</vt:i4>
      </vt:variant>
      <vt:variant>
        <vt:i4>5</vt:i4>
      </vt:variant>
      <vt:variant>
        <vt:lpwstr>http://www.enseignement.be/index.php?page=26823&amp;do_id=5493</vt:lpwstr>
      </vt:variant>
      <vt:variant>
        <vt:lpwstr/>
      </vt:variant>
      <vt:variant>
        <vt:i4>2031737</vt:i4>
      </vt:variant>
      <vt:variant>
        <vt:i4>2528</vt:i4>
      </vt:variant>
      <vt:variant>
        <vt:i4>0</vt:i4>
      </vt:variant>
      <vt:variant>
        <vt:i4>5</vt:i4>
      </vt:variant>
      <vt:variant>
        <vt:lpwstr>mailto:nathalie.dujardin@cfwb.be</vt:lpwstr>
      </vt:variant>
      <vt:variant>
        <vt:lpwstr/>
      </vt:variant>
      <vt:variant>
        <vt:i4>7929887</vt:i4>
      </vt:variant>
      <vt:variant>
        <vt:i4>2525</vt:i4>
      </vt:variant>
      <vt:variant>
        <vt:i4>0</vt:i4>
      </vt:variant>
      <vt:variant>
        <vt:i4>5</vt:i4>
      </vt:variant>
      <vt:variant>
        <vt:lpwstr>mailto:pierre.fenaille@cfwb.be</vt:lpwstr>
      </vt:variant>
      <vt:variant>
        <vt:lpwstr/>
      </vt:variant>
      <vt:variant>
        <vt:i4>6029352</vt:i4>
      </vt:variant>
      <vt:variant>
        <vt:i4>2522</vt:i4>
      </vt:variant>
      <vt:variant>
        <vt:i4>0</vt:i4>
      </vt:variant>
      <vt:variant>
        <vt:i4>5</vt:i4>
      </vt:variant>
      <vt:variant>
        <vt:lpwstr/>
      </vt:variant>
      <vt:variant>
        <vt:lpwstr>Annexe_29</vt:lpwstr>
      </vt:variant>
      <vt:variant>
        <vt:i4>5046275</vt:i4>
      </vt:variant>
      <vt:variant>
        <vt:i4>2519</vt:i4>
      </vt:variant>
      <vt:variant>
        <vt:i4>0</vt:i4>
      </vt:variant>
      <vt:variant>
        <vt:i4>5</vt:i4>
      </vt:variant>
      <vt:variant>
        <vt:lpwstr>http://www.gallilex.cfwb.be/fr/leg_res_00.php?ncda=34300&amp;referant=l00</vt:lpwstr>
      </vt:variant>
      <vt:variant>
        <vt:lpwstr/>
      </vt:variant>
      <vt:variant>
        <vt:i4>6881385</vt:i4>
      </vt:variant>
      <vt:variant>
        <vt:i4>2516</vt:i4>
      </vt:variant>
      <vt:variant>
        <vt:i4>0</vt:i4>
      </vt:variant>
      <vt:variant>
        <vt:i4>5</vt:i4>
      </vt:variant>
      <vt:variant>
        <vt:lpwstr>http://www.gallilex.cfwb.be/fr/leg_res_01.php?ncda=34876&amp;referant=l02&amp;bck_ncda=34876&amp;bck_referant=l00</vt:lpwstr>
      </vt:variant>
      <vt:variant>
        <vt:lpwstr/>
      </vt:variant>
      <vt:variant>
        <vt:i4>6881385</vt:i4>
      </vt:variant>
      <vt:variant>
        <vt:i4>2513</vt:i4>
      </vt:variant>
      <vt:variant>
        <vt:i4>0</vt:i4>
      </vt:variant>
      <vt:variant>
        <vt:i4>5</vt:i4>
      </vt:variant>
      <vt:variant>
        <vt:lpwstr>http://www.gallilex.cfwb.be/fr/leg_res_01.php?ncda=29067&amp;referant=l02&amp;bck_ncda=29067&amp;bck_referant=l00</vt:lpwstr>
      </vt:variant>
      <vt:variant>
        <vt:lpwstr/>
      </vt:variant>
      <vt:variant>
        <vt:i4>6881385</vt:i4>
      </vt:variant>
      <vt:variant>
        <vt:i4>2510</vt:i4>
      </vt:variant>
      <vt:variant>
        <vt:i4>0</vt:i4>
      </vt:variant>
      <vt:variant>
        <vt:i4>5</vt:i4>
      </vt:variant>
      <vt:variant>
        <vt:lpwstr>http://www.gallilex.cfwb.be/fr/leg_res_01.php?ncda=28737&amp;referant=l02&amp;bck_ncda=28737&amp;bck_referant=l00</vt:lpwstr>
      </vt:variant>
      <vt:variant>
        <vt:lpwstr/>
      </vt:variant>
      <vt:variant>
        <vt:i4>3342361</vt:i4>
      </vt:variant>
      <vt:variant>
        <vt:i4>2507</vt:i4>
      </vt:variant>
      <vt:variant>
        <vt:i4>0</vt:i4>
      </vt:variant>
      <vt:variant>
        <vt:i4>5</vt:i4>
      </vt:variant>
      <vt:variant>
        <vt:lpwstr>http://www.enseignement.be/index.php?page=26823&amp;do_id=5493</vt:lpwstr>
      </vt:variant>
      <vt:variant>
        <vt:lpwstr/>
      </vt:variant>
      <vt:variant>
        <vt:i4>4784151</vt:i4>
      </vt:variant>
      <vt:variant>
        <vt:i4>2504</vt:i4>
      </vt:variant>
      <vt:variant>
        <vt:i4>0</vt:i4>
      </vt:variant>
      <vt:variant>
        <vt:i4>5</vt:i4>
      </vt:variant>
      <vt:variant>
        <vt:lpwstr/>
      </vt:variant>
      <vt:variant>
        <vt:lpwstr>Section6_2_2_2_3</vt:lpwstr>
      </vt:variant>
      <vt:variant>
        <vt:i4>3342361</vt:i4>
      </vt:variant>
      <vt:variant>
        <vt:i4>2501</vt:i4>
      </vt:variant>
      <vt:variant>
        <vt:i4>0</vt:i4>
      </vt:variant>
      <vt:variant>
        <vt:i4>5</vt:i4>
      </vt:variant>
      <vt:variant>
        <vt:lpwstr>http://www.enseignement.be/index.php?page=26823&amp;do_id=5493</vt:lpwstr>
      </vt:variant>
      <vt:variant>
        <vt:lpwstr/>
      </vt:variant>
      <vt:variant>
        <vt:i4>4128784</vt:i4>
      </vt:variant>
      <vt:variant>
        <vt:i4>2498</vt:i4>
      </vt:variant>
      <vt:variant>
        <vt:i4>0</vt:i4>
      </vt:variant>
      <vt:variant>
        <vt:i4>5</vt:i4>
      </vt:variant>
      <vt:variant>
        <vt:lpwstr/>
      </vt:variant>
      <vt:variant>
        <vt:lpwstr>Annexe_28C</vt:lpwstr>
      </vt:variant>
      <vt:variant>
        <vt:i4>4063248</vt:i4>
      </vt:variant>
      <vt:variant>
        <vt:i4>2495</vt:i4>
      </vt:variant>
      <vt:variant>
        <vt:i4>0</vt:i4>
      </vt:variant>
      <vt:variant>
        <vt:i4>5</vt:i4>
      </vt:variant>
      <vt:variant>
        <vt:lpwstr/>
      </vt:variant>
      <vt:variant>
        <vt:lpwstr>Annexe_28B</vt:lpwstr>
      </vt:variant>
      <vt:variant>
        <vt:i4>3997712</vt:i4>
      </vt:variant>
      <vt:variant>
        <vt:i4>2492</vt:i4>
      </vt:variant>
      <vt:variant>
        <vt:i4>0</vt:i4>
      </vt:variant>
      <vt:variant>
        <vt:i4>5</vt:i4>
      </vt:variant>
      <vt:variant>
        <vt:lpwstr/>
      </vt:variant>
      <vt:variant>
        <vt:lpwstr>Annexe_28A</vt:lpwstr>
      </vt:variant>
      <vt:variant>
        <vt:i4>3342361</vt:i4>
      </vt:variant>
      <vt:variant>
        <vt:i4>2489</vt:i4>
      </vt:variant>
      <vt:variant>
        <vt:i4>0</vt:i4>
      </vt:variant>
      <vt:variant>
        <vt:i4>5</vt:i4>
      </vt:variant>
      <vt:variant>
        <vt:lpwstr>http://www.enseignement.be/index.php?page=26823&amp;do_id=5493</vt:lpwstr>
      </vt:variant>
      <vt:variant>
        <vt:lpwstr/>
      </vt:variant>
      <vt:variant>
        <vt:i4>7864444</vt:i4>
      </vt:variant>
      <vt:variant>
        <vt:i4>2486</vt:i4>
      </vt:variant>
      <vt:variant>
        <vt:i4>0</vt:i4>
      </vt:variant>
      <vt:variant>
        <vt:i4>5</vt:i4>
      </vt:variant>
      <vt:variant>
        <vt:lpwstr>http://www.adm.cfwb.be/</vt:lpwstr>
      </vt:variant>
      <vt:variant>
        <vt:lpwstr/>
      </vt:variant>
      <vt:variant>
        <vt:i4>6881385</vt:i4>
      </vt:variant>
      <vt:variant>
        <vt:i4>2483</vt:i4>
      </vt:variant>
      <vt:variant>
        <vt:i4>0</vt:i4>
      </vt:variant>
      <vt:variant>
        <vt:i4>5</vt:i4>
      </vt:variant>
      <vt:variant>
        <vt:lpwstr>http://www.gallilex.cfwb.be/fr/leg_res_01.php?ncda=28737&amp;referant=l02&amp;bck_ncda=28737&amp;bck_referant=l00</vt:lpwstr>
      </vt:variant>
      <vt:variant>
        <vt:lpwstr/>
      </vt:variant>
      <vt:variant>
        <vt:i4>7012471</vt:i4>
      </vt:variant>
      <vt:variant>
        <vt:i4>2480</vt:i4>
      </vt:variant>
      <vt:variant>
        <vt:i4>0</vt:i4>
      </vt:variant>
      <vt:variant>
        <vt:i4>5</vt:i4>
      </vt:variant>
      <vt:variant>
        <vt:lpwstr/>
      </vt:variant>
      <vt:variant>
        <vt:lpwstr>Annexe_2_7</vt:lpwstr>
      </vt:variant>
      <vt:variant>
        <vt:i4>4653166</vt:i4>
      </vt:variant>
      <vt:variant>
        <vt:i4>2477</vt:i4>
      </vt:variant>
      <vt:variant>
        <vt:i4>0</vt:i4>
      </vt:variant>
      <vt:variant>
        <vt:i4>5</vt:i4>
      </vt:variant>
      <vt:variant>
        <vt:lpwstr>mailto:equipemobile@cfwb.be</vt:lpwstr>
      </vt:variant>
      <vt:variant>
        <vt:lpwstr/>
      </vt:variant>
      <vt:variant>
        <vt:i4>6881385</vt:i4>
      </vt:variant>
      <vt:variant>
        <vt:i4>2474</vt:i4>
      </vt:variant>
      <vt:variant>
        <vt:i4>0</vt:i4>
      </vt:variant>
      <vt:variant>
        <vt:i4>5</vt:i4>
      </vt:variant>
      <vt:variant>
        <vt:lpwstr>http://www.gallilex.cfwb.be/fr/leg_res_01.php?ncda=39909&amp;referant=l02&amp;bck_ncda=39909&amp;bck_referant=l00</vt:lpwstr>
      </vt:variant>
      <vt:variant>
        <vt:lpwstr/>
      </vt:variant>
      <vt:variant>
        <vt:i4>6881385</vt:i4>
      </vt:variant>
      <vt:variant>
        <vt:i4>2471</vt:i4>
      </vt:variant>
      <vt:variant>
        <vt:i4>0</vt:i4>
      </vt:variant>
      <vt:variant>
        <vt:i4>5</vt:i4>
      </vt:variant>
      <vt:variant>
        <vt:lpwstr>http://www.gallilex.cfwb.be/fr/leg_res_01.php?ncda=21557&amp;referant=l02&amp;bck_ncda=21557&amp;bck_referant=l00</vt:lpwstr>
      </vt:variant>
      <vt:variant>
        <vt:lpwstr/>
      </vt:variant>
      <vt:variant>
        <vt:i4>3801119</vt:i4>
      </vt:variant>
      <vt:variant>
        <vt:i4>2468</vt:i4>
      </vt:variant>
      <vt:variant>
        <vt:i4>0</vt:i4>
      </vt:variant>
      <vt:variant>
        <vt:i4>5</vt:i4>
      </vt:variant>
      <vt:variant>
        <vt:lpwstr>http://www.enseignement.be/index.php?page=26823&amp;do_id=3997</vt:lpwstr>
      </vt:variant>
      <vt:variant>
        <vt:lpwstr/>
      </vt:variant>
      <vt:variant>
        <vt:i4>2949218</vt:i4>
      </vt:variant>
      <vt:variant>
        <vt:i4>2465</vt:i4>
      </vt:variant>
      <vt:variant>
        <vt:i4>0</vt:i4>
      </vt:variant>
      <vt:variant>
        <vt:i4>5</vt:i4>
      </vt:variant>
      <vt:variant>
        <vt:lpwstr>http://www.am.cfwb.be/</vt:lpwstr>
      </vt:variant>
      <vt:variant>
        <vt:lpwstr/>
      </vt:variant>
      <vt:variant>
        <vt:i4>3801119</vt:i4>
      </vt:variant>
      <vt:variant>
        <vt:i4>2462</vt:i4>
      </vt:variant>
      <vt:variant>
        <vt:i4>0</vt:i4>
      </vt:variant>
      <vt:variant>
        <vt:i4>5</vt:i4>
      </vt:variant>
      <vt:variant>
        <vt:lpwstr>http://www.enseignement.be/index.php?page=26823&amp;do_id=3997</vt:lpwstr>
      </vt:variant>
      <vt:variant>
        <vt:lpwstr/>
      </vt:variant>
      <vt:variant>
        <vt:i4>2949218</vt:i4>
      </vt:variant>
      <vt:variant>
        <vt:i4>2459</vt:i4>
      </vt:variant>
      <vt:variant>
        <vt:i4>0</vt:i4>
      </vt:variant>
      <vt:variant>
        <vt:i4>5</vt:i4>
      </vt:variant>
      <vt:variant>
        <vt:lpwstr>http://www.am.cfwb.be/</vt:lpwstr>
      </vt:variant>
      <vt:variant>
        <vt:lpwstr/>
      </vt:variant>
      <vt:variant>
        <vt:i4>3801119</vt:i4>
      </vt:variant>
      <vt:variant>
        <vt:i4>2456</vt:i4>
      </vt:variant>
      <vt:variant>
        <vt:i4>0</vt:i4>
      </vt:variant>
      <vt:variant>
        <vt:i4>5</vt:i4>
      </vt:variant>
      <vt:variant>
        <vt:lpwstr>http://www.enseignement.be/index.php?page=26823&amp;do_id=3997</vt:lpwstr>
      </vt:variant>
      <vt:variant>
        <vt:lpwstr/>
      </vt:variant>
      <vt:variant>
        <vt:i4>2949218</vt:i4>
      </vt:variant>
      <vt:variant>
        <vt:i4>2453</vt:i4>
      </vt:variant>
      <vt:variant>
        <vt:i4>0</vt:i4>
      </vt:variant>
      <vt:variant>
        <vt:i4>5</vt:i4>
      </vt:variant>
      <vt:variant>
        <vt:lpwstr>http://www.am.cfwb.be/</vt:lpwstr>
      </vt:variant>
      <vt:variant>
        <vt:lpwstr/>
      </vt:variant>
      <vt:variant>
        <vt:i4>6881385</vt:i4>
      </vt:variant>
      <vt:variant>
        <vt:i4>2450</vt:i4>
      </vt:variant>
      <vt:variant>
        <vt:i4>0</vt:i4>
      </vt:variant>
      <vt:variant>
        <vt:i4>5</vt:i4>
      </vt:variant>
      <vt:variant>
        <vt:lpwstr>http://www.gallilex.cfwb.be/fr/leg_res_01.php?ncda=21557&amp;referant=l02&amp;bck_ncda=21557&amp;bck_referant=l00</vt:lpwstr>
      </vt:variant>
      <vt:variant>
        <vt:lpwstr/>
      </vt:variant>
      <vt:variant>
        <vt:i4>7340118</vt:i4>
      </vt:variant>
      <vt:variant>
        <vt:i4>2447</vt:i4>
      </vt:variant>
      <vt:variant>
        <vt:i4>0</vt:i4>
      </vt:variant>
      <vt:variant>
        <vt:i4>5</vt:i4>
      </vt:variant>
      <vt:variant>
        <vt:lpwstr>http://www.gallilex.cfwb.be/document/pdf/21557_010.pdf</vt:lpwstr>
      </vt:variant>
      <vt:variant>
        <vt:lpwstr/>
      </vt:variant>
      <vt:variant>
        <vt:i4>4718595</vt:i4>
      </vt:variant>
      <vt:variant>
        <vt:i4>2444</vt:i4>
      </vt:variant>
      <vt:variant>
        <vt:i4>0</vt:i4>
      </vt:variant>
      <vt:variant>
        <vt:i4>5</vt:i4>
      </vt:variant>
      <vt:variant>
        <vt:lpwstr>http://www.gallilex.cfwb.be/fr/leg_res_01.php?ncda=32771&amp;referant=l01</vt:lpwstr>
      </vt:variant>
      <vt:variant>
        <vt:lpwstr/>
      </vt:variant>
      <vt:variant>
        <vt:i4>5046274</vt:i4>
      </vt:variant>
      <vt:variant>
        <vt:i4>2441</vt:i4>
      </vt:variant>
      <vt:variant>
        <vt:i4>0</vt:i4>
      </vt:variant>
      <vt:variant>
        <vt:i4>5</vt:i4>
      </vt:variant>
      <vt:variant>
        <vt:lpwstr>http://www.gallilex.cfwb.be/fr/leg_res_01.php?ncda=21557&amp;referant=l01</vt:lpwstr>
      </vt:variant>
      <vt:variant>
        <vt:lpwstr/>
      </vt:variant>
      <vt:variant>
        <vt:i4>4456454</vt:i4>
      </vt:variant>
      <vt:variant>
        <vt:i4>2438</vt:i4>
      </vt:variant>
      <vt:variant>
        <vt:i4>0</vt:i4>
      </vt:variant>
      <vt:variant>
        <vt:i4>5</vt:i4>
      </vt:variant>
      <vt:variant>
        <vt:lpwstr>http://www.gallilex.cfwb.be/fr/leg_res_01.php?ncda=22229&amp;referant=l01</vt:lpwstr>
      </vt:variant>
      <vt:variant>
        <vt:lpwstr/>
      </vt:variant>
      <vt:variant>
        <vt:i4>1179732</vt:i4>
      </vt:variant>
      <vt:variant>
        <vt:i4>2435</vt:i4>
      </vt:variant>
      <vt:variant>
        <vt:i4>0</vt:i4>
      </vt:variant>
      <vt:variant>
        <vt:i4>5</vt:i4>
      </vt:variant>
      <vt:variant>
        <vt:lpwstr>http://www.gallilex.cfwb.be/fr/leg_res_00.php?ncda=5108&amp;referant=l00</vt:lpwstr>
      </vt:variant>
      <vt:variant>
        <vt:lpwstr/>
      </vt:variant>
      <vt:variant>
        <vt:i4>2293859</vt:i4>
      </vt:variant>
      <vt:variant>
        <vt:i4>2432</vt:i4>
      </vt:variant>
      <vt:variant>
        <vt:i4>0</vt:i4>
      </vt:variant>
      <vt:variant>
        <vt:i4>5</vt:i4>
      </vt:variant>
      <vt:variant>
        <vt:lpwstr/>
      </vt:variant>
      <vt:variant>
        <vt:lpwstr>Annexe_225C#Annexe_225C</vt:lpwstr>
      </vt:variant>
      <vt:variant>
        <vt:i4>4063261</vt:i4>
      </vt:variant>
      <vt:variant>
        <vt:i4>2429</vt:i4>
      </vt:variant>
      <vt:variant>
        <vt:i4>0</vt:i4>
      </vt:variant>
      <vt:variant>
        <vt:i4>5</vt:i4>
      </vt:variant>
      <vt:variant>
        <vt:lpwstr/>
      </vt:variant>
      <vt:variant>
        <vt:lpwstr>Annexe_25B</vt:lpwstr>
      </vt:variant>
      <vt:variant>
        <vt:i4>3801119</vt:i4>
      </vt:variant>
      <vt:variant>
        <vt:i4>2426</vt:i4>
      </vt:variant>
      <vt:variant>
        <vt:i4>0</vt:i4>
      </vt:variant>
      <vt:variant>
        <vt:i4>5</vt:i4>
      </vt:variant>
      <vt:variant>
        <vt:lpwstr>http://www.enseignement.be/index.php?page=26823&amp;do_id=3997</vt:lpwstr>
      </vt:variant>
      <vt:variant>
        <vt:lpwstr/>
      </vt:variant>
      <vt:variant>
        <vt:i4>2949218</vt:i4>
      </vt:variant>
      <vt:variant>
        <vt:i4>2423</vt:i4>
      </vt:variant>
      <vt:variant>
        <vt:i4>0</vt:i4>
      </vt:variant>
      <vt:variant>
        <vt:i4>5</vt:i4>
      </vt:variant>
      <vt:variant>
        <vt:lpwstr>http://www.am.cfwb.be/</vt:lpwstr>
      </vt:variant>
      <vt:variant>
        <vt:lpwstr/>
      </vt:variant>
      <vt:variant>
        <vt:i4>3145752</vt:i4>
      </vt:variant>
      <vt:variant>
        <vt:i4>2420</vt:i4>
      </vt:variant>
      <vt:variant>
        <vt:i4>0</vt:i4>
      </vt:variant>
      <vt:variant>
        <vt:i4>5</vt:i4>
      </vt:variant>
      <vt:variant>
        <vt:lpwstr>http://www.enseignement.be/index.php?page=26823&amp;do_id=5185</vt:lpwstr>
      </vt:variant>
      <vt:variant>
        <vt:lpwstr/>
      </vt:variant>
      <vt:variant>
        <vt:i4>4784151</vt:i4>
      </vt:variant>
      <vt:variant>
        <vt:i4>2417</vt:i4>
      </vt:variant>
      <vt:variant>
        <vt:i4>0</vt:i4>
      </vt:variant>
      <vt:variant>
        <vt:i4>5</vt:i4>
      </vt:variant>
      <vt:variant>
        <vt:lpwstr/>
      </vt:variant>
      <vt:variant>
        <vt:lpwstr>Section2_7_2</vt:lpwstr>
      </vt:variant>
      <vt:variant>
        <vt:i4>3670158</vt:i4>
      </vt:variant>
      <vt:variant>
        <vt:i4>2414</vt:i4>
      </vt:variant>
      <vt:variant>
        <vt:i4>0</vt:i4>
      </vt:variant>
      <vt:variant>
        <vt:i4>5</vt:i4>
      </vt:variant>
      <vt:variant>
        <vt:lpwstr/>
      </vt:variant>
      <vt:variant>
        <vt:lpwstr>_2.5.2.2.__Démarches</vt:lpwstr>
      </vt:variant>
      <vt:variant>
        <vt:i4>5111813</vt:i4>
      </vt:variant>
      <vt:variant>
        <vt:i4>2411</vt:i4>
      </vt:variant>
      <vt:variant>
        <vt:i4>0</vt:i4>
      </vt:variant>
      <vt:variant>
        <vt:i4>5</vt:i4>
      </vt:variant>
      <vt:variant>
        <vt:lpwstr>http://www.gallilex.cfwb.be/fr/leg_res_01.php?ncda=31929&amp;referant=l01</vt:lpwstr>
      </vt:variant>
      <vt:variant>
        <vt:lpwstr/>
      </vt:variant>
      <vt:variant>
        <vt:i4>4784135</vt:i4>
      </vt:variant>
      <vt:variant>
        <vt:i4>2408</vt:i4>
      </vt:variant>
      <vt:variant>
        <vt:i4>0</vt:i4>
      </vt:variant>
      <vt:variant>
        <vt:i4>5</vt:i4>
      </vt:variant>
      <vt:variant>
        <vt:lpwstr>http://www.gallilex.cfwb.be/fr/leg_res_01.php?ncda=31007&amp;referant=l01</vt:lpwstr>
      </vt:variant>
      <vt:variant>
        <vt:lpwstr/>
      </vt:variant>
      <vt:variant>
        <vt:i4>6881385</vt:i4>
      </vt:variant>
      <vt:variant>
        <vt:i4>2405</vt:i4>
      </vt:variant>
      <vt:variant>
        <vt:i4>0</vt:i4>
      </vt:variant>
      <vt:variant>
        <vt:i4>5</vt:i4>
      </vt:variant>
      <vt:variant>
        <vt:lpwstr>http://www.gallilex.cfwb.be/fr/leg_res_01.php?ncda=39910&amp;referant=l02&amp;bck_ncda=39910&amp;bck_referant=l00</vt:lpwstr>
      </vt:variant>
      <vt:variant>
        <vt:lpwstr/>
      </vt:variant>
      <vt:variant>
        <vt:i4>6881385</vt:i4>
      </vt:variant>
      <vt:variant>
        <vt:i4>2402</vt:i4>
      </vt:variant>
      <vt:variant>
        <vt:i4>0</vt:i4>
      </vt:variant>
      <vt:variant>
        <vt:i4>5</vt:i4>
      </vt:variant>
      <vt:variant>
        <vt:lpwstr>http://www.gallilex.cfwb.be/fr/leg_res_01.php?ncda=39909&amp;referant=l02&amp;bck_ncda=39909&amp;bck_referant=l00</vt:lpwstr>
      </vt:variant>
      <vt:variant>
        <vt:lpwstr/>
      </vt:variant>
      <vt:variant>
        <vt:i4>6881385</vt:i4>
      </vt:variant>
      <vt:variant>
        <vt:i4>2399</vt:i4>
      </vt:variant>
      <vt:variant>
        <vt:i4>0</vt:i4>
      </vt:variant>
      <vt:variant>
        <vt:i4>5</vt:i4>
      </vt:variant>
      <vt:variant>
        <vt:lpwstr>http://www.gallilex.cfwb.be/fr/leg_res_01.php?ncda=40870&amp;referant=l02&amp;bck_ncda=40870&amp;bck_referant=l00</vt:lpwstr>
      </vt:variant>
      <vt:variant>
        <vt:lpwstr/>
      </vt:variant>
      <vt:variant>
        <vt:i4>5046274</vt:i4>
      </vt:variant>
      <vt:variant>
        <vt:i4>2396</vt:i4>
      </vt:variant>
      <vt:variant>
        <vt:i4>0</vt:i4>
      </vt:variant>
      <vt:variant>
        <vt:i4>5</vt:i4>
      </vt:variant>
      <vt:variant>
        <vt:lpwstr>http://www.gallilex.cfwb.be/fr/leg_res_01.php?ncda=21557&amp;referant=l01</vt:lpwstr>
      </vt:variant>
      <vt:variant>
        <vt:lpwstr/>
      </vt:variant>
      <vt:variant>
        <vt:i4>2687017</vt:i4>
      </vt:variant>
      <vt:variant>
        <vt:i4>2393</vt:i4>
      </vt:variant>
      <vt:variant>
        <vt:i4>0</vt:i4>
      </vt:variant>
      <vt:variant>
        <vt:i4>5</vt:i4>
      </vt:variant>
      <vt:variant>
        <vt:lpwstr>http://www.gallilex.cfwb.be/fr/leg_res_01.php?ncda=9676&amp;referant=l02&amp;bck_ncda=9676&amp;bck_referant=l00</vt:lpwstr>
      </vt:variant>
      <vt:variant>
        <vt:lpwstr/>
      </vt:variant>
      <vt:variant>
        <vt:i4>3145815</vt:i4>
      </vt:variant>
      <vt:variant>
        <vt:i4>2390</vt:i4>
      </vt:variant>
      <vt:variant>
        <vt:i4>0</vt:i4>
      </vt:variant>
      <vt:variant>
        <vt:i4>5</vt:i4>
      </vt:variant>
      <vt:variant>
        <vt:lpwstr>mailto:claudia.lefrere@cfwb.be</vt:lpwstr>
      </vt:variant>
      <vt:variant>
        <vt:lpwstr/>
      </vt:variant>
      <vt:variant>
        <vt:i4>5832807</vt:i4>
      </vt:variant>
      <vt:variant>
        <vt:i4>2387</vt:i4>
      </vt:variant>
      <vt:variant>
        <vt:i4>0</vt:i4>
      </vt:variant>
      <vt:variant>
        <vt:i4>5</vt:i4>
      </vt:variant>
      <vt:variant>
        <vt:lpwstr/>
      </vt:variant>
      <vt:variant>
        <vt:lpwstr>_Chapitre_2.9._Les</vt:lpwstr>
      </vt:variant>
      <vt:variant>
        <vt:i4>7078001</vt:i4>
      </vt:variant>
      <vt:variant>
        <vt:i4>2384</vt:i4>
      </vt:variant>
      <vt:variant>
        <vt:i4>0</vt:i4>
      </vt:variant>
      <vt:variant>
        <vt:i4>5</vt:i4>
      </vt:variant>
      <vt:variant>
        <vt:lpwstr/>
      </vt:variant>
      <vt:variant>
        <vt:lpwstr>_2.2.3.__</vt:lpwstr>
      </vt:variant>
      <vt:variant>
        <vt:i4>983107</vt:i4>
      </vt:variant>
      <vt:variant>
        <vt:i4>2381</vt:i4>
      </vt:variant>
      <vt:variant>
        <vt:i4>0</vt:i4>
      </vt:variant>
      <vt:variant>
        <vt:i4>5</vt:i4>
      </vt:variant>
      <vt:variant>
        <vt:lpwstr/>
      </vt:variant>
      <vt:variant>
        <vt:lpwstr>Annexe_24A_2</vt:lpwstr>
      </vt:variant>
      <vt:variant>
        <vt:i4>5636139</vt:i4>
      </vt:variant>
      <vt:variant>
        <vt:i4>2378</vt:i4>
      </vt:variant>
      <vt:variant>
        <vt:i4>0</vt:i4>
      </vt:variant>
      <vt:variant>
        <vt:i4>5</vt:i4>
      </vt:variant>
      <vt:variant>
        <vt:lpwstr/>
      </vt:variant>
      <vt:variant>
        <vt:lpwstr>chapitre2_3</vt:lpwstr>
      </vt:variant>
      <vt:variant>
        <vt:i4>983107</vt:i4>
      </vt:variant>
      <vt:variant>
        <vt:i4>2375</vt:i4>
      </vt:variant>
      <vt:variant>
        <vt:i4>0</vt:i4>
      </vt:variant>
      <vt:variant>
        <vt:i4>5</vt:i4>
      </vt:variant>
      <vt:variant>
        <vt:lpwstr/>
      </vt:variant>
      <vt:variant>
        <vt:lpwstr>Annexe_24A_2</vt:lpwstr>
      </vt:variant>
      <vt:variant>
        <vt:i4>3670044</vt:i4>
      </vt:variant>
      <vt:variant>
        <vt:i4>2372</vt:i4>
      </vt:variant>
      <vt:variant>
        <vt:i4>0</vt:i4>
      </vt:variant>
      <vt:variant>
        <vt:i4>5</vt:i4>
      </vt:variant>
      <vt:variant>
        <vt:lpwstr/>
      </vt:variant>
      <vt:variant>
        <vt:lpwstr>Annexe_24D</vt:lpwstr>
      </vt:variant>
      <vt:variant>
        <vt:i4>4063260</vt:i4>
      </vt:variant>
      <vt:variant>
        <vt:i4>2369</vt:i4>
      </vt:variant>
      <vt:variant>
        <vt:i4>0</vt:i4>
      </vt:variant>
      <vt:variant>
        <vt:i4>5</vt:i4>
      </vt:variant>
      <vt:variant>
        <vt:lpwstr/>
      </vt:variant>
      <vt:variant>
        <vt:lpwstr>Annexe_24B</vt:lpwstr>
      </vt:variant>
      <vt:variant>
        <vt:i4>983107</vt:i4>
      </vt:variant>
      <vt:variant>
        <vt:i4>2366</vt:i4>
      </vt:variant>
      <vt:variant>
        <vt:i4>0</vt:i4>
      </vt:variant>
      <vt:variant>
        <vt:i4>5</vt:i4>
      </vt:variant>
      <vt:variant>
        <vt:lpwstr/>
      </vt:variant>
      <vt:variant>
        <vt:lpwstr>Annexe_24A_2</vt:lpwstr>
      </vt:variant>
      <vt:variant>
        <vt:i4>3670044</vt:i4>
      </vt:variant>
      <vt:variant>
        <vt:i4>2363</vt:i4>
      </vt:variant>
      <vt:variant>
        <vt:i4>0</vt:i4>
      </vt:variant>
      <vt:variant>
        <vt:i4>5</vt:i4>
      </vt:variant>
      <vt:variant>
        <vt:lpwstr/>
      </vt:variant>
      <vt:variant>
        <vt:lpwstr>Annexe_24D</vt:lpwstr>
      </vt:variant>
      <vt:variant>
        <vt:i4>5636138</vt:i4>
      </vt:variant>
      <vt:variant>
        <vt:i4>2360</vt:i4>
      </vt:variant>
      <vt:variant>
        <vt:i4>0</vt:i4>
      </vt:variant>
      <vt:variant>
        <vt:i4>5</vt:i4>
      </vt:variant>
      <vt:variant>
        <vt:lpwstr/>
      </vt:variant>
      <vt:variant>
        <vt:lpwstr>Chapitre3_4</vt:lpwstr>
      </vt:variant>
      <vt:variant>
        <vt:i4>5636138</vt:i4>
      </vt:variant>
      <vt:variant>
        <vt:i4>2357</vt:i4>
      </vt:variant>
      <vt:variant>
        <vt:i4>0</vt:i4>
      </vt:variant>
      <vt:variant>
        <vt:i4>5</vt:i4>
      </vt:variant>
      <vt:variant>
        <vt:lpwstr/>
      </vt:variant>
      <vt:variant>
        <vt:lpwstr>Chapitre3_2</vt:lpwstr>
      </vt:variant>
      <vt:variant>
        <vt:i4>5636138</vt:i4>
      </vt:variant>
      <vt:variant>
        <vt:i4>2354</vt:i4>
      </vt:variant>
      <vt:variant>
        <vt:i4>0</vt:i4>
      </vt:variant>
      <vt:variant>
        <vt:i4>5</vt:i4>
      </vt:variant>
      <vt:variant>
        <vt:lpwstr/>
      </vt:variant>
      <vt:variant>
        <vt:lpwstr>chapitre3_1</vt:lpwstr>
      </vt:variant>
      <vt:variant>
        <vt:i4>5636139</vt:i4>
      </vt:variant>
      <vt:variant>
        <vt:i4>2351</vt:i4>
      </vt:variant>
      <vt:variant>
        <vt:i4>0</vt:i4>
      </vt:variant>
      <vt:variant>
        <vt:i4>5</vt:i4>
      </vt:variant>
      <vt:variant>
        <vt:lpwstr/>
      </vt:variant>
      <vt:variant>
        <vt:lpwstr>chapitre2_3</vt:lpwstr>
      </vt:variant>
      <vt:variant>
        <vt:i4>4063260</vt:i4>
      </vt:variant>
      <vt:variant>
        <vt:i4>2348</vt:i4>
      </vt:variant>
      <vt:variant>
        <vt:i4>0</vt:i4>
      </vt:variant>
      <vt:variant>
        <vt:i4>5</vt:i4>
      </vt:variant>
      <vt:variant>
        <vt:lpwstr/>
      </vt:variant>
      <vt:variant>
        <vt:lpwstr>Annexe_24B</vt:lpwstr>
      </vt:variant>
      <vt:variant>
        <vt:i4>983107</vt:i4>
      </vt:variant>
      <vt:variant>
        <vt:i4>2345</vt:i4>
      </vt:variant>
      <vt:variant>
        <vt:i4>0</vt:i4>
      </vt:variant>
      <vt:variant>
        <vt:i4>5</vt:i4>
      </vt:variant>
      <vt:variant>
        <vt:lpwstr/>
      </vt:variant>
      <vt:variant>
        <vt:lpwstr>Annexe_24A_2</vt:lpwstr>
      </vt:variant>
      <vt:variant>
        <vt:i4>3670044</vt:i4>
      </vt:variant>
      <vt:variant>
        <vt:i4>2342</vt:i4>
      </vt:variant>
      <vt:variant>
        <vt:i4>0</vt:i4>
      </vt:variant>
      <vt:variant>
        <vt:i4>5</vt:i4>
      </vt:variant>
      <vt:variant>
        <vt:lpwstr/>
      </vt:variant>
      <vt:variant>
        <vt:lpwstr>Annexe_24D</vt:lpwstr>
      </vt:variant>
      <vt:variant>
        <vt:i4>4718615</vt:i4>
      </vt:variant>
      <vt:variant>
        <vt:i4>2339</vt:i4>
      </vt:variant>
      <vt:variant>
        <vt:i4>0</vt:i4>
      </vt:variant>
      <vt:variant>
        <vt:i4>5</vt:i4>
      </vt:variant>
      <vt:variant>
        <vt:lpwstr/>
      </vt:variant>
      <vt:variant>
        <vt:lpwstr>section2_4_1_3_2</vt:lpwstr>
      </vt:variant>
      <vt:variant>
        <vt:i4>1638435</vt:i4>
      </vt:variant>
      <vt:variant>
        <vt:i4>2336</vt:i4>
      </vt:variant>
      <vt:variant>
        <vt:i4>0</vt:i4>
      </vt:variant>
      <vt:variant>
        <vt:i4>5</vt:i4>
      </vt:variant>
      <vt:variant>
        <vt:lpwstr/>
      </vt:variant>
      <vt:variant>
        <vt:lpwstr>_2.3.2.1._Circonstances_</vt:lpwstr>
      </vt:variant>
      <vt:variant>
        <vt:i4>5636139</vt:i4>
      </vt:variant>
      <vt:variant>
        <vt:i4>2333</vt:i4>
      </vt:variant>
      <vt:variant>
        <vt:i4>0</vt:i4>
      </vt:variant>
      <vt:variant>
        <vt:i4>5</vt:i4>
      </vt:variant>
      <vt:variant>
        <vt:lpwstr/>
      </vt:variant>
      <vt:variant>
        <vt:lpwstr>chapitre2_3</vt:lpwstr>
      </vt:variant>
      <vt:variant>
        <vt:i4>983107</vt:i4>
      </vt:variant>
      <vt:variant>
        <vt:i4>2330</vt:i4>
      </vt:variant>
      <vt:variant>
        <vt:i4>0</vt:i4>
      </vt:variant>
      <vt:variant>
        <vt:i4>5</vt:i4>
      </vt:variant>
      <vt:variant>
        <vt:lpwstr/>
      </vt:variant>
      <vt:variant>
        <vt:lpwstr>Annexe_24A_2</vt:lpwstr>
      </vt:variant>
      <vt:variant>
        <vt:i4>1638435</vt:i4>
      </vt:variant>
      <vt:variant>
        <vt:i4>2327</vt:i4>
      </vt:variant>
      <vt:variant>
        <vt:i4>0</vt:i4>
      </vt:variant>
      <vt:variant>
        <vt:i4>5</vt:i4>
      </vt:variant>
      <vt:variant>
        <vt:lpwstr/>
      </vt:variant>
      <vt:variant>
        <vt:lpwstr>_2.3.2.1._Circonstances_</vt:lpwstr>
      </vt:variant>
      <vt:variant>
        <vt:i4>4260083</vt:i4>
      </vt:variant>
      <vt:variant>
        <vt:i4>2324</vt:i4>
      </vt:variant>
      <vt:variant>
        <vt:i4>0</vt:i4>
      </vt:variant>
      <vt:variant>
        <vt:i4>5</vt:i4>
      </vt:variant>
      <vt:variant>
        <vt:lpwstr/>
      </vt:variant>
      <vt:variant>
        <vt:lpwstr>_2.3.1.3.2._Raisons_liées</vt:lpwstr>
      </vt:variant>
      <vt:variant>
        <vt:i4>2424849</vt:i4>
      </vt:variant>
      <vt:variant>
        <vt:i4>2321</vt:i4>
      </vt:variant>
      <vt:variant>
        <vt:i4>0</vt:i4>
      </vt:variant>
      <vt:variant>
        <vt:i4>5</vt:i4>
      </vt:variant>
      <vt:variant>
        <vt:lpwstr/>
      </vt:variant>
      <vt:variant>
        <vt:lpwstr>_2.4.1.3.1._Les_motifs</vt:lpwstr>
      </vt:variant>
      <vt:variant>
        <vt:i4>983107</vt:i4>
      </vt:variant>
      <vt:variant>
        <vt:i4>2318</vt:i4>
      </vt:variant>
      <vt:variant>
        <vt:i4>0</vt:i4>
      </vt:variant>
      <vt:variant>
        <vt:i4>5</vt:i4>
      </vt:variant>
      <vt:variant>
        <vt:lpwstr/>
      </vt:variant>
      <vt:variant>
        <vt:lpwstr>Annexe_24A_2</vt:lpwstr>
      </vt:variant>
      <vt:variant>
        <vt:i4>3997724</vt:i4>
      </vt:variant>
      <vt:variant>
        <vt:i4>2315</vt:i4>
      </vt:variant>
      <vt:variant>
        <vt:i4>0</vt:i4>
      </vt:variant>
      <vt:variant>
        <vt:i4>5</vt:i4>
      </vt:variant>
      <vt:variant>
        <vt:lpwstr/>
      </vt:variant>
      <vt:variant>
        <vt:lpwstr>Annexe_24A</vt:lpwstr>
      </vt:variant>
      <vt:variant>
        <vt:i4>5636138</vt:i4>
      </vt:variant>
      <vt:variant>
        <vt:i4>2312</vt:i4>
      </vt:variant>
      <vt:variant>
        <vt:i4>0</vt:i4>
      </vt:variant>
      <vt:variant>
        <vt:i4>5</vt:i4>
      </vt:variant>
      <vt:variant>
        <vt:lpwstr/>
      </vt:variant>
      <vt:variant>
        <vt:lpwstr>Chapitre3_2</vt:lpwstr>
      </vt:variant>
      <vt:variant>
        <vt:i4>3670044</vt:i4>
      </vt:variant>
      <vt:variant>
        <vt:i4>2306</vt:i4>
      </vt:variant>
      <vt:variant>
        <vt:i4>0</vt:i4>
      </vt:variant>
      <vt:variant>
        <vt:i4>5</vt:i4>
      </vt:variant>
      <vt:variant>
        <vt:lpwstr/>
      </vt:variant>
      <vt:variant>
        <vt:lpwstr>Annexe_24D</vt:lpwstr>
      </vt:variant>
      <vt:variant>
        <vt:i4>4849687</vt:i4>
      </vt:variant>
      <vt:variant>
        <vt:i4>2303</vt:i4>
      </vt:variant>
      <vt:variant>
        <vt:i4>0</vt:i4>
      </vt:variant>
      <vt:variant>
        <vt:i4>5</vt:i4>
      </vt:variant>
      <vt:variant>
        <vt:lpwstr/>
      </vt:variant>
      <vt:variant>
        <vt:lpwstr>section2_4_2</vt:lpwstr>
      </vt:variant>
      <vt:variant>
        <vt:i4>196644</vt:i4>
      </vt:variant>
      <vt:variant>
        <vt:i4>2300</vt:i4>
      </vt:variant>
      <vt:variant>
        <vt:i4>0</vt:i4>
      </vt:variant>
      <vt:variant>
        <vt:i4>5</vt:i4>
      </vt:variant>
      <vt:variant>
        <vt:lpwstr>http://www.enseignement.be/index.php?page=26823&amp;do_id=179</vt:lpwstr>
      </vt:variant>
      <vt:variant>
        <vt:lpwstr/>
      </vt:variant>
      <vt:variant>
        <vt:i4>16056405</vt:i4>
      </vt:variant>
      <vt:variant>
        <vt:i4>2297</vt:i4>
      </vt:variant>
      <vt:variant>
        <vt:i4>0</vt:i4>
      </vt:variant>
      <vt:variant>
        <vt:i4>5</vt:i4>
      </vt:variant>
      <vt:variant>
        <vt:lpwstr/>
      </vt:variant>
      <vt:variant>
        <vt:lpwstr>_2.1.2._Responsabilité_parentale</vt:lpwstr>
      </vt:variant>
      <vt:variant>
        <vt:i4>7078001</vt:i4>
      </vt:variant>
      <vt:variant>
        <vt:i4>2294</vt:i4>
      </vt:variant>
      <vt:variant>
        <vt:i4>0</vt:i4>
      </vt:variant>
      <vt:variant>
        <vt:i4>5</vt:i4>
      </vt:variant>
      <vt:variant>
        <vt:lpwstr/>
      </vt:variant>
      <vt:variant>
        <vt:lpwstr>_2.2.3.__</vt:lpwstr>
      </vt:variant>
      <vt:variant>
        <vt:i4>983107</vt:i4>
      </vt:variant>
      <vt:variant>
        <vt:i4>2291</vt:i4>
      </vt:variant>
      <vt:variant>
        <vt:i4>0</vt:i4>
      </vt:variant>
      <vt:variant>
        <vt:i4>5</vt:i4>
      </vt:variant>
      <vt:variant>
        <vt:lpwstr/>
      </vt:variant>
      <vt:variant>
        <vt:lpwstr>Annexe_24A_2</vt:lpwstr>
      </vt:variant>
      <vt:variant>
        <vt:i4>3997724</vt:i4>
      </vt:variant>
      <vt:variant>
        <vt:i4>2288</vt:i4>
      </vt:variant>
      <vt:variant>
        <vt:i4>0</vt:i4>
      </vt:variant>
      <vt:variant>
        <vt:i4>5</vt:i4>
      </vt:variant>
      <vt:variant>
        <vt:lpwstr/>
      </vt:variant>
      <vt:variant>
        <vt:lpwstr>Annexe_24A</vt:lpwstr>
      </vt:variant>
      <vt:variant>
        <vt:i4>3997724</vt:i4>
      </vt:variant>
      <vt:variant>
        <vt:i4>2285</vt:i4>
      </vt:variant>
      <vt:variant>
        <vt:i4>0</vt:i4>
      </vt:variant>
      <vt:variant>
        <vt:i4>5</vt:i4>
      </vt:variant>
      <vt:variant>
        <vt:lpwstr/>
      </vt:variant>
      <vt:variant>
        <vt:lpwstr>Annexe_24A</vt:lpwstr>
      </vt:variant>
      <vt:variant>
        <vt:i4>7471146</vt:i4>
      </vt:variant>
      <vt:variant>
        <vt:i4>2282</vt:i4>
      </vt:variant>
      <vt:variant>
        <vt:i4>0</vt:i4>
      </vt:variant>
      <vt:variant>
        <vt:i4>5</vt:i4>
      </vt:variant>
      <vt:variant>
        <vt:lpwstr>http://www.enseignement.be/</vt:lpwstr>
      </vt:variant>
      <vt:variant>
        <vt:lpwstr/>
      </vt:variant>
      <vt:variant>
        <vt:i4>3997724</vt:i4>
      </vt:variant>
      <vt:variant>
        <vt:i4>2279</vt:i4>
      </vt:variant>
      <vt:variant>
        <vt:i4>0</vt:i4>
      </vt:variant>
      <vt:variant>
        <vt:i4>5</vt:i4>
      </vt:variant>
      <vt:variant>
        <vt:lpwstr/>
      </vt:variant>
      <vt:variant>
        <vt:lpwstr>Annexe_24A</vt:lpwstr>
      </vt:variant>
      <vt:variant>
        <vt:i4>6881385</vt:i4>
      </vt:variant>
      <vt:variant>
        <vt:i4>2276</vt:i4>
      </vt:variant>
      <vt:variant>
        <vt:i4>0</vt:i4>
      </vt:variant>
      <vt:variant>
        <vt:i4>5</vt:i4>
      </vt:variant>
      <vt:variant>
        <vt:lpwstr>http://www.gallilex.cfwb.be/fr/leg_res_01.php?ncda=21557&amp;referant=l02&amp;bck_ncda=21557&amp;bck_referant=l00</vt:lpwstr>
      </vt:variant>
      <vt:variant>
        <vt:lpwstr/>
      </vt:variant>
      <vt:variant>
        <vt:i4>2097243</vt:i4>
      </vt:variant>
      <vt:variant>
        <vt:i4>2273</vt:i4>
      </vt:variant>
      <vt:variant>
        <vt:i4>0</vt:i4>
      </vt:variant>
      <vt:variant>
        <vt:i4>5</vt:i4>
      </vt:variant>
      <vt:variant>
        <vt:lpwstr>mailto:secretariat.fondamental@cfwb.be</vt:lpwstr>
      </vt:variant>
      <vt:variant>
        <vt:lpwstr/>
      </vt:variant>
      <vt:variant>
        <vt:i4>4128795</vt:i4>
      </vt:variant>
      <vt:variant>
        <vt:i4>2270</vt:i4>
      </vt:variant>
      <vt:variant>
        <vt:i4>0</vt:i4>
      </vt:variant>
      <vt:variant>
        <vt:i4>5</vt:i4>
      </vt:variant>
      <vt:variant>
        <vt:lpwstr/>
      </vt:variant>
      <vt:variant>
        <vt:lpwstr>Annexe_23C</vt:lpwstr>
      </vt:variant>
      <vt:variant>
        <vt:i4>4063259</vt:i4>
      </vt:variant>
      <vt:variant>
        <vt:i4>2267</vt:i4>
      </vt:variant>
      <vt:variant>
        <vt:i4>0</vt:i4>
      </vt:variant>
      <vt:variant>
        <vt:i4>5</vt:i4>
      </vt:variant>
      <vt:variant>
        <vt:lpwstr/>
      </vt:variant>
      <vt:variant>
        <vt:lpwstr>Annexe_23B</vt:lpwstr>
      </vt:variant>
      <vt:variant>
        <vt:i4>3997723</vt:i4>
      </vt:variant>
      <vt:variant>
        <vt:i4>2264</vt:i4>
      </vt:variant>
      <vt:variant>
        <vt:i4>0</vt:i4>
      </vt:variant>
      <vt:variant>
        <vt:i4>5</vt:i4>
      </vt:variant>
      <vt:variant>
        <vt:lpwstr/>
      </vt:variant>
      <vt:variant>
        <vt:lpwstr>Annexe_23A</vt:lpwstr>
      </vt:variant>
      <vt:variant>
        <vt:i4>4128795</vt:i4>
      </vt:variant>
      <vt:variant>
        <vt:i4>2261</vt:i4>
      </vt:variant>
      <vt:variant>
        <vt:i4>0</vt:i4>
      </vt:variant>
      <vt:variant>
        <vt:i4>5</vt:i4>
      </vt:variant>
      <vt:variant>
        <vt:lpwstr/>
      </vt:variant>
      <vt:variant>
        <vt:lpwstr>Annexe_23C</vt:lpwstr>
      </vt:variant>
      <vt:variant>
        <vt:i4>4063259</vt:i4>
      </vt:variant>
      <vt:variant>
        <vt:i4>2258</vt:i4>
      </vt:variant>
      <vt:variant>
        <vt:i4>0</vt:i4>
      </vt:variant>
      <vt:variant>
        <vt:i4>5</vt:i4>
      </vt:variant>
      <vt:variant>
        <vt:lpwstr/>
      </vt:variant>
      <vt:variant>
        <vt:lpwstr>Annexe_23B</vt:lpwstr>
      </vt:variant>
      <vt:variant>
        <vt:i4>3997723</vt:i4>
      </vt:variant>
      <vt:variant>
        <vt:i4>2255</vt:i4>
      </vt:variant>
      <vt:variant>
        <vt:i4>0</vt:i4>
      </vt:variant>
      <vt:variant>
        <vt:i4>5</vt:i4>
      </vt:variant>
      <vt:variant>
        <vt:lpwstr/>
      </vt:variant>
      <vt:variant>
        <vt:lpwstr>Annexe_23A</vt:lpwstr>
      </vt:variant>
      <vt:variant>
        <vt:i4>4128795</vt:i4>
      </vt:variant>
      <vt:variant>
        <vt:i4>2252</vt:i4>
      </vt:variant>
      <vt:variant>
        <vt:i4>0</vt:i4>
      </vt:variant>
      <vt:variant>
        <vt:i4>5</vt:i4>
      </vt:variant>
      <vt:variant>
        <vt:lpwstr/>
      </vt:variant>
      <vt:variant>
        <vt:lpwstr>Annexe_23C</vt:lpwstr>
      </vt:variant>
      <vt:variant>
        <vt:i4>4063259</vt:i4>
      </vt:variant>
      <vt:variant>
        <vt:i4>2249</vt:i4>
      </vt:variant>
      <vt:variant>
        <vt:i4>0</vt:i4>
      </vt:variant>
      <vt:variant>
        <vt:i4>5</vt:i4>
      </vt:variant>
      <vt:variant>
        <vt:lpwstr/>
      </vt:variant>
      <vt:variant>
        <vt:lpwstr>Annexe_23B</vt:lpwstr>
      </vt:variant>
      <vt:variant>
        <vt:i4>3997723</vt:i4>
      </vt:variant>
      <vt:variant>
        <vt:i4>2246</vt:i4>
      </vt:variant>
      <vt:variant>
        <vt:i4>0</vt:i4>
      </vt:variant>
      <vt:variant>
        <vt:i4>5</vt:i4>
      </vt:variant>
      <vt:variant>
        <vt:lpwstr/>
      </vt:variant>
      <vt:variant>
        <vt:lpwstr>Annexe_23A</vt:lpwstr>
      </vt:variant>
      <vt:variant>
        <vt:i4>4128795</vt:i4>
      </vt:variant>
      <vt:variant>
        <vt:i4>2243</vt:i4>
      </vt:variant>
      <vt:variant>
        <vt:i4>0</vt:i4>
      </vt:variant>
      <vt:variant>
        <vt:i4>5</vt:i4>
      </vt:variant>
      <vt:variant>
        <vt:lpwstr/>
      </vt:variant>
      <vt:variant>
        <vt:lpwstr>Annexe_23C</vt:lpwstr>
      </vt:variant>
      <vt:variant>
        <vt:i4>4063259</vt:i4>
      </vt:variant>
      <vt:variant>
        <vt:i4>2240</vt:i4>
      </vt:variant>
      <vt:variant>
        <vt:i4>0</vt:i4>
      </vt:variant>
      <vt:variant>
        <vt:i4>5</vt:i4>
      </vt:variant>
      <vt:variant>
        <vt:lpwstr/>
      </vt:variant>
      <vt:variant>
        <vt:lpwstr>Annexe_23B</vt:lpwstr>
      </vt:variant>
      <vt:variant>
        <vt:i4>3997723</vt:i4>
      </vt:variant>
      <vt:variant>
        <vt:i4>2237</vt:i4>
      </vt:variant>
      <vt:variant>
        <vt:i4>0</vt:i4>
      </vt:variant>
      <vt:variant>
        <vt:i4>5</vt:i4>
      </vt:variant>
      <vt:variant>
        <vt:lpwstr/>
      </vt:variant>
      <vt:variant>
        <vt:lpwstr>Annexe_23A</vt:lpwstr>
      </vt:variant>
      <vt:variant>
        <vt:i4>6881385</vt:i4>
      </vt:variant>
      <vt:variant>
        <vt:i4>2234</vt:i4>
      </vt:variant>
      <vt:variant>
        <vt:i4>0</vt:i4>
      </vt:variant>
      <vt:variant>
        <vt:i4>5</vt:i4>
      </vt:variant>
      <vt:variant>
        <vt:lpwstr>http://www.gallilex.cfwb.be/fr/leg_res_01.php?ncda=23469&amp;referant=l02&amp;bck_ncda=23469&amp;bck_referant=l00</vt:lpwstr>
      </vt:variant>
      <vt:variant>
        <vt:lpwstr/>
      </vt:variant>
      <vt:variant>
        <vt:i4>6881385</vt:i4>
      </vt:variant>
      <vt:variant>
        <vt:i4>2231</vt:i4>
      </vt:variant>
      <vt:variant>
        <vt:i4>0</vt:i4>
      </vt:variant>
      <vt:variant>
        <vt:i4>5</vt:i4>
      </vt:variant>
      <vt:variant>
        <vt:lpwstr>http://www.gallilex.cfwb.be/fr/leg_res_01.php?ncda=19069&amp;referant=l02&amp;bck_ncda=19069&amp;bck_referant=l00</vt:lpwstr>
      </vt:variant>
      <vt:variant>
        <vt:lpwstr/>
      </vt:variant>
      <vt:variant>
        <vt:i4>2621480</vt:i4>
      </vt:variant>
      <vt:variant>
        <vt:i4>2228</vt:i4>
      </vt:variant>
      <vt:variant>
        <vt:i4>0</vt:i4>
      </vt:variant>
      <vt:variant>
        <vt:i4>5</vt:i4>
      </vt:variant>
      <vt:variant>
        <vt:lpwstr>http://www.gallilex.cfwb.be/fr/leg_res_01.php?ncda=9547&amp;referant=l02&amp;bck_ncda=9547&amp;bck_referant=l00</vt:lpwstr>
      </vt:variant>
      <vt:variant>
        <vt:lpwstr/>
      </vt:variant>
      <vt:variant>
        <vt:i4>2162800</vt:i4>
      </vt:variant>
      <vt:variant>
        <vt:i4>2225</vt:i4>
      </vt:variant>
      <vt:variant>
        <vt:i4>0</vt:i4>
      </vt:variant>
      <vt:variant>
        <vt:i4>5</vt:i4>
      </vt:variant>
      <vt:variant>
        <vt:lpwstr>http://www.placesecolesmaternellesetprimaires.cfwb.be/</vt:lpwstr>
      </vt:variant>
      <vt:variant>
        <vt:lpwstr/>
      </vt:variant>
      <vt:variant>
        <vt:i4>3276816</vt:i4>
      </vt:variant>
      <vt:variant>
        <vt:i4>2222</vt:i4>
      </vt:variant>
      <vt:variant>
        <vt:i4>0</vt:i4>
      </vt:variant>
      <vt:variant>
        <vt:i4>5</vt:i4>
      </vt:variant>
      <vt:variant>
        <vt:lpwstr>http://www.enseignement.be/index.php?page=26823&amp;do_id=5204</vt:lpwstr>
      </vt:variant>
      <vt:variant>
        <vt:lpwstr/>
      </vt:variant>
      <vt:variant>
        <vt:i4>6881385</vt:i4>
      </vt:variant>
      <vt:variant>
        <vt:i4>2219</vt:i4>
      </vt:variant>
      <vt:variant>
        <vt:i4>0</vt:i4>
      </vt:variant>
      <vt:variant>
        <vt:i4>5</vt:i4>
      </vt:variant>
      <vt:variant>
        <vt:lpwstr>http://www.gallilex.cfwb.be/fr/leg_res_01.php?ncda=21557&amp;referant=l02&amp;bck_ncda=21557&amp;bck_referant=l00</vt:lpwstr>
      </vt:variant>
      <vt:variant>
        <vt:lpwstr/>
      </vt:variant>
      <vt:variant>
        <vt:i4>6881393</vt:i4>
      </vt:variant>
      <vt:variant>
        <vt:i4>2216</vt:i4>
      </vt:variant>
      <vt:variant>
        <vt:i4>0</vt:i4>
      </vt:variant>
      <vt:variant>
        <vt:i4>5</vt:i4>
      </vt:variant>
      <vt:variant>
        <vt:lpwstr/>
      </vt:variant>
      <vt:variant>
        <vt:lpwstr>_2.6.2.__</vt:lpwstr>
      </vt:variant>
      <vt:variant>
        <vt:i4>6815770</vt:i4>
      </vt:variant>
      <vt:variant>
        <vt:i4>2213</vt:i4>
      </vt:variant>
      <vt:variant>
        <vt:i4>0</vt:i4>
      </vt:variant>
      <vt:variant>
        <vt:i4>5</vt:i4>
      </vt:variant>
      <vt:variant>
        <vt:lpwstr/>
      </vt:variant>
      <vt:variant>
        <vt:lpwstr>Annexe_224E</vt:lpwstr>
      </vt:variant>
      <vt:variant>
        <vt:i4>6815770</vt:i4>
      </vt:variant>
      <vt:variant>
        <vt:i4>2210</vt:i4>
      </vt:variant>
      <vt:variant>
        <vt:i4>0</vt:i4>
      </vt:variant>
      <vt:variant>
        <vt:i4>5</vt:i4>
      </vt:variant>
      <vt:variant>
        <vt:lpwstr/>
      </vt:variant>
      <vt:variant>
        <vt:lpwstr>Annexe_224D</vt:lpwstr>
      </vt:variant>
      <vt:variant>
        <vt:i4>6815770</vt:i4>
      </vt:variant>
      <vt:variant>
        <vt:i4>2207</vt:i4>
      </vt:variant>
      <vt:variant>
        <vt:i4>0</vt:i4>
      </vt:variant>
      <vt:variant>
        <vt:i4>5</vt:i4>
      </vt:variant>
      <vt:variant>
        <vt:lpwstr/>
      </vt:variant>
      <vt:variant>
        <vt:lpwstr>Annexe_224C</vt:lpwstr>
      </vt:variant>
      <vt:variant>
        <vt:i4>6815770</vt:i4>
      </vt:variant>
      <vt:variant>
        <vt:i4>2204</vt:i4>
      </vt:variant>
      <vt:variant>
        <vt:i4>0</vt:i4>
      </vt:variant>
      <vt:variant>
        <vt:i4>5</vt:i4>
      </vt:variant>
      <vt:variant>
        <vt:lpwstr/>
      </vt:variant>
      <vt:variant>
        <vt:lpwstr>Annexe_224B</vt:lpwstr>
      </vt:variant>
      <vt:variant>
        <vt:i4>6815770</vt:i4>
      </vt:variant>
      <vt:variant>
        <vt:i4>2201</vt:i4>
      </vt:variant>
      <vt:variant>
        <vt:i4>0</vt:i4>
      </vt:variant>
      <vt:variant>
        <vt:i4>5</vt:i4>
      </vt:variant>
      <vt:variant>
        <vt:lpwstr/>
      </vt:variant>
      <vt:variant>
        <vt:lpwstr>Annexe_224A</vt:lpwstr>
      </vt:variant>
      <vt:variant>
        <vt:i4>7274522</vt:i4>
      </vt:variant>
      <vt:variant>
        <vt:i4>2198</vt:i4>
      </vt:variant>
      <vt:variant>
        <vt:i4>0</vt:i4>
      </vt:variant>
      <vt:variant>
        <vt:i4>5</vt:i4>
      </vt:variant>
      <vt:variant>
        <vt:lpwstr/>
      </vt:variant>
      <vt:variant>
        <vt:lpwstr>Annexe_223</vt:lpwstr>
      </vt:variant>
      <vt:variant>
        <vt:i4>7274522</vt:i4>
      </vt:variant>
      <vt:variant>
        <vt:i4>2195</vt:i4>
      </vt:variant>
      <vt:variant>
        <vt:i4>0</vt:i4>
      </vt:variant>
      <vt:variant>
        <vt:i4>5</vt:i4>
      </vt:variant>
      <vt:variant>
        <vt:lpwstr/>
      </vt:variant>
      <vt:variant>
        <vt:lpwstr>Annexe_223</vt:lpwstr>
      </vt:variant>
      <vt:variant>
        <vt:i4>5636139</vt:i4>
      </vt:variant>
      <vt:variant>
        <vt:i4>2192</vt:i4>
      </vt:variant>
      <vt:variant>
        <vt:i4>0</vt:i4>
      </vt:variant>
      <vt:variant>
        <vt:i4>5</vt:i4>
      </vt:variant>
      <vt:variant>
        <vt:lpwstr/>
      </vt:variant>
      <vt:variant>
        <vt:lpwstr>Chapitre2_4</vt:lpwstr>
      </vt:variant>
      <vt:variant>
        <vt:i4>5636139</vt:i4>
      </vt:variant>
      <vt:variant>
        <vt:i4>2189</vt:i4>
      </vt:variant>
      <vt:variant>
        <vt:i4>0</vt:i4>
      </vt:variant>
      <vt:variant>
        <vt:i4>5</vt:i4>
      </vt:variant>
      <vt:variant>
        <vt:lpwstr/>
      </vt:variant>
      <vt:variant>
        <vt:lpwstr>Chapitre2_4</vt:lpwstr>
      </vt:variant>
      <vt:variant>
        <vt:i4>6881385</vt:i4>
      </vt:variant>
      <vt:variant>
        <vt:i4>2186</vt:i4>
      </vt:variant>
      <vt:variant>
        <vt:i4>0</vt:i4>
      </vt:variant>
      <vt:variant>
        <vt:i4>5</vt:i4>
      </vt:variant>
      <vt:variant>
        <vt:lpwstr>http://www.gallilex.cfwb.be/fr/leg_res_01.php?ncda=37785&amp;referant=l02&amp;bck_ncda=37785&amp;bck_referant=l00</vt:lpwstr>
      </vt:variant>
      <vt:variant>
        <vt:lpwstr/>
      </vt:variant>
      <vt:variant>
        <vt:i4>4456454</vt:i4>
      </vt:variant>
      <vt:variant>
        <vt:i4>2183</vt:i4>
      </vt:variant>
      <vt:variant>
        <vt:i4>0</vt:i4>
      </vt:variant>
      <vt:variant>
        <vt:i4>5</vt:i4>
      </vt:variant>
      <vt:variant>
        <vt:lpwstr>http://www.gallilex.cfwb.be/fr/leg_res_01.php?ncda=22229&amp;referant=l01</vt:lpwstr>
      </vt:variant>
      <vt:variant>
        <vt:lpwstr/>
      </vt:variant>
      <vt:variant>
        <vt:i4>6881385</vt:i4>
      </vt:variant>
      <vt:variant>
        <vt:i4>2180</vt:i4>
      </vt:variant>
      <vt:variant>
        <vt:i4>0</vt:i4>
      </vt:variant>
      <vt:variant>
        <vt:i4>5</vt:i4>
      </vt:variant>
      <vt:variant>
        <vt:lpwstr>http://www.gallilex.cfwb.be/fr/leg_res_01.php?ncda=21557&amp;referant=l02&amp;bck_ncda=21557&amp;bck_referant=l00</vt:lpwstr>
      </vt:variant>
      <vt:variant>
        <vt:lpwstr/>
      </vt:variant>
      <vt:variant>
        <vt:i4>1572956</vt:i4>
      </vt:variant>
      <vt:variant>
        <vt:i4>2177</vt:i4>
      </vt:variant>
      <vt:variant>
        <vt:i4>0</vt:i4>
      </vt:variant>
      <vt:variant>
        <vt:i4>5</vt:i4>
      </vt:variant>
      <vt:variant>
        <vt:lpwstr>http://www.gallilex.cfwb.be/fr/leg_res_01.php?ncda=9676&amp;referant=l01</vt:lpwstr>
      </vt:variant>
      <vt:variant>
        <vt:lpwstr/>
      </vt:variant>
      <vt:variant>
        <vt:i4>4456548</vt:i4>
      </vt:variant>
      <vt:variant>
        <vt:i4>2174</vt:i4>
      </vt:variant>
      <vt:variant>
        <vt:i4>0</vt:i4>
      </vt:variant>
      <vt:variant>
        <vt:i4>5</vt:i4>
      </vt:variant>
      <vt:variant>
        <vt:lpwstr>mailto:edep@cfwb.be</vt:lpwstr>
      </vt:variant>
      <vt:variant>
        <vt:lpwstr/>
      </vt:variant>
      <vt:variant>
        <vt:i4>5111814</vt:i4>
      </vt:variant>
      <vt:variant>
        <vt:i4>2171</vt:i4>
      </vt:variant>
      <vt:variant>
        <vt:i4>0</vt:i4>
      </vt:variant>
      <vt:variant>
        <vt:i4>5</vt:i4>
      </vt:variant>
      <vt:variant>
        <vt:lpwstr>http://www.gallilex.cfwb.be/fr/leg_res_01.php?ncda=31616&amp;referant=l01</vt:lpwstr>
      </vt:variant>
      <vt:variant>
        <vt:lpwstr/>
      </vt:variant>
      <vt:variant>
        <vt:i4>5177357</vt:i4>
      </vt:variant>
      <vt:variant>
        <vt:i4>2168</vt:i4>
      </vt:variant>
      <vt:variant>
        <vt:i4>0</vt:i4>
      </vt:variant>
      <vt:variant>
        <vt:i4>5</vt:i4>
      </vt:variant>
      <vt:variant>
        <vt:lpwstr>http://www.gallilex.cfwb.be/fr/leg_res_01.php?ncda=28737&amp;referant=l01</vt:lpwstr>
      </vt:variant>
      <vt:variant>
        <vt:lpwstr/>
      </vt:variant>
      <vt:variant>
        <vt:i4>4325390</vt:i4>
      </vt:variant>
      <vt:variant>
        <vt:i4>2165</vt:i4>
      </vt:variant>
      <vt:variant>
        <vt:i4>0</vt:i4>
      </vt:variant>
      <vt:variant>
        <vt:i4>5</vt:i4>
      </vt:variant>
      <vt:variant>
        <vt:lpwstr>http://www.gallilex.cfwb.be/fr/leg_res_01.php?ncda=10886&amp;referant=l01</vt:lpwstr>
      </vt:variant>
      <vt:variant>
        <vt:lpwstr/>
      </vt:variant>
      <vt:variant>
        <vt:i4>4718598</vt:i4>
      </vt:variant>
      <vt:variant>
        <vt:i4>2162</vt:i4>
      </vt:variant>
      <vt:variant>
        <vt:i4>0</vt:i4>
      </vt:variant>
      <vt:variant>
        <vt:i4>5</vt:i4>
      </vt:variant>
      <vt:variant>
        <vt:lpwstr>http://www.gallilex.cfwb.be/fr/leg_res_01.php?ncda=33036&amp;referant=l01</vt:lpwstr>
      </vt:variant>
      <vt:variant>
        <vt:lpwstr/>
      </vt:variant>
      <vt:variant>
        <vt:i4>6881385</vt:i4>
      </vt:variant>
      <vt:variant>
        <vt:i4>2159</vt:i4>
      </vt:variant>
      <vt:variant>
        <vt:i4>0</vt:i4>
      </vt:variant>
      <vt:variant>
        <vt:i4>5</vt:i4>
      </vt:variant>
      <vt:variant>
        <vt:lpwstr>http://www.gallilex.cfwb.be/fr/leg_res_01.php?ncda=18064&amp;referant=l02&amp;bck_ncda=18064&amp;bck_referant=l00</vt:lpwstr>
      </vt:variant>
      <vt:variant>
        <vt:lpwstr/>
      </vt:variant>
      <vt:variant>
        <vt:i4>2621480</vt:i4>
      </vt:variant>
      <vt:variant>
        <vt:i4>2156</vt:i4>
      </vt:variant>
      <vt:variant>
        <vt:i4>0</vt:i4>
      </vt:variant>
      <vt:variant>
        <vt:i4>5</vt:i4>
      </vt:variant>
      <vt:variant>
        <vt:lpwstr>http://www.gallilex.cfwb.be/fr/leg_res_01.php?ncda=9547&amp;referant=l02&amp;bck_ncda=9547&amp;bck_referant=l00</vt:lpwstr>
      </vt:variant>
      <vt:variant>
        <vt:lpwstr/>
      </vt:variant>
      <vt:variant>
        <vt:i4>1572956</vt:i4>
      </vt:variant>
      <vt:variant>
        <vt:i4>2153</vt:i4>
      </vt:variant>
      <vt:variant>
        <vt:i4>0</vt:i4>
      </vt:variant>
      <vt:variant>
        <vt:i4>5</vt:i4>
      </vt:variant>
      <vt:variant>
        <vt:lpwstr>http://www.gallilex.cfwb.be/fr/leg_res_01.php?ncda=9676&amp;referant=l01</vt:lpwstr>
      </vt:variant>
      <vt:variant>
        <vt:lpwstr/>
      </vt:variant>
      <vt:variant>
        <vt:i4>5636139</vt:i4>
      </vt:variant>
      <vt:variant>
        <vt:i4>2150</vt:i4>
      </vt:variant>
      <vt:variant>
        <vt:i4>0</vt:i4>
      </vt:variant>
      <vt:variant>
        <vt:i4>5</vt:i4>
      </vt:variant>
      <vt:variant>
        <vt:lpwstr/>
      </vt:variant>
      <vt:variant>
        <vt:lpwstr>chapitre2_3</vt:lpwstr>
      </vt:variant>
      <vt:variant>
        <vt:i4>8323144</vt:i4>
      </vt:variant>
      <vt:variant>
        <vt:i4>2147</vt:i4>
      </vt:variant>
      <vt:variant>
        <vt:i4>0</vt:i4>
      </vt:variant>
      <vt:variant>
        <vt:i4>5</vt:i4>
      </vt:variant>
      <vt:variant>
        <vt:lpwstr/>
      </vt:variant>
      <vt:variant>
        <vt:lpwstr>section2_3_2_2</vt:lpwstr>
      </vt:variant>
      <vt:variant>
        <vt:i4>6750286</vt:i4>
      </vt:variant>
      <vt:variant>
        <vt:i4>2144</vt:i4>
      </vt:variant>
      <vt:variant>
        <vt:i4>0</vt:i4>
      </vt:variant>
      <vt:variant>
        <vt:i4>5</vt:i4>
      </vt:variant>
      <vt:variant>
        <vt:lpwstr/>
      </vt:variant>
      <vt:variant>
        <vt:lpwstr>_2.2.1._Avancement_en</vt:lpwstr>
      </vt:variant>
      <vt:variant>
        <vt:i4>3145804</vt:i4>
      </vt:variant>
      <vt:variant>
        <vt:i4>2141</vt:i4>
      </vt:variant>
      <vt:variant>
        <vt:i4>0</vt:i4>
      </vt:variant>
      <vt:variant>
        <vt:i4>5</vt:i4>
      </vt:variant>
      <vt:variant>
        <vt:lpwstr/>
      </vt:variant>
      <vt:variant>
        <vt:lpwstr>_1.2.2._L'organisation_en</vt:lpwstr>
      </vt:variant>
      <vt:variant>
        <vt:i4>7864411</vt:i4>
      </vt:variant>
      <vt:variant>
        <vt:i4>2138</vt:i4>
      </vt:variant>
      <vt:variant>
        <vt:i4>0</vt:i4>
      </vt:variant>
      <vt:variant>
        <vt:i4>5</vt:i4>
      </vt:variant>
      <vt:variant>
        <vt:lpwstr/>
      </vt:variant>
      <vt:variant>
        <vt:lpwstr>_1.1.3._Socles_de</vt:lpwstr>
      </vt:variant>
      <vt:variant>
        <vt:i4>7864411</vt:i4>
      </vt:variant>
      <vt:variant>
        <vt:i4>2135</vt:i4>
      </vt:variant>
      <vt:variant>
        <vt:i4>0</vt:i4>
      </vt:variant>
      <vt:variant>
        <vt:i4>5</vt:i4>
      </vt:variant>
      <vt:variant>
        <vt:lpwstr/>
      </vt:variant>
      <vt:variant>
        <vt:lpwstr>_1.1.3._Socles_de</vt:lpwstr>
      </vt:variant>
      <vt:variant>
        <vt:i4>6881385</vt:i4>
      </vt:variant>
      <vt:variant>
        <vt:i4>2132</vt:i4>
      </vt:variant>
      <vt:variant>
        <vt:i4>0</vt:i4>
      </vt:variant>
      <vt:variant>
        <vt:i4>5</vt:i4>
      </vt:variant>
      <vt:variant>
        <vt:lpwstr>http://www.gallilex.cfwb.be/fr/leg_res_01.php?ncda=22229&amp;referant=l02&amp;bck_ncda=22229&amp;bck_referant=l00</vt:lpwstr>
      </vt:variant>
      <vt:variant>
        <vt:lpwstr/>
      </vt:variant>
      <vt:variant>
        <vt:i4>6881385</vt:i4>
      </vt:variant>
      <vt:variant>
        <vt:i4>2129</vt:i4>
      </vt:variant>
      <vt:variant>
        <vt:i4>0</vt:i4>
      </vt:variant>
      <vt:variant>
        <vt:i4>5</vt:i4>
      </vt:variant>
      <vt:variant>
        <vt:lpwstr>http://www.gallilex.cfwb.be/fr/leg_res_01.php?ncda=21557&amp;referant=l02&amp;bck_ncda=21557&amp;bck_referant=l00</vt:lpwstr>
      </vt:variant>
      <vt:variant>
        <vt:lpwstr/>
      </vt:variant>
      <vt:variant>
        <vt:i4>6881385</vt:i4>
      </vt:variant>
      <vt:variant>
        <vt:i4>2126</vt:i4>
      </vt:variant>
      <vt:variant>
        <vt:i4>0</vt:i4>
      </vt:variant>
      <vt:variant>
        <vt:i4>5</vt:i4>
      </vt:variant>
      <vt:variant>
        <vt:lpwstr>http://www.gallilex.cfwb.be/fr/leg_res_01.php?ncda=19069&amp;referant=l02&amp;bck_ncda=19069&amp;bck_referant=l00</vt:lpwstr>
      </vt:variant>
      <vt:variant>
        <vt:lpwstr/>
      </vt:variant>
      <vt:variant>
        <vt:i4>7471146</vt:i4>
      </vt:variant>
      <vt:variant>
        <vt:i4>2123</vt:i4>
      </vt:variant>
      <vt:variant>
        <vt:i4>0</vt:i4>
      </vt:variant>
      <vt:variant>
        <vt:i4>5</vt:i4>
      </vt:variant>
      <vt:variant>
        <vt:lpwstr>http://www.enseignement.be/</vt:lpwstr>
      </vt:variant>
      <vt:variant>
        <vt:lpwstr/>
      </vt:variant>
      <vt:variant>
        <vt:i4>6881385</vt:i4>
      </vt:variant>
      <vt:variant>
        <vt:i4>2120</vt:i4>
      </vt:variant>
      <vt:variant>
        <vt:i4>0</vt:i4>
      </vt:variant>
      <vt:variant>
        <vt:i4>5</vt:i4>
      </vt:variant>
      <vt:variant>
        <vt:lpwstr>http://www.gallilex.cfwb.be/fr/leg_res_01.php?ncda=26663&amp;referant=l02&amp;bck_ncda=26663&amp;bck_referant=l00</vt:lpwstr>
      </vt:variant>
      <vt:variant>
        <vt:lpwstr/>
      </vt:variant>
      <vt:variant>
        <vt:i4>3145804</vt:i4>
      </vt:variant>
      <vt:variant>
        <vt:i4>2117</vt:i4>
      </vt:variant>
      <vt:variant>
        <vt:i4>0</vt:i4>
      </vt:variant>
      <vt:variant>
        <vt:i4>5</vt:i4>
      </vt:variant>
      <vt:variant>
        <vt:lpwstr/>
      </vt:variant>
      <vt:variant>
        <vt:lpwstr>_1.2.2._L'organisation_en</vt:lpwstr>
      </vt:variant>
      <vt:variant>
        <vt:i4>6881385</vt:i4>
      </vt:variant>
      <vt:variant>
        <vt:i4>2114</vt:i4>
      </vt:variant>
      <vt:variant>
        <vt:i4>0</vt:i4>
      </vt:variant>
      <vt:variant>
        <vt:i4>5</vt:i4>
      </vt:variant>
      <vt:variant>
        <vt:lpwstr>http://www.gallilex.cfwb.be/fr/leg_res_01.php?ncda=21557&amp;referant=l02&amp;bck_ncda=21557&amp;bck_referant=l00</vt:lpwstr>
      </vt:variant>
      <vt:variant>
        <vt:lpwstr/>
      </vt:variant>
      <vt:variant>
        <vt:i4>401489</vt:i4>
      </vt:variant>
      <vt:variant>
        <vt:i4>2111</vt:i4>
      </vt:variant>
      <vt:variant>
        <vt:i4>0</vt:i4>
      </vt:variant>
      <vt:variant>
        <vt:i4>5</vt:i4>
      </vt:variant>
      <vt:variant>
        <vt:lpwstr/>
      </vt:variant>
      <vt:variant>
        <vt:lpwstr>_6.2.1.2.2._Dans_l’enseignement</vt:lpwstr>
      </vt:variant>
      <vt:variant>
        <vt:i4>1441841</vt:i4>
      </vt:variant>
      <vt:variant>
        <vt:i4>2108</vt:i4>
      </vt:variant>
      <vt:variant>
        <vt:i4>0</vt:i4>
      </vt:variant>
      <vt:variant>
        <vt:i4>5</vt:i4>
      </vt:variant>
      <vt:variant>
        <vt:lpwstr/>
      </vt:variant>
      <vt:variant>
        <vt:lpwstr>_2.5.1.__Justification</vt:lpwstr>
      </vt:variant>
      <vt:variant>
        <vt:i4>5636139</vt:i4>
      </vt:variant>
      <vt:variant>
        <vt:i4>2105</vt:i4>
      </vt:variant>
      <vt:variant>
        <vt:i4>0</vt:i4>
      </vt:variant>
      <vt:variant>
        <vt:i4>5</vt:i4>
      </vt:variant>
      <vt:variant>
        <vt:lpwstr/>
      </vt:variant>
      <vt:variant>
        <vt:lpwstr>Chapitre2_4</vt:lpwstr>
      </vt:variant>
      <vt:variant>
        <vt:i4>5636139</vt:i4>
      </vt:variant>
      <vt:variant>
        <vt:i4>2102</vt:i4>
      </vt:variant>
      <vt:variant>
        <vt:i4>0</vt:i4>
      </vt:variant>
      <vt:variant>
        <vt:i4>5</vt:i4>
      </vt:variant>
      <vt:variant>
        <vt:lpwstr/>
      </vt:variant>
      <vt:variant>
        <vt:lpwstr>chapitre2_3</vt:lpwstr>
      </vt:variant>
      <vt:variant>
        <vt:i4>5636139</vt:i4>
      </vt:variant>
      <vt:variant>
        <vt:i4>2099</vt:i4>
      </vt:variant>
      <vt:variant>
        <vt:i4>0</vt:i4>
      </vt:variant>
      <vt:variant>
        <vt:i4>5</vt:i4>
      </vt:variant>
      <vt:variant>
        <vt:lpwstr/>
      </vt:variant>
      <vt:variant>
        <vt:lpwstr>Chapitre2_4</vt:lpwstr>
      </vt:variant>
      <vt:variant>
        <vt:i4>5636139</vt:i4>
      </vt:variant>
      <vt:variant>
        <vt:i4>2096</vt:i4>
      </vt:variant>
      <vt:variant>
        <vt:i4>0</vt:i4>
      </vt:variant>
      <vt:variant>
        <vt:i4>5</vt:i4>
      </vt:variant>
      <vt:variant>
        <vt:lpwstr/>
      </vt:variant>
      <vt:variant>
        <vt:lpwstr>chapitre2_3</vt:lpwstr>
      </vt:variant>
      <vt:variant>
        <vt:i4>2097161</vt:i4>
      </vt:variant>
      <vt:variant>
        <vt:i4>2093</vt:i4>
      </vt:variant>
      <vt:variant>
        <vt:i4>0</vt:i4>
      </vt:variant>
      <vt:variant>
        <vt:i4>5</vt:i4>
      </vt:variant>
      <vt:variant>
        <vt:lpwstr/>
      </vt:variant>
      <vt:variant>
        <vt:lpwstr>_Chapitre_3.1._Programmation_</vt:lpwstr>
      </vt:variant>
      <vt:variant>
        <vt:i4>2097161</vt:i4>
      </vt:variant>
      <vt:variant>
        <vt:i4>2090</vt:i4>
      </vt:variant>
      <vt:variant>
        <vt:i4>0</vt:i4>
      </vt:variant>
      <vt:variant>
        <vt:i4>5</vt:i4>
      </vt:variant>
      <vt:variant>
        <vt:lpwstr/>
      </vt:variant>
      <vt:variant>
        <vt:lpwstr>_Chapitre_3.1._Programmation_</vt:lpwstr>
      </vt:variant>
      <vt:variant>
        <vt:i4>2097161</vt:i4>
      </vt:variant>
      <vt:variant>
        <vt:i4>2087</vt:i4>
      </vt:variant>
      <vt:variant>
        <vt:i4>0</vt:i4>
      </vt:variant>
      <vt:variant>
        <vt:i4>5</vt:i4>
      </vt:variant>
      <vt:variant>
        <vt:lpwstr/>
      </vt:variant>
      <vt:variant>
        <vt:lpwstr>_Chapitre_3.1._Programmation_</vt:lpwstr>
      </vt:variant>
      <vt:variant>
        <vt:i4>5636139</vt:i4>
      </vt:variant>
      <vt:variant>
        <vt:i4>2084</vt:i4>
      </vt:variant>
      <vt:variant>
        <vt:i4>0</vt:i4>
      </vt:variant>
      <vt:variant>
        <vt:i4>5</vt:i4>
      </vt:variant>
      <vt:variant>
        <vt:lpwstr/>
      </vt:variant>
      <vt:variant>
        <vt:lpwstr>chapitre2_3</vt:lpwstr>
      </vt:variant>
      <vt:variant>
        <vt:i4>2097161</vt:i4>
      </vt:variant>
      <vt:variant>
        <vt:i4>2081</vt:i4>
      </vt:variant>
      <vt:variant>
        <vt:i4>0</vt:i4>
      </vt:variant>
      <vt:variant>
        <vt:i4>5</vt:i4>
      </vt:variant>
      <vt:variant>
        <vt:lpwstr/>
      </vt:variant>
      <vt:variant>
        <vt:lpwstr>_Chapitre_3.1._Programmation_</vt:lpwstr>
      </vt:variant>
      <vt:variant>
        <vt:i4>6881385</vt:i4>
      </vt:variant>
      <vt:variant>
        <vt:i4>2078</vt:i4>
      </vt:variant>
      <vt:variant>
        <vt:i4>0</vt:i4>
      </vt:variant>
      <vt:variant>
        <vt:i4>5</vt:i4>
      </vt:variant>
      <vt:variant>
        <vt:lpwstr>http://www.gallilex.cfwb.be/fr/leg_res_01.php?ncda=10436&amp;referant=l02&amp;bck_ncda=10436&amp;bck_referant=l00</vt:lpwstr>
      </vt:variant>
      <vt:variant>
        <vt:lpwstr/>
      </vt:variant>
      <vt:variant>
        <vt:i4>6881385</vt:i4>
      </vt:variant>
      <vt:variant>
        <vt:i4>2075</vt:i4>
      </vt:variant>
      <vt:variant>
        <vt:i4>0</vt:i4>
      </vt:variant>
      <vt:variant>
        <vt:i4>5</vt:i4>
      </vt:variant>
      <vt:variant>
        <vt:lpwstr>http://www.gallilex.cfwb.be/fr/leg_res_01.php?ncda=21557&amp;referant=l02&amp;bck_ncda=21557&amp;bck_referant=l00</vt:lpwstr>
      </vt:variant>
      <vt:variant>
        <vt:lpwstr/>
      </vt:variant>
      <vt:variant>
        <vt:i4>2621480</vt:i4>
      </vt:variant>
      <vt:variant>
        <vt:i4>2072</vt:i4>
      </vt:variant>
      <vt:variant>
        <vt:i4>0</vt:i4>
      </vt:variant>
      <vt:variant>
        <vt:i4>5</vt:i4>
      </vt:variant>
      <vt:variant>
        <vt:lpwstr>http://www.gallilex.cfwb.be/fr/leg_res_01.php?ncda=9547&amp;referant=l02&amp;bck_ncda=9547&amp;bck_referant=l00</vt:lpwstr>
      </vt:variant>
      <vt:variant>
        <vt:lpwstr/>
      </vt:variant>
      <vt:variant>
        <vt:i4>6881385</vt:i4>
      </vt:variant>
      <vt:variant>
        <vt:i4>2069</vt:i4>
      </vt:variant>
      <vt:variant>
        <vt:i4>0</vt:i4>
      </vt:variant>
      <vt:variant>
        <vt:i4>5</vt:i4>
      </vt:variant>
      <vt:variant>
        <vt:lpwstr>http://www.gallilex.cfwb.be/fr/leg_res_01.php?ncda=22229&amp;referant=l02&amp;bck_ncda=22229&amp;bck_referant=l00</vt:lpwstr>
      </vt:variant>
      <vt:variant>
        <vt:lpwstr/>
      </vt:variant>
      <vt:variant>
        <vt:i4>5636150</vt:i4>
      </vt:variant>
      <vt:variant>
        <vt:i4>2066</vt:i4>
      </vt:variant>
      <vt:variant>
        <vt:i4>0</vt:i4>
      </vt:variant>
      <vt:variant>
        <vt:i4>5</vt:i4>
      </vt:variant>
      <vt:variant>
        <vt:lpwstr>mailto:exclusion-inscription@cfwb.be</vt:lpwstr>
      </vt:variant>
      <vt:variant>
        <vt:lpwstr/>
      </vt:variant>
      <vt:variant>
        <vt:i4>4653166</vt:i4>
      </vt:variant>
      <vt:variant>
        <vt:i4>2063</vt:i4>
      </vt:variant>
      <vt:variant>
        <vt:i4>0</vt:i4>
      </vt:variant>
      <vt:variant>
        <vt:i4>5</vt:i4>
      </vt:variant>
      <vt:variant>
        <vt:lpwstr>mailto:equipemobile@cfwb.be</vt:lpwstr>
      </vt:variant>
      <vt:variant>
        <vt:lpwstr/>
      </vt:variant>
      <vt:variant>
        <vt:i4>8323074</vt:i4>
      </vt:variant>
      <vt:variant>
        <vt:i4>2060</vt:i4>
      </vt:variant>
      <vt:variant>
        <vt:i4>0</vt:i4>
      </vt:variant>
      <vt:variant>
        <vt:i4>5</vt:i4>
      </vt:variant>
      <vt:variant>
        <vt:lpwstr>mailto:prenom.nom@cfwb.be</vt:lpwstr>
      </vt:variant>
      <vt:variant>
        <vt:lpwstr/>
      </vt:variant>
      <vt:variant>
        <vt:i4>9044023</vt:i4>
      </vt:variant>
      <vt:variant>
        <vt:i4>2057</vt:i4>
      </vt:variant>
      <vt:variant>
        <vt:i4>0</vt:i4>
      </vt:variant>
      <vt:variant>
        <vt:i4>5</vt:i4>
      </vt:variant>
      <vt:variant>
        <vt:lpwstr>mailto:courrier@médiateurcf.be</vt:lpwstr>
      </vt:variant>
      <vt:variant>
        <vt:lpwstr/>
      </vt:variant>
      <vt:variant>
        <vt:i4>1048635</vt:i4>
      </vt:variant>
      <vt:variant>
        <vt:i4>2050</vt:i4>
      </vt:variant>
      <vt:variant>
        <vt:i4>0</vt:i4>
      </vt:variant>
      <vt:variant>
        <vt:i4>5</vt:i4>
      </vt:variant>
      <vt:variant>
        <vt:lpwstr/>
      </vt:variant>
      <vt:variant>
        <vt:lpwstr>_Toc454888325</vt:lpwstr>
      </vt:variant>
      <vt:variant>
        <vt:i4>1048635</vt:i4>
      </vt:variant>
      <vt:variant>
        <vt:i4>2044</vt:i4>
      </vt:variant>
      <vt:variant>
        <vt:i4>0</vt:i4>
      </vt:variant>
      <vt:variant>
        <vt:i4>5</vt:i4>
      </vt:variant>
      <vt:variant>
        <vt:lpwstr/>
      </vt:variant>
      <vt:variant>
        <vt:lpwstr>_Toc454888324</vt:lpwstr>
      </vt:variant>
      <vt:variant>
        <vt:i4>1048635</vt:i4>
      </vt:variant>
      <vt:variant>
        <vt:i4>2038</vt:i4>
      </vt:variant>
      <vt:variant>
        <vt:i4>0</vt:i4>
      </vt:variant>
      <vt:variant>
        <vt:i4>5</vt:i4>
      </vt:variant>
      <vt:variant>
        <vt:lpwstr/>
      </vt:variant>
      <vt:variant>
        <vt:lpwstr>_Toc454888323</vt:lpwstr>
      </vt:variant>
      <vt:variant>
        <vt:i4>1048635</vt:i4>
      </vt:variant>
      <vt:variant>
        <vt:i4>2032</vt:i4>
      </vt:variant>
      <vt:variant>
        <vt:i4>0</vt:i4>
      </vt:variant>
      <vt:variant>
        <vt:i4>5</vt:i4>
      </vt:variant>
      <vt:variant>
        <vt:lpwstr/>
      </vt:variant>
      <vt:variant>
        <vt:lpwstr>_Toc454888322</vt:lpwstr>
      </vt:variant>
      <vt:variant>
        <vt:i4>1048635</vt:i4>
      </vt:variant>
      <vt:variant>
        <vt:i4>2026</vt:i4>
      </vt:variant>
      <vt:variant>
        <vt:i4>0</vt:i4>
      </vt:variant>
      <vt:variant>
        <vt:i4>5</vt:i4>
      </vt:variant>
      <vt:variant>
        <vt:lpwstr/>
      </vt:variant>
      <vt:variant>
        <vt:lpwstr>_Toc454888321</vt:lpwstr>
      </vt:variant>
      <vt:variant>
        <vt:i4>1048635</vt:i4>
      </vt:variant>
      <vt:variant>
        <vt:i4>2020</vt:i4>
      </vt:variant>
      <vt:variant>
        <vt:i4>0</vt:i4>
      </vt:variant>
      <vt:variant>
        <vt:i4>5</vt:i4>
      </vt:variant>
      <vt:variant>
        <vt:lpwstr/>
      </vt:variant>
      <vt:variant>
        <vt:lpwstr>_Toc454888320</vt:lpwstr>
      </vt:variant>
      <vt:variant>
        <vt:i4>1245243</vt:i4>
      </vt:variant>
      <vt:variant>
        <vt:i4>2014</vt:i4>
      </vt:variant>
      <vt:variant>
        <vt:i4>0</vt:i4>
      </vt:variant>
      <vt:variant>
        <vt:i4>5</vt:i4>
      </vt:variant>
      <vt:variant>
        <vt:lpwstr/>
      </vt:variant>
      <vt:variant>
        <vt:lpwstr>_Toc454888319</vt:lpwstr>
      </vt:variant>
      <vt:variant>
        <vt:i4>1245243</vt:i4>
      </vt:variant>
      <vt:variant>
        <vt:i4>2008</vt:i4>
      </vt:variant>
      <vt:variant>
        <vt:i4>0</vt:i4>
      </vt:variant>
      <vt:variant>
        <vt:i4>5</vt:i4>
      </vt:variant>
      <vt:variant>
        <vt:lpwstr/>
      </vt:variant>
      <vt:variant>
        <vt:lpwstr>_Toc454888318</vt:lpwstr>
      </vt:variant>
      <vt:variant>
        <vt:i4>1245243</vt:i4>
      </vt:variant>
      <vt:variant>
        <vt:i4>2002</vt:i4>
      </vt:variant>
      <vt:variant>
        <vt:i4>0</vt:i4>
      </vt:variant>
      <vt:variant>
        <vt:i4>5</vt:i4>
      </vt:variant>
      <vt:variant>
        <vt:lpwstr/>
      </vt:variant>
      <vt:variant>
        <vt:lpwstr>_Toc454888317</vt:lpwstr>
      </vt:variant>
      <vt:variant>
        <vt:i4>1245243</vt:i4>
      </vt:variant>
      <vt:variant>
        <vt:i4>1996</vt:i4>
      </vt:variant>
      <vt:variant>
        <vt:i4>0</vt:i4>
      </vt:variant>
      <vt:variant>
        <vt:i4>5</vt:i4>
      </vt:variant>
      <vt:variant>
        <vt:lpwstr/>
      </vt:variant>
      <vt:variant>
        <vt:lpwstr>_Toc454888316</vt:lpwstr>
      </vt:variant>
      <vt:variant>
        <vt:i4>1245243</vt:i4>
      </vt:variant>
      <vt:variant>
        <vt:i4>1990</vt:i4>
      </vt:variant>
      <vt:variant>
        <vt:i4>0</vt:i4>
      </vt:variant>
      <vt:variant>
        <vt:i4>5</vt:i4>
      </vt:variant>
      <vt:variant>
        <vt:lpwstr/>
      </vt:variant>
      <vt:variant>
        <vt:lpwstr>_Toc454888315</vt:lpwstr>
      </vt:variant>
      <vt:variant>
        <vt:i4>1245243</vt:i4>
      </vt:variant>
      <vt:variant>
        <vt:i4>1984</vt:i4>
      </vt:variant>
      <vt:variant>
        <vt:i4>0</vt:i4>
      </vt:variant>
      <vt:variant>
        <vt:i4>5</vt:i4>
      </vt:variant>
      <vt:variant>
        <vt:lpwstr/>
      </vt:variant>
      <vt:variant>
        <vt:lpwstr>_Toc454888314</vt:lpwstr>
      </vt:variant>
      <vt:variant>
        <vt:i4>1245243</vt:i4>
      </vt:variant>
      <vt:variant>
        <vt:i4>1978</vt:i4>
      </vt:variant>
      <vt:variant>
        <vt:i4>0</vt:i4>
      </vt:variant>
      <vt:variant>
        <vt:i4>5</vt:i4>
      </vt:variant>
      <vt:variant>
        <vt:lpwstr/>
      </vt:variant>
      <vt:variant>
        <vt:lpwstr>_Toc454888313</vt:lpwstr>
      </vt:variant>
      <vt:variant>
        <vt:i4>1245243</vt:i4>
      </vt:variant>
      <vt:variant>
        <vt:i4>1972</vt:i4>
      </vt:variant>
      <vt:variant>
        <vt:i4>0</vt:i4>
      </vt:variant>
      <vt:variant>
        <vt:i4>5</vt:i4>
      </vt:variant>
      <vt:variant>
        <vt:lpwstr/>
      </vt:variant>
      <vt:variant>
        <vt:lpwstr>_Toc454888312</vt:lpwstr>
      </vt:variant>
      <vt:variant>
        <vt:i4>1245243</vt:i4>
      </vt:variant>
      <vt:variant>
        <vt:i4>1966</vt:i4>
      </vt:variant>
      <vt:variant>
        <vt:i4>0</vt:i4>
      </vt:variant>
      <vt:variant>
        <vt:i4>5</vt:i4>
      </vt:variant>
      <vt:variant>
        <vt:lpwstr/>
      </vt:variant>
      <vt:variant>
        <vt:lpwstr>_Toc454888311</vt:lpwstr>
      </vt:variant>
      <vt:variant>
        <vt:i4>1245243</vt:i4>
      </vt:variant>
      <vt:variant>
        <vt:i4>1960</vt:i4>
      </vt:variant>
      <vt:variant>
        <vt:i4>0</vt:i4>
      </vt:variant>
      <vt:variant>
        <vt:i4>5</vt:i4>
      </vt:variant>
      <vt:variant>
        <vt:lpwstr/>
      </vt:variant>
      <vt:variant>
        <vt:lpwstr>_Toc454888310</vt:lpwstr>
      </vt:variant>
      <vt:variant>
        <vt:i4>1179707</vt:i4>
      </vt:variant>
      <vt:variant>
        <vt:i4>1954</vt:i4>
      </vt:variant>
      <vt:variant>
        <vt:i4>0</vt:i4>
      </vt:variant>
      <vt:variant>
        <vt:i4>5</vt:i4>
      </vt:variant>
      <vt:variant>
        <vt:lpwstr/>
      </vt:variant>
      <vt:variant>
        <vt:lpwstr>_Toc454888309</vt:lpwstr>
      </vt:variant>
      <vt:variant>
        <vt:i4>1179707</vt:i4>
      </vt:variant>
      <vt:variant>
        <vt:i4>1948</vt:i4>
      </vt:variant>
      <vt:variant>
        <vt:i4>0</vt:i4>
      </vt:variant>
      <vt:variant>
        <vt:i4>5</vt:i4>
      </vt:variant>
      <vt:variant>
        <vt:lpwstr/>
      </vt:variant>
      <vt:variant>
        <vt:lpwstr>_Toc454888308</vt:lpwstr>
      </vt:variant>
      <vt:variant>
        <vt:i4>1179707</vt:i4>
      </vt:variant>
      <vt:variant>
        <vt:i4>1942</vt:i4>
      </vt:variant>
      <vt:variant>
        <vt:i4>0</vt:i4>
      </vt:variant>
      <vt:variant>
        <vt:i4>5</vt:i4>
      </vt:variant>
      <vt:variant>
        <vt:lpwstr/>
      </vt:variant>
      <vt:variant>
        <vt:lpwstr>_Toc454888307</vt:lpwstr>
      </vt:variant>
      <vt:variant>
        <vt:i4>1179707</vt:i4>
      </vt:variant>
      <vt:variant>
        <vt:i4>1936</vt:i4>
      </vt:variant>
      <vt:variant>
        <vt:i4>0</vt:i4>
      </vt:variant>
      <vt:variant>
        <vt:i4>5</vt:i4>
      </vt:variant>
      <vt:variant>
        <vt:lpwstr/>
      </vt:variant>
      <vt:variant>
        <vt:lpwstr>_Toc454888306</vt:lpwstr>
      </vt:variant>
      <vt:variant>
        <vt:i4>1179707</vt:i4>
      </vt:variant>
      <vt:variant>
        <vt:i4>1930</vt:i4>
      </vt:variant>
      <vt:variant>
        <vt:i4>0</vt:i4>
      </vt:variant>
      <vt:variant>
        <vt:i4>5</vt:i4>
      </vt:variant>
      <vt:variant>
        <vt:lpwstr/>
      </vt:variant>
      <vt:variant>
        <vt:lpwstr>_Toc454888305</vt:lpwstr>
      </vt:variant>
      <vt:variant>
        <vt:i4>1179707</vt:i4>
      </vt:variant>
      <vt:variant>
        <vt:i4>1924</vt:i4>
      </vt:variant>
      <vt:variant>
        <vt:i4>0</vt:i4>
      </vt:variant>
      <vt:variant>
        <vt:i4>5</vt:i4>
      </vt:variant>
      <vt:variant>
        <vt:lpwstr/>
      </vt:variant>
      <vt:variant>
        <vt:lpwstr>_Toc454888304</vt:lpwstr>
      </vt:variant>
      <vt:variant>
        <vt:i4>1179707</vt:i4>
      </vt:variant>
      <vt:variant>
        <vt:i4>1918</vt:i4>
      </vt:variant>
      <vt:variant>
        <vt:i4>0</vt:i4>
      </vt:variant>
      <vt:variant>
        <vt:i4>5</vt:i4>
      </vt:variant>
      <vt:variant>
        <vt:lpwstr/>
      </vt:variant>
      <vt:variant>
        <vt:lpwstr>_Toc454888303</vt:lpwstr>
      </vt:variant>
      <vt:variant>
        <vt:i4>1179707</vt:i4>
      </vt:variant>
      <vt:variant>
        <vt:i4>1912</vt:i4>
      </vt:variant>
      <vt:variant>
        <vt:i4>0</vt:i4>
      </vt:variant>
      <vt:variant>
        <vt:i4>5</vt:i4>
      </vt:variant>
      <vt:variant>
        <vt:lpwstr/>
      </vt:variant>
      <vt:variant>
        <vt:lpwstr>_Toc454888302</vt:lpwstr>
      </vt:variant>
      <vt:variant>
        <vt:i4>1179707</vt:i4>
      </vt:variant>
      <vt:variant>
        <vt:i4>1906</vt:i4>
      </vt:variant>
      <vt:variant>
        <vt:i4>0</vt:i4>
      </vt:variant>
      <vt:variant>
        <vt:i4>5</vt:i4>
      </vt:variant>
      <vt:variant>
        <vt:lpwstr/>
      </vt:variant>
      <vt:variant>
        <vt:lpwstr>_Toc454888301</vt:lpwstr>
      </vt:variant>
      <vt:variant>
        <vt:i4>1179707</vt:i4>
      </vt:variant>
      <vt:variant>
        <vt:i4>1900</vt:i4>
      </vt:variant>
      <vt:variant>
        <vt:i4>0</vt:i4>
      </vt:variant>
      <vt:variant>
        <vt:i4>5</vt:i4>
      </vt:variant>
      <vt:variant>
        <vt:lpwstr/>
      </vt:variant>
      <vt:variant>
        <vt:lpwstr>_Toc454888300</vt:lpwstr>
      </vt:variant>
      <vt:variant>
        <vt:i4>1769530</vt:i4>
      </vt:variant>
      <vt:variant>
        <vt:i4>1894</vt:i4>
      </vt:variant>
      <vt:variant>
        <vt:i4>0</vt:i4>
      </vt:variant>
      <vt:variant>
        <vt:i4>5</vt:i4>
      </vt:variant>
      <vt:variant>
        <vt:lpwstr/>
      </vt:variant>
      <vt:variant>
        <vt:lpwstr>_Toc454888299</vt:lpwstr>
      </vt:variant>
      <vt:variant>
        <vt:i4>1769530</vt:i4>
      </vt:variant>
      <vt:variant>
        <vt:i4>1888</vt:i4>
      </vt:variant>
      <vt:variant>
        <vt:i4>0</vt:i4>
      </vt:variant>
      <vt:variant>
        <vt:i4>5</vt:i4>
      </vt:variant>
      <vt:variant>
        <vt:lpwstr/>
      </vt:variant>
      <vt:variant>
        <vt:lpwstr>_Toc454888298</vt:lpwstr>
      </vt:variant>
      <vt:variant>
        <vt:i4>1769530</vt:i4>
      </vt:variant>
      <vt:variant>
        <vt:i4>1882</vt:i4>
      </vt:variant>
      <vt:variant>
        <vt:i4>0</vt:i4>
      </vt:variant>
      <vt:variant>
        <vt:i4>5</vt:i4>
      </vt:variant>
      <vt:variant>
        <vt:lpwstr/>
      </vt:variant>
      <vt:variant>
        <vt:lpwstr>_Toc454888297</vt:lpwstr>
      </vt:variant>
      <vt:variant>
        <vt:i4>1769530</vt:i4>
      </vt:variant>
      <vt:variant>
        <vt:i4>1876</vt:i4>
      </vt:variant>
      <vt:variant>
        <vt:i4>0</vt:i4>
      </vt:variant>
      <vt:variant>
        <vt:i4>5</vt:i4>
      </vt:variant>
      <vt:variant>
        <vt:lpwstr/>
      </vt:variant>
      <vt:variant>
        <vt:lpwstr>_Toc454888296</vt:lpwstr>
      </vt:variant>
      <vt:variant>
        <vt:i4>1769530</vt:i4>
      </vt:variant>
      <vt:variant>
        <vt:i4>1870</vt:i4>
      </vt:variant>
      <vt:variant>
        <vt:i4>0</vt:i4>
      </vt:variant>
      <vt:variant>
        <vt:i4>5</vt:i4>
      </vt:variant>
      <vt:variant>
        <vt:lpwstr/>
      </vt:variant>
      <vt:variant>
        <vt:lpwstr>_Toc454888295</vt:lpwstr>
      </vt:variant>
      <vt:variant>
        <vt:i4>1769530</vt:i4>
      </vt:variant>
      <vt:variant>
        <vt:i4>1864</vt:i4>
      </vt:variant>
      <vt:variant>
        <vt:i4>0</vt:i4>
      </vt:variant>
      <vt:variant>
        <vt:i4>5</vt:i4>
      </vt:variant>
      <vt:variant>
        <vt:lpwstr/>
      </vt:variant>
      <vt:variant>
        <vt:lpwstr>_Toc454888294</vt:lpwstr>
      </vt:variant>
      <vt:variant>
        <vt:i4>1769530</vt:i4>
      </vt:variant>
      <vt:variant>
        <vt:i4>1858</vt:i4>
      </vt:variant>
      <vt:variant>
        <vt:i4>0</vt:i4>
      </vt:variant>
      <vt:variant>
        <vt:i4>5</vt:i4>
      </vt:variant>
      <vt:variant>
        <vt:lpwstr/>
      </vt:variant>
      <vt:variant>
        <vt:lpwstr>_Toc454888293</vt:lpwstr>
      </vt:variant>
      <vt:variant>
        <vt:i4>1769530</vt:i4>
      </vt:variant>
      <vt:variant>
        <vt:i4>1852</vt:i4>
      </vt:variant>
      <vt:variant>
        <vt:i4>0</vt:i4>
      </vt:variant>
      <vt:variant>
        <vt:i4>5</vt:i4>
      </vt:variant>
      <vt:variant>
        <vt:lpwstr/>
      </vt:variant>
      <vt:variant>
        <vt:lpwstr>_Toc454888292</vt:lpwstr>
      </vt:variant>
      <vt:variant>
        <vt:i4>1769530</vt:i4>
      </vt:variant>
      <vt:variant>
        <vt:i4>1846</vt:i4>
      </vt:variant>
      <vt:variant>
        <vt:i4>0</vt:i4>
      </vt:variant>
      <vt:variant>
        <vt:i4>5</vt:i4>
      </vt:variant>
      <vt:variant>
        <vt:lpwstr/>
      </vt:variant>
      <vt:variant>
        <vt:lpwstr>_Toc454888291</vt:lpwstr>
      </vt:variant>
      <vt:variant>
        <vt:i4>1769530</vt:i4>
      </vt:variant>
      <vt:variant>
        <vt:i4>1840</vt:i4>
      </vt:variant>
      <vt:variant>
        <vt:i4>0</vt:i4>
      </vt:variant>
      <vt:variant>
        <vt:i4>5</vt:i4>
      </vt:variant>
      <vt:variant>
        <vt:lpwstr/>
      </vt:variant>
      <vt:variant>
        <vt:lpwstr>_Toc454888290</vt:lpwstr>
      </vt:variant>
      <vt:variant>
        <vt:i4>1703994</vt:i4>
      </vt:variant>
      <vt:variant>
        <vt:i4>1834</vt:i4>
      </vt:variant>
      <vt:variant>
        <vt:i4>0</vt:i4>
      </vt:variant>
      <vt:variant>
        <vt:i4>5</vt:i4>
      </vt:variant>
      <vt:variant>
        <vt:lpwstr/>
      </vt:variant>
      <vt:variant>
        <vt:lpwstr>_Toc454888289</vt:lpwstr>
      </vt:variant>
      <vt:variant>
        <vt:i4>1703994</vt:i4>
      </vt:variant>
      <vt:variant>
        <vt:i4>1828</vt:i4>
      </vt:variant>
      <vt:variant>
        <vt:i4>0</vt:i4>
      </vt:variant>
      <vt:variant>
        <vt:i4>5</vt:i4>
      </vt:variant>
      <vt:variant>
        <vt:lpwstr/>
      </vt:variant>
      <vt:variant>
        <vt:lpwstr>_Toc454888288</vt:lpwstr>
      </vt:variant>
      <vt:variant>
        <vt:i4>1703994</vt:i4>
      </vt:variant>
      <vt:variant>
        <vt:i4>1822</vt:i4>
      </vt:variant>
      <vt:variant>
        <vt:i4>0</vt:i4>
      </vt:variant>
      <vt:variant>
        <vt:i4>5</vt:i4>
      </vt:variant>
      <vt:variant>
        <vt:lpwstr/>
      </vt:variant>
      <vt:variant>
        <vt:lpwstr>_Toc454888287</vt:lpwstr>
      </vt:variant>
      <vt:variant>
        <vt:i4>1703994</vt:i4>
      </vt:variant>
      <vt:variant>
        <vt:i4>1816</vt:i4>
      </vt:variant>
      <vt:variant>
        <vt:i4>0</vt:i4>
      </vt:variant>
      <vt:variant>
        <vt:i4>5</vt:i4>
      </vt:variant>
      <vt:variant>
        <vt:lpwstr/>
      </vt:variant>
      <vt:variant>
        <vt:lpwstr>_Toc454888286</vt:lpwstr>
      </vt:variant>
      <vt:variant>
        <vt:i4>1703994</vt:i4>
      </vt:variant>
      <vt:variant>
        <vt:i4>1810</vt:i4>
      </vt:variant>
      <vt:variant>
        <vt:i4>0</vt:i4>
      </vt:variant>
      <vt:variant>
        <vt:i4>5</vt:i4>
      </vt:variant>
      <vt:variant>
        <vt:lpwstr/>
      </vt:variant>
      <vt:variant>
        <vt:lpwstr>_Toc454888285</vt:lpwstr>
      </vt:variant>
      <vt:variant>
        <vt:i4>1703994</vt:i4>
      </vt:variant>
      <vt:variant>
        <vt:i4>1804</vt:i4>
      </vt:variant>
      <vt:variant>
        <vt:i4>0</vt:i4>
      </vt:variant>
      <vt:variant>
        <vt:i4>5</vt:i4>
      </vt:variant>
      <vt:variant>
        <vt:lpwstr/>
      </vt:variant>
      <vt:variant>
        <vt:lpwstr>_Toc454888284</vt:lpwstr>
      </vt:variant>
      <vt:variant>
        <vt:i4>1703994</vt:i4>
      </vt:variant>
      <vt:variant>
        <vt:i4>1798</vt:i4>
      </vt:variant>
      <vt:variant>
        <vt:i4>0</vt:i4>
      </vt:variant>
      <vt:variant>
        <vt:i4>5</vt:i4>
      </vt:variant>
      <vt:variant>
        <vt:lpwstr/>
      </vt:variant>
      <vt:variant>
        <vt:lpwstr>_Toc454888283</vt:lpwstr>
      </vt:variant>
      <vt:variant>
        <vt:i4>1703994</vt:i4>
      </vt:variant>
      <vt:variant>
        <vt:i4>1792</vt:i4>
      </vt:variant>
      <vt:variant>
        <vt:i4>0</vt:i4>
      </vt:variant>
      <vt:variant>
        <vt:i4>5</vt:i4>
      </vt:variant>
      <vt:variant>
        <vt:lpwstr/>
      </vt:variant>
      <vt:variant>
        <vt:lpwstr>_Toc454888282</vt:lpwstr>
      </vt:variant>
      <vt:variant>
        <vt:i4>1703994</vt:i4>
      </vt:variant>
      <vt:variant>
        <vt:i4>1786</vt:i4>
      </vt:variant>
      <vt:variant>
        <vt:i4>0</vt:i4>
      </vt:variant>
      <vt:variant>
        <vt:i4>5</vt:i4>
      </vt:variant>
      <vt:variant>
        <vt:lpwstr/>
      </vt:variant>
      <vt:variant>
        <vt:lpwstr>_Toc454888281</vt:lpwstr>
      </vt:variant>
      <vt:variant>
        <vt:i4>1703994</vt:i4>
      </vt:variant>
      <vt:variant>
        <vt:i4>1780</vt:i4>
      </vt:variant>
      <vt:variant>
        <vt:i4>0</vt:i4>
      </vt:variant>
      <vt:variant>
        <vt:i4>5</vt:i4>
      </vt:variant>
      <vt:variant>
        <vt:lpwstr/>
      </vt:variant>
      <vt:variant>
        <vt:lpwstr>_Toc454888280</vt:lpwstr>
      </vt:variant>
      <vt:variant>
        <vt:i4>1376314</vt:i4>
      </vt:variant>
      <vt:variant>
        <vt:i4>1774</vt:i4>
      </vt:variant>
      <vt:variant>
        <vt:i4>0</vt:i4>
      </vt:variant>
      <vt:variant>
        <vt:i4>5</vt:i4>
      </vt:variant>
      <vt:variant>
        <vt:lpwstr/>
      </vt:variant>
      <vt:variant>
        <vt:lpwstr>_Toc454888279</vt:lpwstr>
      </vt:variant>
      <vt:variant>
        <vt:i4>1376314</vt:i4>
      </vt:variant>
      <vt:variant>
        <vt:i4>1768</vt:i4>
      </vt:variant>
      <vt:variant>
        <vt:i4>0</vt:i4>
      </vt:variant>
      <vt:variant>
        <vt:i4>5</vt:i4>
      </vt:variant>
      <vt:variant>
        <vt:lpwstr/>
      </vt:variant>
      <vt:variant>
        <vt:lpwstr>_Toc454888278</vt:lpwstr>
      </vt:variant>
      <vt:variant>
        <vt:i4>1376314</vt:i4>
      </vt:variant>
      <vt:variant>
        <vt:i4>1762</vt:i4>
      </vt:variant>
      <vt:variant>
        <vt:i4>0</vt:i4>
      </vt:variant>
      <vt:variant>
        <vt:i4>5</vt:i4>
      </vt:variant>
      <vt:variant>
        <vt:lpwstr/>
      </vt:variant>
      <vt:variant>
        <vt:lpwstr>_Toc454888277</vt:lpwstr>
      </vt:variant>
      <vt:variant>
        <vt:i4>1376314</vt:i4>
      </vt:variant>
      <vt:variant>
        <vt:i4>1756</vt:i4>
      </vt:variant>
      <vt:variant>
        <vt:i4>0</vt:i4>
      </vt:variant>
      <vt:variant>
        <vt:i4>5</vt:i4>
      </vt:variant>
      <vt:variant>
        <vt:lpwstr/>
      </vt:variant>
      <vt:variant>
        <vt:lpwstr>_Toc454888276</vt:lpwstr>
      </vt:variant>
      <vt:variant>
        <vt:i4>1376314</vt:i4>
      </vt:variant>
      <vt:variant>
        <vt:i4>1750</vt:i4>
      </vt:variant>
      <vt:variant>
        <vt:i4>0</vt:i4>
      </vt:variant>
      <vt:variant>
        <vt:i4>5</vt:i4>
      </vt:variant>
      <vt:variant>
        <vt:lpwstr/>
      </vt:variant>
      <vt:variant>
        <vt:lpwstr>_Toc454888275</vt:lpwstr>
      </vt:variant>
      <vt:variant>
        <vt:i4>1376314</vt:i4>
      </vt:variant>
      <vt:variant>
        <vt:i4>1744</vt:i4>
      </vt:variant>
      <vt:variant>
        <vt:i4>0</vt:i4>
      </vt:variant>
      <vt:variant>
        <vt:i4>5</vt:i4>
      </vt:variant>
      <vt:variant>
        <vt:lpwstr/>
      </vt:variant>
      <vt:variant>
        <vt:lpwstr>_Toc454888274</vt:lpwstr>
      </vt:variant>
      <vt:variant>
        <vt:i4>1376314</vt:i4>
      </vt:variant>
      <vt:variant>
        <vt:i4>1738</vt:i4>
      </vt:variant>
      <vt:variant>
        <vt:i4>0</vt:i4>
      </vt:variant>
      <vt:variant>
        <vt:i4>5</vt:i4>
      </vt:variant>
      <vt:variant>
        <vt:lpwstr/>
      </vt:variant>
      <vt:variant>
        <vt:lpwstr>_Toc454888273</vt:lpwstr>
      </vt:variant>
      <vt:variant>
        <vt:i4>1376314</vt:i4>
      </vt:variant>
      <vt:variant>
        <vt:i4>1732</vt:i4>
      </vt:variant>
      <vt:variant>
        <vt:i4>0</vt:i4>
      </vt:variant>
      <vt:variant>
        <vt:i4>5</vt:i4>
      </vt:variant>
      <vt:variant>
        <vt:lpwstr/>
      </vt:variant>
      <vt:variant>
        <vt:lpwstr>_Toc454888272</vt:lpwstr>
      </vt:variant>
      <vt:variant>
        <vt:i4>1376314</vt:i4>
      </vt:variant>
      <vt:variant>
        <vt:i4>1726</vt:i4>
      </vt:variant>
      <vt:variant>
        <vt:i4>0</vt:i4>
      </vt:variant>
      <vt:variant>
        <vt:i4>5</vt:i4>
      </vt:variant>
      <vt:variant>
        <vt:lpwstr/>
      </vt:variant>
      <vt:variant>
        <vt:lpwstr>_Toc454888271</vt:lpwstr>
      </vt:variant>
      <vt:variant>
        <vt:i4>1376314</vt:i4>
      </vt:variant>
      <vt:variant>
        <vt:i4>1720</vt:i4>
      </vt:variant>
      <vt:variant>
        <vt:i4>0</vt:i4>
      </vt:variant>
      <vt:variant>
        <vt:i4>5</vt:i4>
      </vt:variant>
      <vt:variant>
        <vt:lpwstr/>
      </vt:variant>
      <vt:variant>
        <vt:lpwstr>_Toc454888270</vt:lpwstr>
      </vt:variant>
      <vt:variant>
        <vt:i4>1310778</vt:i4>
      </vt:variant>
      <vt:variant>
        <vt:i4>1714</vt:i4>
      </vt:variant>
      <vt:variant>
        <vt:i4>0</vt:i4>
      </vt:variant>
      <vt:variant>
        <vt:i4>5</vt:i4>
      </vt:variant>
      <vt:variant>
        <vt:lpwstr/>
      </vt:variant>
      <vt:variant>
        <vt:lpwstr>_Toc454888269</vt:lpwstr>
      </vt:variant>
      <vt:variant>
        <vt:i4>1310778</vt:i4>
      </vt:variant>
      <vt:variant>
        <vt:i4>1708</vt:i4>
      </vt:variant>
      <vt:variant>
        <vt:i4>0</vt:i4>
      </vt:variant>
      <vt:variant>
        <vt:i4>5</vt:i4>
      </vt:variant>
      <vt:variant>
        <vt:lpwstr/>
      </vt:variant>
      <vt:variant>
        <vt:lpwstr>_Toc454888268</vt:lpwstr>
      </vt:variant>
      <vt:variant>
        <vt:i4>1310778</vt:i4>
      </vt:variant>
      <vt:variant>
        <vt:i4>1702</vt:i4>
      </vt:variant>
      <vt:variant>
        <vt:i4>0</vt:i4>
      </vt:variant>
      <vt:variant>
        <vt:i4>5</vt:i4>
      </vt:variant>
      <vt:variant>
        <vt:lpwstr/>
      </vt:variant>
      <vt:variant>
        <vt:lpwstr>_Toc454888267</vt:lpwstr>
      </vt:variant>
      <vt:variant>
        <vt:i4>1310778</vt:i4>
      </vt:variant>
      <vt:variant>
        <vt:i4>1696</vt:i4>
      </vt:variant>
      <vt:variant>
        <vt:i4>0</vt:i4>
      </vt:variant>
      <vt:variant>
        <vt:i4>5</vt:i4>
      </vt:variant>
      <vt:variant>
        <vt:lpwstr/>
      </vt:variant>
      <vt:variant>
        <vt:lpwstr>_Toc454888266</vt:lpwstr>
      </vt:variant>
      <vt:variant>
        <vt:i4>1310778</vt:i4>
      </vt:variant>
      <vt:variant>
        <vt:i4>1690</vt:i4>
      </vt:variant>
      <vt:variant>
        <vt:i4>0</vt:i4>
      </vt:variant>
      <vt:variant>
        <vt:i4>5</vt:i4>
      </vt:variant>
      <vt:variant>
        <vt:lpwstr/>
      </vt:variant>
      <vt:variant>
        <vt:lpwstr>_Toc454888265</vt:lpwstr>
      </vt:variant>
      <vt:variant>
        <vt:i4>1310778</vt:i4>
      </vt:variant>
      <vt:variant>
        <vt:i4>1684</vt:i4>
      </vt:variant>
      <vt:variant>
        <vt:i4>0</vt:i4>
      </vt:variant>
      <vt:variant>
        <vt:i4>5</vt:i4>
      </vt:variant>
      <vt:variant>
        <vt:lpwstr/>
      </vt:variant>
      <vt:variant>
        <vt:lpwstr>_Toc454888264</vt:lpwstr>
      </vt:variant>
      <vt:variant>
        <vt:i4>1310778</vt:i4>
      </vt:variant>
      <vt:variant>
        <vt:i4>1678</vt:i4>
      </vt:variant>
      <vt:variant>
        <vt:i4>0</vt:i4>
      </vt:variant>
      <vt:variant>
        <vt:i4>5</vt:i4>
      </vt:variant>
      <vt:variant>
        <vt:lpwstr/>
      </vt:variant>
      <vt:variant>
        <vt:lpwstr>_Toc454888263</vt:lpwstr>
      </vt:variant>
      <vt:variant>
        <vt:i4>1310778</vt:i4>
      </vt:variant>
      <vt:variant>
        <vt:i4>1672</vt:i4>
      </vt:variant>
      <vt:variant>
        <vt:i4>0</vt:i4>
      </vt:variant>
      <vt:variant>
        <vt:i4>5</vt:i4>
      </vt:variant>
      <vt:variant>
        <vt:lpwstr/>
      </vt:variant>
      <vt:variant>
        <vt:lpwstr>_Toc454888262</vt:lpwstr>
      </vt:variant>
      <vt:variant>
        <vt:i4>1310778</vt:i4>
      </vt:variant>
      <vt:variant>
        <vt:i4>1666</vt:i4>
      </vt:variant>
      <vt:variant>
        <vt:i4>0</vt:i4>
      </vt:variant>
      <vt:variant>
        <vt:i4>5</vt:i4>
      </vt:variant>
      <vt:variant>
        <vt:lpwstr/>
      </vt:variant>
      <vt:variant>
        <vt:lpwstr>_Toc454888261</vt:lpwstr>
      </vt:variant>
      <vt:variant>
        <vt:i4>1310778</vt:i4>
      </vt:variant>
      <vt:variant>
        <vt:i4>1660</vt:i4>
      </vt:variant>
      <vt:variant>
        <vt:i4>0</vt:i4>
      </vt:variant>
      <vt:variant>
        <vt:i4>5</vt:i4>
      </vt:variant>
      <vt:variant>
        <vt:lpwstr/>
      </vt:variant>
      <vt:variant>
        <vt:lpwstr>_Toc454888260</vt:lpwstr>
      </vt:variant>
      <vt:variant>
        <vt:i4>1507386</vt:i4>
      </vt:variant>
      <vt:variant>
        <vt:i4>1654</vt:i4>
      </vt:variant>
      <vt:variant>
        <vt:i4>0</vt:i4>
      </vt:variant>
      <vt:variant>
        <vt:i4>5</vt:i4>
      </vt:variant>
      <vt:variant>
        <vt:lpwstr/>
      </vt:variant>
      <vt:variant>
        <vt:lpwstr>_Toc454888259</vt:lpwstr>
      </vt:variant>
      <vt:variant>
        <vt:i4>1507386</vt:i4>
      </vt:variant>
      <vt:variant>
        <vt:i4>1648</vt:i4>
      </vt:variant>
      <vt:variant>
        <vt:i4>0</vt:i4>
      </vt:variant>
      <vt:variant>
        <vt:i4>5</vt:i4>
      </vt:variant>
      <vt:variant>
        <vt:lpwstr/>
      </vt:variant>
      <vt:variant>
        <vt:lpwstr>_Toc454888258</vt:lpwstr>
      </vt:variant>
      <vt:variant>
        <vt:i4>1507386</vt:i4>
      </vt:variant>
      <vt:variant>
        <vt:i4>1642</vt:i4>
      </vt:variant>
      <vt:variant>
        <vt:i4>0</vt:i4>
      </vt:variant>
      <vt:variant>
        <vt:i4>5</vt:i4>
      </vt:variant>
      <vt:variant>
        <vt:lpwstr/>
      </vt:variant>
      <vt:variant>
        <vt:lpwstr>_Toc454888257</vt:lpwstr>
      </vt:variant>
      <vt:variant>
        <vt:i4>1507386</vt:i4>
      </vt:variant>
      <vt:variant>
        <vt:i4>1636</vt:i4>
      </vt:variant>
      <vt:variant>
        <vt:i4>0</vt:i4>
      </vt:variant>
      <vt:variant>
        <vt:i4>5</vt:i4>
      </vt:variant>
      <vt:variant>
        <vt:lpwstr/>
      </vt:variant>
      <vt:variant>
        <vt:lpwstr>_Toc454888256</vt:lpwstr>
      </vt:variant>
      <vt:variant>
        <vt:i4>1507386</vt:i4>
      </vt:variant>
      <vt:variant>
        <vt:i4>1630</vt:i4>
      </vt:variant>
      <vt:variant>
        <vt:i4>0</vt:i4>
      </vt:variant>
      <vt:variant>
        <vt:i4>5</vt:i4>
      </vt:variant>
      <vt:variant>
        <vt:lpwstr/>
      </vt:variant>
      <vt:variant>
        <vt:lpwstr>_Toc454888255</vt:lpwstr>
      </vt:variant>
      <vt:variant>
        <vt:i4>1507386</vt:i4>
      </vt:variant>
      <vt:variant>
        <vt:i4>1624</vt:i4>
      </vt:variant>
      <vt:variant>
        <vt:i4>0</vt:i4>
      </vt:variant>
      <vt:variant>
        <vt:i4>5</vt:i4>
      </vt:variant>
      <vt:variant>
        <vt:lpwstr/>
      </vt:variant>
      <vt:variant>
        <vt:lpwstr>_Toc454888254</vt:lpwstr>
      </vt:variant>
      <vt:variant>
        <vt:i4>1507386</vt:i4>
      </vt:variant>
      <vt:variant>
        <vt:i4>1618</vt:i4>
      </vt:variant>
      <vt:variant>
        <vt:i4>0</vt:i4>
      </vt:variant>
      <vt:variant>
        <vt:i4>5</vt:i4>
      </vt:variant>
      <vt:variant>
        <vt:lpwstr/>
      </vt:variant>
      <vt:variant>
        <vt:lpwstr>_Toc454888253</vt:lpwstr>
      </vt:variant>
      <vt:variant>
        <vt:i4>1507386</vt:i4>
      </vt:variant>
      <vt:variant>
        <vt:i4>1612</vt:i4>
      </vt:variant>
      <vt:variant>
        <vt:i4>0</vt:i4>
      </vt:variant>
      <vt:variant>
        <vt:i4>5</vt:i4>
      </vt:variant>
      <vt:variant>
        <vt:lpwstr/>
      </vt:variant>
      <vt:variant>
        <vt:lpwstr>_Toc454888252</vt:lpwstr>
      </vt:variant>
      <vt:variant>
        <vt:i4>1507386</vt:i4>
      </vt:variant>
      <vt:variant>
        <vt:i4>1606</vt:i4>
      </vt:variant>
      <vt:variant>
        <vt:i4>0</vt:i4>
      </vt:variant>
      <vt:variant>
        <vt:i4>5</vt:i4>
      </vt:variant>
      <vt:variant>
        <vt:lpwstr/>
      </vt:variant>
      <vt:variant>
        <vt:lpwstr>_Toc454888251</vt:lpwstr>
      </vt:variant>
      <vt:variant>
        <vt:i4>1507386</vt:i4>
      </vt:variant>
      <vt:variant>
        <vt:i4>1600</vt:i4>
      </vt:variant>
      <vt:variant>
        <vt:i4>0</vt:i4>
      </vt:variant>
      <vt:variant>
        <vt:i4>5</vt:i4>
      </vt:variant>
      <vt:variant>
        <vt:lpwstr/>
      </vt:variant>
      <vt:variant>
        <vt:lpwstr>_Toc454888250</vt:lpwstr>
      </vt:variant>
      <vt:variant>
        <vt:i4>1441850</vt:i4>
      </vt:variant>
      <vt:variant>
        <vt:i4>1594</vt:i4>
      </vt:variant>
      <vt:variant>
        <vt:i4>0</vt:i4>
      </vt:variant>
      <vt:variant>
        <vt:i4>5</vt:i4>
      </vt:variant>
      <vt:variant>
        <vt:lpwstr/>
      </vt:variant>
      <vt:variant>
        <vt:lpwstr>_Toc454888249</vt:lpwstr>
      </vt:variant>
      <vt:variant>
        <vt:i4>1441850</vt:i4>
      </vt:variant>
      <vt:variant>
        <vt:i4>1588</vt:i4>
      </vt:variant>
      <vt:variant>
        <vt:i4>0</vt:i4>
      </vt:variant>
      <vt:variant>
        <vt:i4>5</vt:i4>
      </vt:variant>
      <vt:variant>
        <vt:lpwstr/>
      </vt:variant>
      <vt:variant>
        <vt:lpwstr>_Toc454888248</vt:lpwstr>
      </vt:variant>
      <vt:variant>
        <vt:i4>1441850</vt:i4>
      </vt:variant>
      <vt:variant>
        <vt:i4>1582</vt:i4>
      </vt:variant>
      <vt:variant>
        <vt:i4>0</vt:i4>
      </vt:variant>
      <vt:variant>
        <vt:i4>5</vt:i4>
      </vt:variant>
      <vt:variant>
        <vt:lpwstr/>
      </vt:variant>
      <vt:variant>
        <vt:lpwstr>_Toc454888247</vt:lpwstr>
      </vt:variant>
      <vt:variant>
        <vt:i4>1441850</vt:i4>
      </vt:variant>
      <vt:variant>
        <vt:i4>1576</vt:i4>
      </vt:variant>
      <vt:variant>
        <vt:i4>0</vt:i4>
      </vt:variant>
      <vt:variant>
        <vt:i4>5</vt:i4>
      </vt:variant>
      <vt:variant>
        <vt:lpwstr/>
      </vt:variant>
      <vt:variant>
        <vt:lpwstr>_Toc454888246</vt:lpwstr>
      </vt:variant>
      <vt:variant>
        <vt:i4>1441850</vt:i4>
      </vt:variant>
      <vt:variant>
        <vt:i4>1570</vt:i4>
      </vt:variant>
      <vt:variant>
        <vt:i4>0</vt:i4>
      </vt:variant>
      <vt:variant>
        <vt:i4>5</vt:i4>
      </vt:variant>
      <vt:variant>
        <vt:lpwstr/>
      </vt:variant>
      <vt:variant>
        <vt:lpwstr>_Toc454888245</vt:lpwstr>
      </vt:variant>
      <vt:variant>
        <vt:i4>1441850</vt:i4>
      </vt:variant>
      <vt:variant>
        <vt:i4>1564</vt:i4>
      </vt:variant>
      <vt:variant>
        <vt:i4>0</vt:i4>
      </vt:variant>
      <vt:variant>
        <vt:i4>5</vt:i4>
      </vt:variant>
      <vt:variant>
        <vt:lpwstr/>
      </vt:variant>
      <vt:variant>
        <vt:lpwstr>_Toc454888244</vt:lpwstr>
      </vt:variant>
      <vt:variant>
        <vt:i4>1441850</vt:i4>
      </vt:variant>
      <vt:variant>
        <vt:i4>1558</vt:i4>
      </vt:variant>
      <vt:variant>
        <vt:i4>0</vt:i4>
      </vt:variant>
      <vt:variant>
        <vt:i4>5</vt:i4>
      </vt:variant>
      <vt:variant>
        <vt:lpwstr/>
      </vt:variant>
      <vt:variant>
        <vt:lpwstr>_Toc454888243</vt:lpwstr>
      </vt:variant>
      <vt:variant>
        <vt:i4>1441850</vt:i4>
      </vt:variant>
      <vt:variant>
        <vt:i4>1552</vt:i4>
      </vt:variant>
      <vt:variant>
        <vt:i4>0</vt:i4>
      </vt:variant>
      <vt:variant>
        <vt:i4>5</vt:i4>
      </vt:variant>
      <vt:variant>
        <vt:lpwstr/>
      </vt:variant>
      <vt:variant>
        <vt:lpwstr>_Toc454888242</vt:lpwstr>
      </vt:variant>
      <vt:variant>
        <vt:i4>1441850</vt:i4>
      </vt:variant>
      <vt:variant>
        <vt:i4>1546</vt:i4>
      </vt:variant>
      <vt:variant>
        <vt:i4>0</vt:i4>
      </vt:variant>
      <vt:variant>
        <vt:i4>5</vt:i4>
      </vt:variant>
      <vt:variant>
        <vt:lpwstr/>
      </vt:variant>
      <vt:variant>
        <vt:lpwstr>_Toc454888241</vt:lpwstr>
      </vt:variant>
      <vt:variant>
        <vt:i4>1441850</vt:i4>
      </vt:variant>
      <vt:variant>
        <vt:i4>1540</vt:i4>
      </vt:variant>
      <vt:variant>
        <vt:i4>0</vt:i4>
      </vt:variant>
      <vt:variant>
        <vt:i4>5</vt:i4>
      </vt:variant>
      <vt:variant>
        <vt:lpwstr/>
      </vt:variant>
      <vt:variant>
        <vt:lpwstr>_Toc454888240</vt:lpwstr>
      </vt:variant>
      <vt:variant>
        <vt:i4>1114170</vt:i4>
      </vt:variant>
      <vt:variant>
        <vt:i4>1534</vt:i4>
      </vt:variant>
      <vt:variant>
        <vt:i4>0</vt:i4>
      </vt:variant>
      <vt:variant>
        <vt:i4>5</vt:i4>
      </vt:variant>
      <vt:variant>
        <vt:lpwstr/>
      </vt:variant>
      <vt:variant>
        <vt:lpwstr>_Toc454888239</vt:lpwstr>
      </vt:variant>
      <vt:variant>
        <vt:i4>1114170</vt:i4>
      </vt:variant>
      <vt:variant>
        <vt:i4>1528</vt:i4>
      </vt:variant>
      <vt:variant>
        <vt:i4>0</vt:i4>
      </vt:variant>
      <vt:variant>
        <vt:i4>5</vt:i4>
      </vt:variant>
      <vt:variant>
        <vt:lpwstr/>
      </vt:variant>
      <vt:variant>
        <vt:lpwstr>_Toc454888238</vt:lpwstr>
      </vt:variant>
      <vt:variant>
        <vt:i4>1114170</vt:i4>
      </vt:variant>
      <vt:variant>
        <vt:i4>1522</vt:i4>
      </vt:variant>
      <vt:variant>
        <vt:i4>0</vt:i4>
      </vt:variant>
      <vt:variant>
        <vt:i4>5</vt:i4>
      </vt:variant>
      <vt:variant>
        <vt:lpwstr/>
      </vt:variant>
      <vt:variant>
        <vt:lpwstr>_Toc454888237</vt:lpwstr>
      </vt:variant>
      <vt:variant>
        <vt:i4>1114170</vt:i4>
      </vt:variant>
      <vt:variant>
        <vt:i4>1516</vt:i4>
      </vt:variant>
      <vt:variant>
        <vt:i4>0</vt:i4>
      </vt:variant>
      <vt:variant>
        <vt:i4>5</vt:i4>
      </vt:variant>
      <vt:variant>
        <vt:lpwstr/>
      </vt:variant>
      <vt:variant>
        <vt:lpwstr>_Toc454888236</vt:lpwstr>
      </vt:variant>
      <vt:variant>
        <vt:i4>1114170</vt:i4>
      </vt:variant>
      <vt:variant>
        <vt:i4>1510</vt:i4>
      </vt:variant>
      <vt:variant>
        <vt:i4>0</vt:i4>
      </vt:variant>
      <vt:variant>
        <vt:i4>5</vt:i4>
      </vt:variant>
      <vt:variant>
        <vt:lpwstr/>
      </vt:variant>
      <vt:variant>
        <vt:lpwstr>_Toc454888235</vt:lpwstr>
      </vt:variant>
      <vt:variant>
        <vt:i4>1114170</vt:i4>
      </vt:variant>
      <vt:variant>
        <vt:i4>1504</vt:i4>
      </vt:variant>
      <vt:variant>
        <vt:i4>0</vt:i4>
      </vt:variant>
      <vt:variant>
        <vt:i4>5</vt:i4>
      </vt:variant>
      <vt:variant>
        <vt:lpwstr/>
      </vt:variant>
      <vt:variant>
        <vt:lpwstr>_Toc454888234</vt:lpwstr>
      </vt:variant>
      <vt:variant>
        <vt:i4>1114170</vt:i4>
      </vt:variant>
      <vt:variant>
        <vt:i4>1498</vt:i4>
      </vt:variant>
      <vt:variant>
        <vt:i4>0</vt:i4>
      </vt:variant>
      <vt:variant>
        <vt:i4>5</vt:i4>
      </vt:variant>
      <vt:variant>
        <vt:lpwstr/>
      </vt:variant>
      <vt:variant>
        <vt:lpwstr>_Toc454888233</vt:lpwstr>
      </vt:variant>
      <vt:variant>
        <vt:i4>1114170</vt:i4>
      </vt:variant>
      <vt:variant>
        <vt:i4>1492</vt:i4>
      </vt:variant>
      <vt:variant>
        <vt:i4>0</vt:i4>
      </vt:variant>
      <vt:variant>
        <vt:i4>5</vt:i4>
      </vt:variant>
      <vt:variant>
        <vt:lpwstr/>
      </vt:variant>
      <vt:variant>
        <vt:lpwstr>_Toc454888232</vt:lpwstr>
      </vt:variant>
      <vt:variant>
        <vt:i4>1114170</vt:i4>
      </vt:variant>
      <vt:variant>
        <vt:i4>1486</vt:i4>
      </vt:variant>
      <vt:variant>
        <vt:i4>0</vt:i4>
      </vt:variant>
      <vt:variant>
        <vt:i4>5</vt:i4>
      </vt:variant>
      <vt:variant>
        <vt:lpwstr/>
      </vt:variant>
      <vt:variant>
        <vt:lpwstr>_Toc454888231</vt:lpwstr>
      </vt:variant>
      <vt:variant>
        <vt:i4>1114170</vt:i4>
      </vt:variant>
      <vt:variant>
        <vt:i4>1480</vt:i4>
      </vt:variant>
      <vt:variant>
        <vt:i4>0</vt:i4>
      </vt:variant>
      <vt:variant>
        <vt:i4>5</vt:i4>
      </vt:variant>
      <vt:variant>
        <vt:lpwstr/>
      </vt:variant>
      <vt:variant>
        <vt:lpwstr>_Toc454888230</vt:lpwstr>
      </vt:variant>
      <vt:variant>
        <vt:i4>1048634</vt:i4>
      </vt:variant>
      <vt:variant>
        <vt:i4>1474</vt:i4>
      </vt:variant>
      <vt:variant>
        <vt:i4>0</vt:i4>
      </vt:variant>
      <vt:variant>
        <vt:i4>5</vt:i4>
      </vt:variant>
      <vt:variant>
        <vt:lpwstr/>
      </vt:variant>
      <vt:variant>
        <vt:lpwstr>_Toc454888229</vt:lpwstr>
      </vt:variant>
      <vt:variant>
        <vt:i4>1048634</vt:i4>
      </vt:variant>
      <vt:variant>
        <vt:i4>1468</vt:i4>
      </vt:variant>
      <vt:variant>
        <vt:i4>0</vt:i4>
      </vt:variant>
      <vt:variant>
        <vt:i4>5</vt:i4>
      </vt:variant>
      <vt:variant>
        <vt:lpwstr/>
      </vt:variant>
      <vt:variant>
        <vt:lpwstr>_Toc454888228</vt:lpwstr>
      </vt:variant>
      <vt:variant>
        <vt:i4>1048634</vt:i4>
      </vt:variant>
      <vt:variant>
        <vt:i4>1462</vt:i4>
      </vt:variant>
      <vt:variant>
        <vt:i4>0</vt:i4>
      </vt:variant>
      <vt:variant>
        <vt:i4>5</vt:i4>
      </vt:variant>
      <vt:variant>
        <vt:lpwstr/>
      </vt:variant>
      <vt:variant>
        <vt:lpwstr>_Toc454888227</vt:lpwstr>
      </vt:variant>
      <vt:variant>
        <vt:i4>1048634</vt:i4>
      </vt:variant>
      <vt:variant>
        <vt:i4>1456</vt:i4>
      </vt:variant>
      <vt:variant>
        <vt:i4>0</vt:i4>
      </vt:variant>
      <vt:variant>
        <vt:i4>5</vt:i4>
      </vt:variant>
      <vt:variant>
        <vt:lpwstr/>
      </vt:variant>
      <vt:variant>
        <vt:lpwstr>_Toc454888226</vt:lpwstr>
      </vt:variant>
      <vt:variant>
        <vt:i4>1048634</vt:i4>
      </vt:variant>
      <vt:variant>
        <vt:i4>1450</vt:i4>
      </vt:variant>
      <vt:variant>
        <vt:i4>0</vt:i4>
      </vt:variant>
      <vt:variant>
        <vt:i4>5</vt:i4>
      </vt:variant>
      <vt:variant>
        <vt:lpwstr/>
      </vt:variant>
      <vt:variant>
        <vt:lpwstr>_Toc454888225</vt:lpwstr>
      </vt:variant>
      <vt:variant>
        <vt:i4>1048634</vt:i4>
      </vt:variant>
      <vt:variant>
        <vt:i4>1444</vt:i4>
      </vt:variant>
      <vt:variant>
        <vt:i4>0</vt:i4>
      </vt:variant>
      <vt:variant>
        <vt:i4>5</vt:i4>
      </vt:variant>
      <vt:variant>
        <vt:lpwstr/>
      </vt:variant>
      <vt:variant>
        <vt:lpwstr>_Toc454888224</vt:lpwstr>
      </vt:variant>
      <vt:variant>
        <vt:i4>1048634</vt:i4>
      </vt:variant>
      <vt:variant>
        <vt:i4>1438</vt:i4>
      </vt:variant>
      <vt:variant>
        <vt:i4>0</vt:i4>
      </vt:variant>
      <vt:variant>
        <vt:i4>5</vt:i4>
      </vt:variant>
      <vt:variant>
        <vt:lpwstr/>
      </vt:variant>
      <vt:variant>
        <vt:lpwstr>_Toc454888223</vt:lpwstr>
      </vt:variant>
      <vt:variant>
        <vt:i4>1048634</vt:i4>
      </vt:variant>
      <vt:variant>
        <vt:i4>1432</vt:i4>
      </vt:variant>
      <vt:variant>
        <vt:i4>0</vt:i4>
      </vt:variant>
      <vt:variant>
        <vt:i4>5</vt:i4>
      </vt:variant>
      <vt:variant>
        <vt:lpwstr/>
      </vt:variant>
      <vt:variant>
        <vt:lpwstr>_Toc454888222</vt:lpwstr>
      </vt:variant>
      <vt:variant>
        <vt:i4>1048634</vt:i4>
      </vt:variant>
      <vt:variant>
        <vt:i4>1426</vt:i4>
      </vt:variant>
      <vt:variant>
        <vt:i4>0</vt:i4>
      </vt:variant>
      <vt:variant>
        <vt:i4>5</vt:i4>
      </vt:variant>
      <vt:variant>
        <vt:lpwstr/>
      </vt:variant>
      <vt:variant>
        <vt:lpwstr>_Toc454888221</vt:lpwstr>
      </vt:variant>
      <vt:variant>
        <vt:i4>1048634</vt:i4>
      </vt:variant>
      <vt:variant>
        <vt:i4>1420</vt:i4>
      </vt:variant>
      <vt:variant>
        <vt:i4>0</vt:i4>
      </vt:variant>
      <vt:variant>
        <vt:i4>5</vt:i4>
      </vt:variant>
      <vt:variant>
        <vt:lpwstr/>
      </vt:variant>
      <vt:variant>
        <vt:lpwstr>_Toc454888220</vt:lpwstr>
      </vt:variant>
      <vt:variant>
        <vt:i4>1245242</vt:i4>
      </vt:variant>
      <vt:variant>
        <vt:i4>1414</vt:i4>
      </vt:variant>
      <vt:variant>
        <vt:i4>0</vt:i4>
      </vt:variant>
      <vt:variant>
        <vt:i4>5</vt:i4>
      </vt:variant>
      <vt:variant>
        <vt:lpwstr/>
      </vt:variant>
      <vt:variant>
        <vt:lpwstr>_Toc454888219</vt:lpwstr>
      </vt:variant>
      <vt:variant>
        <vt:i4>1245242</vt:i4>
      </vt:variant>
      <vt:variant>
        <vt:i4>1408</vt:i4>
      </vt:variant>
      <vt:variant>
        <vt:i4>0</vt:i4>
      </vt:variant>
      <vt:variant>
        <vt:i4>5</vt:i4>
      </vt:variant>
      <vt:variant>
        <vt:lpwstr/>
      </vt:variant>
      <vt:variant>
        <vt:lpwstr>_Toc454888218</vt:lpwstr>
      </vt:variant>
      <vt:variant>
        <vt:i4>1245242</vt:i4>
      </vt:variant>
      <vt:variant>
        <vt:i4>1402</vt:i4>
      </vt:variant>
      <vt:variant>
        <vt:i4>0</vt:i4>
      </vt:variant>
      <vt:variant>
        <vt:i4>5</vt:i4>
      </vt:variant>
      <vt:variant>
        <vt:lpwstr/>
      </vt:variant>
      <vt:variant>
        <vt:lpwstr>_Toc454888217</vt:lpwstr>
      </vt:variant>
      <vt:variant>
        <vt:i4>1245242</vt:i4>
      </vt:variant>
      <vt:variant>
        <vt:i4>1396</vt:i4>
      </vt:variant>
      <vt:variant>
        <vt:i4>0</vt:i4>
      </vt:variant>
      <vt:variant>
        <vt:i4>5</vt:i4>
      </vt:variant>
      <vt:variant>
        <vt:lpwstr/>
      </vt:variant>
      <vt:variant>
        <vt:lpwstr>_Toc454888216</vt:lpwstr>
      </vt:variant>
      <vt:variant>
        <vt:i4>1245242</vt:i4>
      </vt:variant>
      <vt:variant>
        <vt:i4>1390</vt:i4>
      </vt:variant>
      <vt:variant>
        <vt:i4>0</vt:i4>
      </vt:variant>
      <vt:variant>
        <vt:i4>5</vt:i4>
      </vt:variant>
      <vt:variant>
        <vt:lpwstr/>
      </vt:variant>
      <vt:variant>
        <vt:lpwstr>_Toc454888215</vt:lpwstr>
      </vt:variant>
      <vt:variant>
        <vt:i4>1245242</vt:i4>
      </vt:variant>
      <vt:variant>
        <vt:i4>1384</vt:i4>
      </vt:variant>
      <vt:variant>
        <vt:i4>0</vt:i4>
      </vt:variant>
      <vt:variant>
        <vt:i4>5</vt:i4>
      </vt:variant>
      <vt:variant>
        <vt:lpwstr/>
      </vt:variant>
      <vt:variant>
        <vt:lpwstr>_Toc454888214</vt:lpwstr>
      </vt:variant>
      <vt:variant>
        <vt:i4>1245242</vt:i4>
      </vt:variant>
      <vt:variant>
        <vt:i4>1378</vt:i4>
      </vt:variant>
      <vt:variant>
        <vt:i4>0</vt:i4>
      </vt:variant>
      <vt:variant>
        <vt:i4>5</vt:i4>
      </vt:variant>
      <vt:variant>
        <vt:lpwstr/>
      </vt:variant>
      <vt:variant>
        <vt:lpwstr>_Toc454888213</vt:lpwstr>
      </vt:variant>
      <vt:variant>
        <vt:i4>1245242</vt:i4>
      </vt:variant>
      <vt:variant>
        <vt:i4>1372</vt:i4>
      </vt:variant>
      <vt:variant>
        <vt:i4>0</vt:i4>
      </vt:variant>
      <vt:variant>
        <vt:i4>5</vt:i4>
      </vt:variant>
      <vt:variant>
        <vt:lpwstr/>
      </vt:variant>
      <vt:variant>
        <vt:lpwstr>_Toc454888212</vt:lpwstr>
      </vt:variant>
      <vt:variant>
        <vt:i4>1245242</vt:i4>
      </vt:variant>
      <vt:variant>
        <vt:i4>1366</vt:i4>
      </vt:variant>
      <vt:variant>
        <vt:i4>0</vt:i4>
      </vt:variant>
      <vt:variant>
        <vt:i4>5</vt:i4>
      </vt:variant>
      <vt:variant>
        <vt:lpwstr/>
      </vt:variant>
      <vt:variant>
        <vt:lpwstr>_Toc454888211</vt:lpwstr>
      </vt:variant>
      <vt:variant>
        <vt:i4>1245242</vt:i4>
      </vt:variant>
      <vt:variant>
        <vt:i4>1360</vt:i4>
      </vt:variant>
      <vt:variant>
        <vt:i4>0</vt:i4>
      </vt:variant>
      <vt:variant>
        <vt:i4>5</vt:i4>
      </vt:variant>
      <vt:variant>
        <vt:lpwstr/>
      </vt:variant>
      <vt:variant>
        <vt:lpwstr>_Toc454888210</vt:lpwstr>
      </vt:variant>
      <vt:variant>
        <vt:i4>1179706</vt:i4>
      </vt:variant>
      <vt:variant>
        <vt:i4>1354</vt:i4>
      </vt:variant>
      <vt:variant>
        <vt:i4>0</vt:i4>
      </vt:variant>
      <vt:variant>
        <vt:i4>5</vt:i4>
      </vt:variant>
      <vt:variant>
        <vt:lpwstr/>
      </vt:variant>
      <vt:variant>
        <vt:lpwstr>_Toc454888209</vt:lpwstr>
      </vt:variant>
      <vt:variant>
        <vt:i4>1179706</vt:i4>
      </vt:variant>
      <vt:variant>
        <vt:i4>1348</vt:i4>
      </vt:variant>
      <vt:variant>
        <vt:i4>0</vt:i4>
      </vt:variant>
      <vt:variant>
        <vt:i4>5</vt:i4>
      </vt:variant>
      <vt:variant>
        <vt:lpwstr/>
      </vt:variant>
      <vt:variant>
        <vt:lpwstr>_Toc454888208</vt:lpwstr>
      </vt:variant>
      <vt:variant>
        <vt:i4>1179706</vt:i4>
      </vt:variant>
      <vt:variant>
        <vt:i4>1342</vt:i4>
      </vt:variant>
      <vt:variant>
        <vt:i4>0</vt:i4>
      </vt:variant>
      <vt:variant>
        <vt:i4>5</vt:i4>
      </vt:variant>
      <vt:variant>
        <vt:lpwstr/>
      </vt:variant>
      <vt:variant>
        <vt:lpwstr>_Toc454888207</vt:lpwstr>
      </vt:variant>
      <vt:variant>
        <vt:i4>1179706</vt:i4>
      </vt:variant>
      <vt:variant>
        <vt:i4>1336</vt:i4>
      </vt:variant>
      <vt:variant>
        <vt:i4>0</vt:i4>
      </vt:variant>
      <vt:variant>
        <vt:i4>5</vt:i4>
      </vt:variant>
      <vt:variant>
        <vt:lpwstr/>
      </vt:variant>
      <vt:variant>
        <vt:lpwstr>_Toc454888206</vt:lpwstr>
      </vt:variant>
      <vt:variant>
        <vt:i4>1179706</vt:i4>
      </vt:variant>
      <vt:variant>
        <vt:i4>1330</vt:i4>
      </vt:variant>
      <vt:variant>
        <vt:i4>0</vt:i4>
      </vt:variant>
      <vt:variant>
        <vt:i4>5</vt:i4>
      </vt:variant>
      <vt:variant>
        <vt:lpwstr/>
      </vt:variant>
      <vt:variant>
        <vt:lpwstr>_Toc454888205</vt:lpwstr>
      </vt:variant>
      <vt:variant>
        <vt:i4>1179706</vt:i4>
      </vt:variant>
      <vt:variant>
        <vt:i4>1324</vt:i4>
      </vt:variant>
      <vt:variant>
        <vt:i4>0</vt:i4>
      </vt:variant>
      <vt:variant>
        <vt:i4>5</vt:i4>
      </vt:variant>
      <vt:variant>
        <vt:lpwstr/>
      </vt:variant>
      <vt:variant>
        <vt:lpwstr>_Toc454888204</vt:lpwstr>
      </vt:variant>
      <vt:variant>
        <vt:i4>1179706</vt:i4>
      </vt:variant>
      <vt:variant>
        <vt:i4>1318</vt:i4>
      </vt:variant>
      <vt:variant>
        <vt:i4>0</vt:i4>
      </vt:variant>
      <vt:variant>
        <vt:i4>5</vt:i4>
      </vt:variant>
      <vt:variant>
        <vt:lpwstr/>
      </vt:variant>
      <vt:variant>
        <vt:lpwstr>_Toc454888203</vt:lpwstr>
      </vt:variant>
      <vt:variant>
        <vt:i4>1179706</vt:i4>
      </vt:variant>
      <vt:variant>
        <vt:i4>1312</vt:i4>
      </vt:variant>
      <vt:variant>
        <vt:i4>0</vt:i4>
      </vt:variant>
      <vt:variant>
        <vt:i4>5</vt:i4>
      </vt:variant>
      <vt:variant>
        <vt:lpwstr/>
      </vt:variant>
      <vt:variant>
        <vt:lpwstr>_Toc454888202</vt:lpwstr>
      </vt:variant>
      <vt:variant>
        <vt:i4>1179706</vt:i4>
      </vt:variant>
      <vt:variant>
        <vt:i4>1306</vt:i4>
      </vt:variant>
      <vt:variant>
        <vt:i4>0</vt:i4>
      </vt:variant>
      <vt:variant>
        <vt:i4>5</vt:i4>
      </vt:variant>
      <vt:variant>
        <vt:lpwstr/>
      </vt:variant>
      <vt:variant>
        <vt:lpwstr>_Toc454888201</vt:lpwstr>
      </vt:variant>
      <vt:variant>
        <vt:i4>1179706</vt:i4>
      </vt:variant>
      <vt:variant>
        <vt:i4>1300</vt:i4>
      </vt:variant>
      <vt:variant>
        <vt:i4>0</vt:i4>
      </vt:variant>
      <vt:variant>
        <vt:i4>5</vt:i4>
      </vt:variant>
      <vt:variant>
        <vt:lpwstr/>
      </vt:variant>
      <vt:variant>
        <vt:lpwstr>_Toc454888200</vt:lpwstr>
      </vt:variant>
      <vt:variant>
        <vt:i4>1769529</vt:i4>
      </vt:variant>
      <vt:variant>
        <vt:i4>1294</vt:i4>
      </vt:variant>
      <vt:variant>
        <vt:i4>0</vt:i4>
      </vt:variant>
      <vt:variant>
        <vt:i4>5</vt:i4>
      </vt:variant>
      <vt:variant>
        <vt:lpwstr/>
      </vt:variant>
      <vt:variant>
        <vt:lpwstr>_Toc454888199</vt:lpwstr>
      </vt:variant>
      <vt:variant>
        <vt:i4>1769529</vt:i4>
      </vt:variant>
      <vt:variant>
        <vt:i4>1288</vt:i4>
      </vt:variant>
      <vt:variant>
        <vt:i4>0</vt:i4>
      </vt:variant>
      <vt:variant>
        <vt:i4>5</vt:i4>
      </vt:variant>
      <vt:variant>
        <vt:lpwstr/>
      </vt:variant>
      <vt:variant>
        <vt:lpwstr>_Toc454888198</vt:lpwstr>
      </vt:variant>
      <vt:variant>
        <vt:i4>1769529</vt:i4>
      </vt:variant>
      <vt:variant>
        <vt:i4>1282</vt:i4>
      </vt:variant>
      <vt:variant>
        <vt:i4>0</vt:i4>
      </vt:variant>
      <vt:variant>
        <vt:i4>5</vt:i4>
      </vt:variant>
      <vt:variant>
        <vt:lpwstr/>
      </vt:variant>
      <vt:variant>
        <vt:lpwstr>_Toc454888197</vt:lpwstr>
      </vt:variant>
      <vt:variant>
        <vt:i4>1769529</vt:i4>
      </vt:variant>
      <vt:variant>
        <vt:i4>1276</vt:i4>
      </vt:variant>
      <vt:variant>
        <vt:i4>0</vt:i4>
      </vt:variant>
      <vt:variant>
        <vt:i4>5</vt:i4>
      </vt:variant>
      <vt:variant>
        <vt:lpwstr/>
      </vt:variant>
      <vt:variant>
        <vt:lpwstr>_Toc454888196</vt:lpwstr>
      </vt:variant>
      <vt:variant>
        <vt:i4>1769529</vt:i4>
      </vt:variant>
      <vt:variant>
        <vt:i4>1270</vt:i4>
      </vt:variant>
      <vt:variant>
        <vt:i4>0</vt:i4>
      </vt:variant>
      <vt:variant>
        <vt:i4>5</vt:i4>
      </vt:variant>
      <vt:variant>
        <vt:lpwstr/>
      </vt:variant>
      <vt:variant>
        <vt:lpwstr>_Toc454888195</vt:lpwstr>
      </vt:variant>
      <vt:variant>
        <vt:i4>1769529</vt:i4>
      </vt:variant>
      <vt:variant>
        <vt:i4>1264</vt:i4>
      </vt:variant>
      <vt:variant>
        <vt:i4>0</vt:i4>
      </vt:variant>
      <vt:variant>
        <vt:i4>5</vt:i4>
      </vt:variant>
      <vt:variant>
        <vt:lpwstr/>
      </vt:variant>
      <vt:variant>
        <vt:lpwstr>_Toc454888194</vt:lpwstr>
      </vt:variant>
      <vt:variant>
        <vt:i4>1769529</vt:i4>
      </vt:variant>
      <vt:variant>
        <vt:i4>1258</vt:i4>
      </vt:variant>
      <vt:variant>
        <vt:i4>0</vt:i4>
      </vt:variant>
      <vt:variant>
        <vt:i4>5</vt:i4>
      </vt:variant>
      <vt:variant>
        <vt:lpwstr/>
      </vt:variant>
      <vt:variant>
        <vt:lpwstr>_Toc454888193</vt:lpwstr>
      </vt:variant>
      <vt:variant>
        <vt:i4>1769529</vt:i4>
      </vt:variant>
      <vt:variant>
        <vt:i4>1252</vt:i4>
      </vt:variant>
      <vt:variant>
        <vt:i4>0</vt:i4>
      </vt:variant>
      <vt:variant>
        <vt:i4>5</vt:i4>
      </vt:variant>
      <vt:variant>
        <vt:lpwstr/>
      </vt:variant>
      <vt:variant>
        <vt:lpwstr>_Toc454888192</vt:lpwstr>
      </vt:variant>
      <vt:variant>
        <vt:i4>1769529</vt:i4>
      </vt:variant>
      <vt:variant>
        <vt:i4>1246</vt:i4>
      </vt:variant>
      <vt:variant>
        <vt:i4>0</vt:i4>
      </vt:variant>
      <vt:variant>
        <vt:i4>5</vt:i4>
      </vt:variant>
      <vt:variant>
        <vt:lpwstr/>
      </vt:variant>
      <vt:variant>
        <vt:lpwstr>_Toc454888191</vt:lpwstr>
      </vt:variant>
      <vt:variant>
        <vt:i4>1769529</vt:i4>
      </vt:variant>
      <vt:variant>
        <vt:i4>1240</vt:i4>
      </vt:variant>
      <vt:variant>
        <vt:i4>0</vt:i4>
      </vt:variant>
      <vt:variant>
        <vt:i4>5</vt:i4>
      </vt:variant>
      <vt:variant>
        <vt:lpwstr/>
      </vt:variant>
      <vt:variant>
        <vt:lpwstr>_Toc454888190</vt:lpwstr>
      </vt:variant>
      <vt:variant>
        <vt:i4>1703993</vt:i4>
      </vt:variant>
      <vt:variant>
        <vt:i4>1234</vt:i4>
      </vt:variant>
      <vt:variant>
        <vt:i4>0</vt:i4>
      </vt:variant>
      <vt:variant>
        <vt:i4>5</vt:i4>
      </vt:variant>
      <vt:variant>
        <vt:lpwstr/>
      </vt:variant>
      <vt:variant>
        <vt:lpwstr>_Toc454888189</vt:lpwstr>
      </vt:variant>
      <vt:variant>
        <vt:i4>1703993</vt:i4>
      </vt:variant>
      <vt:variant>
        <vt:i4>1228</vt:i4>
      </vt:variant>
      <vt:variant>
        <vt:i4>0</vt:i4>
      </vt:variant>
      <vt:variant>
        <vt:i4>5</vt:i4>
      </vt:variant>
      <vt:variant>
        <vt:lpwstr/>
      </vt:variant>
      <vt:variant>
        <vt:lpwstr>_Toc454888188</vt:lpwstr>
      </vt:variant>
      <vt:variant>
        <vt:i4>1703993</vt:i4>
      </vt:variant>
      <vt:variant>
        <vt:i4>1222</vt:i4>
      </vt:variant>
      <vt:variant>
        <vt:i4>0</vt:i4>
      </vt:variant>
      <vt:variant>
        <vt:i4>5</vt:i4>
      </vt:variant>
      <vt:variant>
        <vt:lpwstr/>
      </vt:variant>
      <vt:variant>
        <vt:lpwstr>_Toc454888187</vt:lpwstr>
      </vt:variant>
      <vt:variant>
        <vt:i4>1703993</vt:i4>
      </vt:variant>
      <vt:variant>
        <vt:i4>1216</vt:i4>
      </vt:variant>
      <vt:variant>
        <vt:i4>0</vt:i4>
      </vt:variant>
      <vt:variant>
        <vt:i4>5</vt:i4>
      </vt:variant>
      <vt:variant>
        <vt:lpwstr/>
      </vt:variant>
      <vt:variant>
        <vt:lpwstr>_Toc454888186</vt:lpwstr>
      </vt:variant>
      <vt:variant>
        <vt:i4>1703993</vt:i4>
      </vt:variant>
      <vt:variant>
        <vt:i4>1210</vt:i4>
      </vt:variant>
      <vt:variant>
        <vt:i4>0</vt:i4>
      </vt:variant>
      <vt:variant>
        <vt:i4>5</vt:i4>
      </vt:variant>
      <vt:variant>
        <vt:lpwstr/>
      </vt:variant>
      <vt:variant>
        <vt:lpwstr>_Toc454888185</vt:lpwstr>
      </vt:variant>
      <vt:variant>
        <vt:i4>1703993</vt:i4>
      </vt:variant>
      <vt:variant>
        <vt:i4>1204</vt:i4>
      </vt:variant>
      <vt:variant>
        <vt:i4>0</vt:i4>
      </vt:variant>
      <vt:variant>
        <vt:i4>5</vt:i4>
      </vt:variant>
      <vt:variant>
        <vt:lpwstr/>
      </vt:variant>
      <vt:variant>
        <vt:lpwstr>_Toc454888184</vt:lpwstr>
      </vt:variant>
      <vt:variant>
        <vt:i4>1703993</vt:i4>
      </vt:variant>
      <vt:variant>
        <vt:i4>1198</vt:i4>
      </vt:variant>
      <vt:variant>
        <vt:i4>0</vt:i4>
      </vt:variant>
      <vt:variant>
        <vt:i4>5</vt:i4>
      </vt:variant>
      <vt:variant>
        <vt:lpwstr/>
      </vt:variant>
      <vt:variant>
        <vt:lpwstr>_Toc454888183</vt:lpwstr>
      </vt:variant>
      <vt:variant>
        <vt:i4>1703993</vt:i4>
      </vt:variant>
      <vt:variant>
        <vt:i4>1192</vt:i4>
      </vt:variant>
      <vt:variant>
        <vt:i4>0</vt:i4>
      </vt:variant>
      <vt:variant>
        <vt:i4>5</vt:i4>
      </vt:variant>
      <vt:variant>
        <vt:lpwstr/>
      </vt:variant>
      <vt:variant>
        <vt:lpwstr>_Toc454888182</vt:lpwstr>
      </vt:variant>
      <vt:variant>
        <vt:i4>1703993</vt:i4>
      </vt:variant>
      <vt:variant>
        <vt:i4>1186</vt:i4>
      </vt:variant>
      <vt:variant>
        <vt:i4>0</vt:i4>
      </vt:variant>
      <vt:variant>
        <vt:i4>5</vt:i4>
      </vt:variant>
      <vt:variant>
        <vt:lpwstr/>
      </vt:variant>
      <vt:variant>
        <vt:lpwstr>_Toc454888181</vt:lpwstr>
      </vt:variant>
      <vt:variant>
        <vt:i4>1703993</vt:i4>
      </vt:variant>
      <vt:variant>
        <vt:i4>1180</vt:i4>
      </vt:variant>
      <vt:variant>
        <vt:i4>0</vt:i4>
      </vt:variant>
      <vt:variant>
        <vt:i4>5</vt:i4>
      </vt:variant>
      <vt:variant>
        <vt:lpwstr/>
      </vt:variant>
      <vt:variant>
        <vt:lpwstr>_Toc454888180</vt:lpwstr>
      </vt:variant>
      <vt:variant>
        <vt:i4>1376313</vt:i4>
      </vt:variant>
      <vt:variant>
        <vt:i4>1174</vt:i4>
      </vt:variant>
      <vt:variant>
        <vt:i4>0</vt:i4>
      </vt:variant>
      <vt:variant>
        <vt:i4>5</vt:i4>
      </vt:variant>
      <vt:variant>
        <vt:lpwstr/>
      </vt:variant>
      <vt:variant>
        <vt:lpwstr>_Toc454888179</vt:lpwstr>
      </vt:variant>
      <vt:variant>
        <vt:i4>1376313</vt:i4>
      </vt:variant>
      <vt:variant>
        <vt:i4>1168</vt:i4>
      </vt:variant>
      <vt:variant>
        <vt:i4>0</vt:i4>
      </vt:variant>
      <vt:variant>
        <vt:i4>5</vt:i4>
      </vt:variant>
      <vt:variant>
        <vt:lpwstr/>
      </vt:variant>
      <vt:variant>
        <vt:lpwstr>_Toc454888178</vt:lpwstr>
      </vt:variant>
      <vt:variant>
        <vt:i4>1376313</vt:i4>
      </vt:variant>
      <vt:variant>
        <vt:i4>1162</vt:i4>
      </vt:variant>
      <vt:variant>
        <vt:i4>0</vt:i4>
      </vt:variant>
      <vt:variant>
        <vt:i4>5</vt:i4>
      </vt:variant>
      <vt:variant>
        <vt:lpwstr/>
      </vt:variant>
      <vt:variant>
        <vt:lpwstr>_Toc454888177</vt:lpwstr>
      </vt:variant>
      <vt:variant>
        <vt:i4>1376313</vt:i4>
      </vt:variant>
      <vt:variant>
        <vt:i4>1156</vt:i4>
      </vt:variant>
      <vt:variant>
        <vt:i4>0</vt:i4>
      </vt:variant>
      <vt:variant>
        <vt:i4>5</vt:i4>
      </vt:variant>
      <vt:variant>
        <vt:lpwstr/>
      </vt:variant>
      <vt:variant>
        <vt:lpwstr>_Toc454888176</vt:lpwstr>
      </vt:variant>
      <vt:variant>
        <vt:i4>1376313</vt:i4>
      </vt:variant>
      <vt:variant>
        <vt:i4>1150</vt:i4>
      </vt:variant>
      <vt:variant>
        <vt:i4>0</vt:i4>
      </vt:variant>
      <vt:variant>
        <vt:i4>5</vt:i4>
      </vt:variant>
      <vt:variant>
        <vt:lpwstr/>
      </vt:variant>
      <vt:variant>
        <vt:lpwstr>_Toc454888175</vt:lpwstr>
      </vt:variant>
      <vt:variant>
        <vt:i4>1376313</vt:i4>
      </vt:variant>
      <vt:variant>
        <vt:i4>1144</vt:i4>
      </vt:variant>
      <vt:variant>
        <vt:i4>0</vt:i4>
      </vt:variant>
      <vt:variant>
        <vt:i4>5</vt:i4>
      </vt:variant>
      <vt:variant>
        <vt:lpwstr/>
      </vt:variant>
      <vt:variant>
        <vt:lpwstr>_Toc454888174</vt:lpwstr>
      </vt:variant>
      <vt:variant>
        <vt:i4>1376313</vt:i4>
      </vt:variant>
      <vt:variant>
        <vt:i4>1138</vt:i4>
      </vt:variant>
      <vt:variant>
        <vt:i4>0</vt:i4>
      </vt:variant>
      <vt:variant>
        <vt:i4>5</vt:i4>
      </vt:variant>
      <vt:variant>
        <vt:lpwstr/>
      </vt:variant>
      <vt:variant>
        <vt:lpwstr>_Toc454888173</vt:lpwstr>
      </vt:variant>
      <vt:variant>
        <vt:i4>1376313</vt:i4>
      </vt:variant>
      <vt:variant>
        <vt:i4>1132</vt:i4>
      </vt:variant>
      <vt:variant>
        <vt:i4>0</vt:i4>
      </vt:variant>
      <vt:variant>
        <vt:i4>5</vt:i4>
      </vt:variant>
      <vt:variant>
        <vt:lpwstr/>
      </vt:variant>
      <vt:variant>
        <vt:lpwstr>_Toc454888172</vt:lpwstr>
      </vt:variant>
      <vt:variant>
        <vt:i4>1376313</vt:i4>
      </vt:variant>
      <vt:variant>
        <vt:i4>1126</vt:i4>
      </vt:variant>
      <vt:variant>
        <vt:i4>0</vt:i4>
      </vt:variant>
      <vt:variant>
        <vt:i4>5</vt:i4>
      </vt:variant>
      <vt:variant>
        <vt:lpwstr/>
      </vt:variant>
      <vt:variant>
        <vt:lpwstr>_Toc454888171</vt:lpwstr>
      </vt:variant>
      <vt:variant>
        <vt:i4>1376313</vt:i4>
      </vt:variant>
      <vt:variant>
        <vt:i4>1120</vt:i4>
      </vt:variant>
      <vt:variant>
        <vt:i4>0</vt:i4>
      </vt:variant>
      <vt:variant>
        <vt:i4>5</vt:i4>
      </vt:variant>
      <vt:variant>
        <vt:lpwstr/>
      </vt:variant>
      <vt:variant>
        <vt:lpwstr>_Toc454888170</vt:lpwstr>
      </vt:variant>
      <vt:variant>
        <vt:i4>1310777</vt:i4>
      </vt:variant>
      <vt:variant>
        <vt:i4>1114</vt:i4>
      </vt:variant>
      <vt:variant>
        <vt:i4>0</vt:i4>
      </vt:variant>
      <vt:variant>
        <vt:i4>5</vt:i4>
      </vt:variant>
      <vt:variant>
        <vt:lpwstr/>
      </vt:variant>
      <vt:variant>
        <vt:lpwstr>_Toc454888169</vt:lpwstr>
      </vt:variant>
      <vt:variant>
        <vt:i4>1310777</vt:i4>
      </vt:variant>
      <vt:variant>
        <vt:i4>1108</vt:i4>
      </vt:variant>
      <vt:variant>
        <vt:i4>0</vt:i4>
      </vt:variant>
      <vt:variant>
        <vt:i4>5</vt:i4>
      </vt:variant>
      <vt:variant>
        <vt:lpwstr/>
      </vt:variant>
      <vt:variant>
        <vt:lpwstr>_Toc454888168</vt:lpwstr>
      </vt:variant>
      <vt:variant>
        <vt:i4>1310777</vt:i4>
      </vt:variant>
      <vt:variant>
        <vt:i4>1102</vt:i4>
      </vt:variant>
      <vt:variant>
        <vt:i4>0</vt:i4>
      </vt:variant>
      <vt:variant>
        <vt:i4>5</vt:i4>
      </vt:variant>
      <vt:variant>
        <vt:lpwstr/>
      </vt:variant>
      <vt:variant>
        <vt:lpwstr>_Toc454888167</vt:lpwstr>
      </vt:variant>
      <vt:variant>
        <vt:i4>1310777</vt:i4>
      </vt:variant>
      <vt:variant>
        <vt:i4>1096</vt:i4>
      </vt:variant>
      <vt:variant>
        <vt:i4>0</vt:i4>
      </vt:variant>
      <vt:variant>
        <vt:i4>5</vt:i4>
      </vt:variant>
      <vt:variant>
        <vt:lpwstr/>
      </vt:variant>
      <vt:variant>
        <vt:lpwstr>_Toc454888166</vt:lpwstr>
      </vt:variant>
      <vt:variant>
        <vt:i4>1310777</vt:i4>
      </vt:variant>
      <vt:variant>
        <vt:i4>1090</vt:i4>
      </vt:variant>
      <vt:variant>
        <vt:i4>0</vt:i4>
      </vt:variant>
      <vt:variant>
        <vt:i4>5</vt:i4>
      </vt:variant>
      <vt:variant>
        <vt:lpwstr/>
      </vt:variant>
      <vt:variant>
        <vt:lpwstr>_Toc454888165</vt:lpwstr>
      </vt:variant>
      <vt:variant>
        <vt:i4>1310777</vt:i4>
      </vt:variant>
      <vt:variant>
        <vt:i4>1084</vt:i4>
      </vt:variant>
      <vt:variant>
        <vt:i4>0</vt:i4>
      </vt:variant>
      <vt:variant>
        <vt:i4>5</vt:i4>
      </vt:variant>
      <vt:variant>
        <vt:lpwstr/>
      </vt:variant>
      <vt:variant>
        <vt:lpwstr>_Toc454888164</vt:lpwstr>
      </vt:variant>
      <vt:variant>
        <vt:i4>1310777</vt:i4>
      </vt:variant>
      <vt:variant>
        <vt:i4>1078</vt:i4>
      </vt:variant>
      <vt:variant>
        <vt:i4>0</vt:i4>
      </vt:variant>
      <vt:variant>
        <vt:i4>5</vt:i4>
      </vt:variant>
      <vt:variant>
        <vt:lpwstr/>
      </vt:variant>
      <vt:variant>
        <vt:lpwstr>_Toc454888163</vt:lpwstr>
      </vt:variant>
      <vt:variant>
        <vt:i4>1310777</vt:i4>
      </vt:variant>
      <vt:variant>
        <vt:i4>1072</vt:i4>
      </vt:variant>
      <vt:variant>
        <vt:i4>0</vt:i4>
      </vt:variant>
      <vt:variant>
        <vt:i4>5</vt:i4>
      </vt:variant>
      <vt:variant>
        <vt:lpwstr/>
      </vt:variant>
      <vt:variant>
        <vt:lpwstr>_Toc454888162</vt:lpwstr>
      </vt:variant>
      <vt:variant>
        <vt:i4>1310777</vt:i4>
      </vt:variant>
      <vt:variant>
        <vt:i4>1066</vt:i4>
      </vt:variant>
      <vt:variant>
        <vt:i4>0</vt:i4>
      </vt:variant>
      <vt:variant>
        <vt:i4>5</vt:i4>
      </vt:variant>
      <vt:variant>
        <vt:lpwstr/>
      </vt:variant>
      <vt:variant>
        <vt:lpwstr>_Toc454888161</vt:lpwstr>
      </vt:variant>
      <vt:variant>
        <vt:i4>1310777</vt:i4>
      </vt:variant>
      <vt:variant>
        <vt:i4>1060</vt:i4>
      </vt:variant>
      <vt:variant>
        <vt:i4>0</vt:i4>
      </vt:variant>
      <vt:variant>
        <vt:i4>5</vt:i4>
      </vt:variant>
      <vt:variant>
        <vt:lpwstr/>
      </vt:variant>
      <vt:variant>
        <vt:lpwstr>_Toc454888160</vt:lpwstr>
      </vt:variant>
      <vt:variant>
        <vt:i4>1507385</vt:i4>
      </vt:variant>
      <vt:variant>
        <vt:i4>1054</vt:i4>
      </vt:variant>
      <vt:variant>
        <vt:i4>0</vt:i4>
      </vt:variant>
      <vt:variant>
        <vt:i4>5</vt:i4>
      </vt:variant>
      <vt:variant>
        <vt:lpwstr/>
      </vt:variant>
      <vt:variant>
        <vt:lpwstr>_Toc454888159</vt:lpwstr>
      </vt:variant>
      <vt:variant>
        <vt:i4>1507385</vt:i4>
      </vt:variant>
      <vt:variant>
        <vt:i4>1048</vt:i4>
      </vt:variant>
      <vt:variant>
        <vt:i4>0</vt:i4>
      </vt:variant>
      <vt:variant>
        <vt:i4>5</vt:i4>
      </vt:variant>
      <vt:variant>
        <vt:lpwstr/>
      </vt:variant>
      <vt:variant>
        <vt:lpwstr>_Toc454888158</vt:lpwstr>
      </vt:variant>
      <vt:variant>
        <vt:i4>1507385</vt:i4>
      </vt:variant>
      <vt:variant>
        <vt:i4>1042</vt:i4>
      </vt:variant>
      <vt:variant>
        <vt:i4>0</vt:i4>
      </vt:variant>
      <vt:variant>
        <vt:i4>5</vt:i4>
      </vt:variant>
      <vt:variant>
        <vt:lpwstr/>
      </vt:variant>
      <vt:variant>
        <vt:lpwstr>_Toc454888157</vt:lpwstr>
      </vt:variant>
      <vt:variant>
        <vt:i4>1507385</vt:i4>
      </vt:variant>
      <vt:variant>
        <vt:i4>1036</vt:i4>
      </vt:variant>
      <vt:variant>
        <vt:i4>0</vt:i4>
      </vt:variant>
      <vt:variant>
        <vt:i4>5</vt:i4>
      </vt:variant>
      <vt:variant>
        <vt:lpwstr/>
      </vt:variant>
      <vt:variant>
        <vt:lpwstr>_Toc454888156</vt:lpwstr>
      </vt:variant>
      <vt:variant>
        <vt:i4>1507385</vt:i4>
      </vt:variant>
      <vt:variant>
        <vt:i4>1030</vt:i4>
      </vt:variant>
      <vt:variant>
        <vt:i4>0</vt:i4>
      </vt:variant>
      <vt:variant>
        <vt:i4>5</vt:i4>
      </vt:variant>
      <vt:variant>
        <vt:lpwstr/>
      </vt:variant>
      <vt:variant>
        <vt:lpwstr>_Toc454888155</vt:lpwstr>
      </vt:variant>
      <vt:variant>
        <vt:i4>1507385</vt:i4>
      </vt:variant>
      <vt:variant>
        <vt:i4>1024</vt:i4>
      </vt:variant>
      <vt:variant>
        <vt:i4>0</vt:i4>
      </vt:variant>
      <vt:variant>
        <vt:i4>5</vt:i4>
      </vt:variant>
      <vt:variant>
        <vt:lpwstr/>
      </vt:variant>
      <vt:variant>
        <vt:lpwstr>_Toc454888154</vt:lpwstr>
      </vt:variant>
      <vt:variant>
        <vt:i4>1507385</vt:i4>
      </vt:variant>
      <vt:variant>
        <vt:i4>1018</vt:i4>
      </vt:variant>
      <vt:variant>
        <vt:i4>0</vt:i4>
      </vt:variant>
      <vt:variant>
        <vt:i4>5</vt:i4>
      </vt:variant>
      <vt:variant>
        <vt:lpwstr/>
      </vt:variant>
      <vt:variant>
        <vt:lpwstr>_Toc454888153</vt:lpwstr>
      </vt:variant>
      <vt:variant>
        <vt:i4>1507385</vt:i4>
      </vt:variant>
      <vt:variant>
        <vt:i4>1012</vt:i4>
      </vt:variant>
      <vt:variant>
        <vt:i4>0</vt:i4>
      </vt:variant>
      <vt:variant>
        <vt:i4>5</vt:i4>
      </vt:variant>
      <vt:variant>
        <vt:lpwstr/>
      </vt:variant>
      <vt:variant>
        <vt:lpwstr>_Toc454888152</vt:lpwstr>
      </vt:variant>
      <vt:variant>
        <vt:i4>1507385</vt:i4>
      </vt:variant>
      <vt:variant>
        <vt:i4>1006</vt:i4>
      </vt:variant>
      <vt:variant>
        <vt:i4>0</vt:i4>
      </vt:variant>
      <vt:variant>
        <vt:i4>5</vt:i4>
      </vt:variant>
      <vt:variant>
        <vt:lpwstr/>
      </vt:variant>
      <vt:variant>
        <vt:lpwstr>_Toc454888151</vt:lpwstr>
      </vt:variant>
      <vt:variant>
        <vt:i4>1507385</vt:i4>
      </vt:variant>
      <vt:variant>
        <vt:i4>1000</vt:i4>
      </vt:variant>
      <vt:variant>
        <vt:i4>0</vt:i4>
      </vt:variant>
      <vt:variant>
        <vt:i4>5</vt:i4>
      </vt:variant>
      <vt:variant>
        <vt:lpwstr/>
      </vt:variant>
      <vt:variant>
        <vt:lpwstr>_Toc454888150</vt:lpwstr>
      </vt:variant>
      <vt:variant>
        <vt:i4>1441849</vt:i4>
      </vt:variant>
      <vt:variant>
        <vt:i4>994</vt:i4>
      </vt:variant>
      <vt:variant>
        <vt:i4>0</vt:i4>
      </vt:variant>
      <vt:variant>
        <vt:i4>5</vt:i4>
      </vt:variant>
      <vt:variant>
        <vt:lpwstr/>
      </vt:variant>
      <vt:variant>
        <vt:lpwstr>_Toc454888149</vt:lpwstr>
      </vt:variant>
      <vt:variant>
        <vt:i4>1441849</vt:i4>
      </vt:variant>
      <vt:variant>
        <vt:i4>988</vt:i4>
      </vt:variant>
      <vt:variant>
        <vt:i4>0</vt:i4>
      </vt:variant>
      <vt:variant>
        <vt:i4>5</vt:i4>
      </vt:variant>
      <vt:variant>
        <vt:lpwstr/>
      </vt:variant>
      <vt:variant>
        <vt:lpwstr>_Toc454888148</vt:lpwstr>
      </vt:variant>
      <vt:variant>
        <vt:i4>1441849</vt:i4>
      </vt:variant>
      <vt:variant>
        <vt:i4>982</vt:i4>
      </vt:variant>
      <vt:variant>
        <vt:i4>0</vt:i4>
      </vt:variant>
      <vt:variant>
        <vt:i4>5</vt:i4>
      </vt:variant>
      <vt:variant>
        <vt:lpwstr/>
      </vt:variant>
      <vt:variant>
        <vt:lpwstr>_Toc454888147</vt:lpwstr>
      </vt:variant>
      <vt:variant>
        <vt:i4>1441849</vt:i4>
      </vt:variant>
      <vt:variant>
        <vt:i4>976</vt:i4>
      </vt:variant>
      <vt:variant>
        <vt:i4>0</vt:i4>
      </vt:variant>
      <vt:variant>
        <vt:i4>5</vt:i4>
      </vt:variant>
      <vt:variant>
        <vt:lpwstr/>
      </vt:variant>
      <vt:variant>
        <vt:lpwstr>_Toc454888146</vt:lpwstr>
      </vt:variant>
      <vt:variant>
        <vt:i4>1441849</vt:i4>
      </vt:variant>
      <vt:variant>
        <vt:i4>970</vt:i4>
      </vt:variant>
      <vt:variant>
        <vt:i4>0</vt:i4>
      </vt:variant>
      <vt:variant>
        <vt:i4>5</vt:i4>
      </vt:variant>
      <vt:variant>
        <vt:lpwstr/>
      </vt:variant>
      <vt:variant>
        <vt:lpwstr>_Toc454888145</vt:lpwstr>
      </vt:variant>
      <vt:variant>
        <vt:i4>1441849</vt:i4>
      </vt:variant>
      <vt:variant>
        <vt:i4>964</vt:i4>
      </vt:variant>
      <vt:variant>
        <vt:i4>0</vt:i4>
      </vt:variant>
      <vt:variant>
        <vt:i4>5</vt:i4>
      </vt:variant>
      <vt:variant>
        <vt:lpwstr/>
      </vt:variant>
      <vt:variant>
        <vt:lpwstr>_Toc454888144</vt:lpwstr>
      </vt:variant>
      <vt:variant>
        <vt:i4>1441849</vt:i4>
      </vt:variant>
      <vt:variant>
        <vt:i4>958</vt:i4>
      </vt:variant>
      <vt:variant>
        <vt:i4>0</vt:i4>
      </vt:variant>
      <vt:variant>
        <vt:i4>5</vt:i4>
      </vt:variant>
      <vt:variant>
        <vt:lpwstr/>
      </vt:variant>
      <vt:variant>
        <vt:lpwstr>_Toc454888143</vt:lpwstr>
      </vt:variant>
      <vt:variant>
        <vt:i4>1441849</vt:i4>
      </vt:variant>
      <vt:variant>
        <vt:i4>952</vt:i4>
      </vt:variant>
      <vt:variant>
        <vt:i4>0</vt:i4>
      </vt:variant>
      <vt:variant>
        <vt:i4>5</vt:i4>
      </vt:variant>
      <vt:variant>
        <vt:lpwstr/>
      </vt:variant>
      <vt:variant>
        <vt:lpwstr>_Toc454888142</vt:lpwstr>
      </vt:variant>
      <vt:variant>
        <vt:i4>1441849</vt:i4>
      </vt:variant>
      <vt:variant>
        <vt:i4>946</vt:i4>
      </vt:variant>
      <vt:variant>
        <vt:i4>0</vt:i4>
      </vt:variant>
      <vt:variant>
        <vt:i4>5</vt:i4>
      </vt:variant>
      <vt:variant>
        <vt:lpwstr/>
      </vt:variant>
      <vt:variant>
        <vt:lpwstr>_Toc454888141</vt:lpwstr>
      </vt:variant>
      <vt:variant>
        <vt:i4>1441849</vt:i4>
      </vt:variant>
      <vt:variant>
        <vt:i4>940</vt:i4>
      </vt:variant>
      <vt:variant>
        <vt:i4>0</vt:i4>
      </vt:variant>
      <vt:variant>
        <vt:i4>5</vt:i4>
      </vt:variant>
      <vt:variant>
        <vt:lpwstr/>
      </vt:variant>
      <vt:variant>
        <vt:lpwstr>_Toc454888140</vt:lpwstr>
      </vt:variant>
      <vt:variant>
        <vt:i4>1114169</vt:i4>
      </vt:variant>
      <vt:variant>
        <vt:i4>934</vt:i4>
      </vt:variant>
      <vt:variant>
        <vt:i4>0</vt:i4>
      </vt:variant>
      <vt:variant>
        <vt:i4>5</vt:i4>
      </vt:variant>
      <vt:variant>
        <vt:lpwstr/>
      </vt:variant>
      <vt:variant>
        <vt:lpwstr>_Toc454888139</vt:lpwstr>
      </vt:variant>
      <vt:variant>
        <vt:i4>1114169</vt:i4>
      </vt:variant>
      <vt:variant>
        <vt:i4>928</vt:i4>
      </vt:variant>
      <vt:variant>
        <vt:i4>0</vt:i4>
      </vt:variant>
      <vt:variant>
        <vt:i4>5</vt:i4>
      </vt:variant>
      <vt:variant>
        <vt:lpwstr/>
      </vt:variant>
      <vt:variant>
        <vt:lpwstr>_Toc454888138</vt:lpwstr>
      </vt:variant>
      <vt:variant>
        <vt:i4>1114169</vt:i4>
      </vt:variant>
      <vt:variant>
        <vt:i4>922</vt:i4>
      </vt:variant>
      <vt:variant>
        <vt:i4>0</vt:i4>
      </vt:variant>
      <vt:variant>
        <vt:i4>5</vt:i4>
      </vt:variant>
      <vt:variant>
        <vt:lpwstr/>
      </vt:variant>
      <vt:variant>
        <vt:lpwstr>_Toc454888137</vt:lpwstr>
      </vt:variant>
      <vt:variant>
        <vt:i4>1114169</vt:i4>
      </vt:variant>
      <vt:variant>
        <vt:i4>916</vt:i4>
      </vt:variant>
      <vt:variant>
        <vt:i4>0</vt:i4>
      </vt:variant>
      <vt:variant>
        <vt:i4>5</vt:i4>
      </vt:variant>
      <vt:variant>
        <vt:lpwstr/>
      </vt:variant>
      <vt:variant>
        <vt:lpwstr>_Toc454888136</vt:lpwstr>
      </vt:variant>
      <vt:variant>
        <vt:i4>1114169</vt:i4>
      </vt:variant>
      <vt:variant>
        <vt:i4>910</vt:i4>
      </vt:variant>
      <vt:variant>
        <vt:i4>0</vt:i4>
      </vt:variant>
      <vt:variant>
        <vt:i4>5</vt:i4>
      </vt:variant>
      <vt:variant>
        <vt:lpwstr/>
      </vt:variant>
      <vt:variant>
        <vt:lpwstr>_Toc454888135</vt:lpwstr>
      </vt:variant>
      <vt:variant>
        <vt:i4>1114169</vt:i4>
      </vt:variant>
      <vt:variant>
        <vt:i4>904</vt:i4>
      </vt:variant>
      <vt:variant>
        <vt:i4>0</vt:i4>
      </vt:variant>
      <vt:variant>
        <vt:i4>5</vt:i4>
      </vt:variant>
      <vt:variant>
        <vt:lpwstr/>
      </vt:variant>
      <vt:variant>
        <vt:lpwstr>_Toc454888134</vt:lpwstr>
      </vt:variant>
      <vt:variant>
        <vt:i4>1114169</vt:i4>
      </vt:variant>
      <vt:variant>
        <vt:i4>898</vt:i4>
      </vt:variant>
      <vt:variant>
        <vt:i4>0</vt:i4>
      </vt:variant>
      <vt:variant>
        <vt:i4>5</vt:i4>
      </vt:variant>
      <vt:variant>
        <vt:lpwstr/>
      </vt:variant>
      <vt:variant>
        <vt:lpwstr>_Toc454888133</vt:lpwstr>
      </vt:variant>
      <vt:variant>
        <vt:i4>1114169</vt:i4>
      </vt:variant>
      <vt:variant>
        <vt:i4>892</vt:i4>
      </vt:variant>
      <vt:variant>
        <vt:i4>0</vt:i4>
      </vt:variant>
      <vt:variant>
        <vt:i4>5</vt:i4>
      </vt:variant>
      <vt:variant>
        <vt:lpwstr/>
      </vt:variant>
      <vt:variant>
        <vt:lpwstr>_Toc454888132</vt:lpwstr>
      </vt:variant>
      <vt:variant>
        <vt:i4>1114169</vt:i4>
      </vt:variant>
      <vt:variant>
        <vt:i4>886</vt:i4>
      </vt:variant>
      <vt:variant>
        <vt:i4>0</vt:i4>
      </vt:variant>
      <vt:variant>
        <vt:i4>5</vt:i4>
      </vt:variant>
      <vt:variant>
        <vt:lpwstr/>
      </vt:variant>
      <vt:variant>
        <vt:lpwstr>_Toc454888131</vt:lpwstr>
      </vt:variant>
      <vt:variant>
        <vt:i4>1114169</vt:i4>
      </vt:variant>
      <vt:variant>
        <vt:i4>880</vt:i4>
      </vt:variant>
      <vt:variant>
        <vt:i4>0</vt:i4>
      </vt:variant>
      <vt:variant>
        <vt:i4>5</vt:i4>
      </vt:variant>
      <vt:variant>
        <vt:lpwstr/>
      </vt:variant>
      <vt:variant>
        <vt:lpwstr>_Toc454888130</vt:lpwstr>
      </vt:variant>
      <vt:variant>
        <vt:i4>1048633</vt:i4>
      </vt:variant>
      <vt:variant>
        <vt:i4>874</vt:i4>
      </vt:variant>
      <vt:variant>
        <vt:i4>0</vt:i4>
      </vt:variant>
      <vt:variant>
        <vt:i4>5</vt:i4>
      </vt:variant>
      <vt:variant>
        <vt:lpwstr/>
      </vt:variant>
      <vt:variant>
        <vt:lpwstr>_Toc454888129</vt:lpwstr>
      </vt:variant>
      <vt:variant>
        <vt:i4>1048633</vt:i4>
      </vt:variant>
      <vt:variant>
        <vt:i4>868</vt:i4>
      </vt:variant>
      <vt:variant>
        <vt:i4>0</vt:i4>
      </vt:variant>
      <vt:variant>
        <vt:i4>5</vt:i4>
      </vt:variant>
      <vt:variant>
        <vt:lpwstr/>
      </vt:variant>
      <vt:variant>
        <vt:lpwstr>_Toc454888128</vt:lpwstr>
      </vt:variant>
      <vt:variant>
        <vt:i4>1048633</vt:i4>
      </vt:variant>
      <vt:variant>
        <vt:i4>862</vt:i4>
      </vt:variant>
      <vt:variant>
        <vt:i4>0</vt:i4>
      </vt:variant>
      <vt:variant>
        <vt:i4>5</vt:i4>
      </vt:variant>
      <vt:variant>
        <vt:lpwstr/>
      </vt:variant>
      <vt:variant>
        <vt:lpwstr>_Toc454888127</vt:lpwstr>
      </vt:variant>
      <vt:variant>
        <vt:i4>1048633</vt:i4>
      </vt:variant>
      <vt:variant>
        <vt:i4>856</vt:i4>
      </vt:variant>
      <vt:variant>
        <vt:i4>0</vt:i4>
      </vt:variant>
      <vt:variant>
        <vt:i4>5</vt:i4>
      </vt:variant>
      <vt:variant>
        <vt:lpwstr/>
      </vt:variant>
      <vt:variant>
        <vt:lpwstr>_Toc454888126</vt:lpwstr>
      </vt:variant>
      <vt:variant>
        <vt:i4>1048633</vt:i4>
      </vt:variant>
      <vt:variant>
        <vt:i4>850</vt:i4>
      </vt:variant>
      <vt:variant>
        <vt:i4>0</vt:i4>
      </vt:variant>
      <vt:variant>
        <vt:i4>5</vt:i4>
      </vt:variant>
      <vt:variant>
        <vt:lpwstr/>
      </vt:variant>
      <vt:variant>
        <vt:lpwstr>_Toc454888125</vt:lpwstr>
      </vt:variant>
      <vt:variant>
        <vt:i4>1048633</vt:i4>
      </vt:variant>
      <vt:variant>
        <vt:i4>844</vt:i4>
      </vt:variant>
      <vt:variant>
        <vt:i4>0</vt:i4>
      </vt:variant>
      <vt:variant>
        <vt:i4>5</vt:i4>
      </vt:variant>
      <vt:variant>
        <vt:lpwstr/>
      </vt:variant>
      <vt:variant>
        <vt:lpwstr>_Toc454888124</vt:lpwstr>
      </vt:variant>
      <vt:variant>
        <vt:i4>1048633</vt:i4>
      </vt:variant>
      <vt:variant>
        <vt:i4>838</vt:i4>
      </vt:variant>
      <vt:variant>
        <vt:i4>0</vt:i4>
      </vt:variant>
      <vt:variant>
        <vt:i4>5</vt:i4>
      </vt:variant>
      <vt:variant>
        <vt:lpwstr/>
      </vt:variant>
      <vt:variant>
        <vt:lpwstr>_Toc454888123</vt:lpwstr>
      </vt:variant>
      <vt:variant>
        <vt:i4>1048633</vt:i4>
      </vt:variant>
      <vt:variant>
        <vt:i4>832</vt:i4>
      </vt:variant>
      <vt:variant>
        <vt:i4>0</vt:i4>
      </vt:variant>
      <vt:variant>
        <vt:i4>5</vt:i4>
      </vt:variant>
      <vt:variant>
        <vt:lpwstr/>
      </vt:variant>
      <vt:variant>
        <vt:lpwstr>_Toc454888122</vt:lpwstr>
      </vt:variant>
      <vt:variant>
        <vt:i4>1048633</vt:i4>
      </vt:variant>
      <vt:variant>
        <vt:i4>826</vt:i4>
      </vt:variant>
      <vt:variant>
        <vt:i4>0</vt:i4>
      </vt:variant>
      <vt:variant>
        <vt:i4>5</vt:i4>
      </vt:variant>
      <vt:variant>
        <vt:lpwstr/>
      </vt:variant>
      <vt:variant>
        <vt:lpwstr>_Toc454888121</vt:lpwstr>
      </vt:variant>
      <vt:variant>
        <vt:i4>1048633</vt:i4>
      </vt:variant>
      <vt:variant>
        <vt:i4>820</vt:i4>
      </vt:variant>
      <vt:variant>
        <vt:i4>0</vt:i4>
      </vt:variant>
      <vt:variant>
        <vt:i4>5</vt:i4>
      </vt:variant>
      <vt:variant>
        <vt:lpwstr/>
      </vt:variant>
      <vt:variant>
        <vt:lpwstr>_Toc454888120</vt:lpwstr>
      </vt:variant>
      <vt:variant>
        <vt:i4>1245241</vt:i4>
      </vt:variant>
      <vt:variant>
        <vt:i4>814</vt:i4>
      </vt:variant>
      <vt:variant>
        <vt:i4>0</vt:i4>
      </vt:variant>
      <vt:variant>
        <vt:i4>5</vt:i4>
      </vt:variant>
      <vt:variant>
        <vt:lpwstr/>
      </vt:variant>
      <vt:variant>
        <vt:lpwstr>_Toc454888119</vt:lpwstr>
      </vt:variant>
      <vt:variant>
        <vt:i4>1245241</vt:i4>
      </vt:variant>
      <vt:variant>
        <vt:i4>808</vt:i4>
      </vt:variant>
      <vt:variant>
        <vt:i4>0</vt:i4>
      </vt:variant>
      <vt:variant>
        <vt:i4>5</vt:i4>
      </vt:variant>
      <vt:variant>
        <vt:lpwstr/>
      </vt:variant>
      <vt:variant>
        <vt:lpwstr>_Toc454888118</vt:lpwstr>
      </vt:variant>
      <vt:variant>
        <vt:i4>1245241</vt:i4>
      </vt:variant>
      <vt:variant>
        <vt:i4>802</vt:i4>
      </vt:variant>
      <vt:variant>
        <vt:i4>0</vt:i4>
      </vt:variant>
      <vt:variant>
        <vt:i4>5</vt:i4>
      </vt:variant>
      <vt:variant>
        <vt:lpwstr/>
      </vt:variant>
      <vt:variant>
        <vt:lpwstr>_Toc454888117</vt:lpwstr>
      </vt:variant>
      <vt:variant>
        <vt:i4>1245241</vt:i4>
      </vt:variant>
      <vt:variant>
        <vt:i4>796</vt:i4>
      </vt:variant>
      <vt:variant>
        <vt:i4>0</vt:i4>
      </vt:variant>
      <vt:variant>
        <vt:i4>5</vt:i4>
      </vt:variant>
      <vt:variant>
        <vt:lpwstr/>
      </vt:variant>
      <vt:variant>
        <vt:lpwstr>_Toc454888116</vt:lpwstr>
      </vt:variant>
      <vt:variant>
        <vt:i4>1245241</vt:i4>
      </vt:variant>
      <vt:variant>
        <vt:i4>790</vt:i4>
      </vt:variant>
      <vt:variant>
        <vt:i4>0</vt:i4>
      </vt:variant>
      <vt:variant>
        <vt:i4>5</vt:i4>
      </vt:variant>
      <vt:variant>
        <vt:lpwstr/>
      </vt:variant>
      <vt:variant>
        <vt:lpwstr>_Toc454888115</vt:lpwstr>
      </vt:variant>
      <vt:variant>
        <vt:i4>1245241</vt:i4>
      </vt:variant>
      <vt:variant>
        <vt:i4>784</vt:i4>
      </vt:variant>
      <vt:variant>
        <vt:i4>0</vt:i4>
      </vt:variant>
      <vt:variant>
        <vt:i4>5</vt:i4>
      </vt:variant>
      <vt:variant>
        <vt:lpwstr/>
      </vt:variant>
      <vt:variant>
        <vt:lpwstr>_Toc454888114</vt:lpwstr>
      </vt:variant>
      <vt:variant>
        <vt:i4>1245241</vt:i4>
      </vt:variant>
      <vt:variant>
        <vt:i4>778</vt:i4>
      </vt:variant>
      <vt:variant>
        <vt:i4>0</vt:i4>
      </vt:variant>
      <vt:variant>
        <vt:i4>5</vt:i4>
      </vt:variant>
      <vt:variant>
        <vt:lpwstr/>
      </vt:variant>
      <vt:variant>
        <vt:lpwstr>_Toc454888113</vt:lpwstr>
      </vt:variant>
      <vt:variant>
        <vt:i4>1245241</vt:i4>
      </vt:variant>
      <vt:variant>
        <vt:i4>772</vt:i4>
      </vt:variant>
      <vt:variant>
        <vt:i4>0</vt:i4>
      </vt:variant>
      <vt:variant>
        <vt:i4>5</vt:i4>
      </vt:variant>
      <vt:variant>
        <vt:lpwstr/>
      </vt:variant>
      <vt:variant>
        <vt:lpwstr>_Toc454888112</vt:lpwstr>
      </vt:variant>
      <vt:variant>
        <vt:i4>1245241</vt:i4>
      </vt:variant>
      <vt:variant>
        <vt:i4>766</vt:i4>
      </vt:variant>
      <vt:variant>
        <vt:i4>0</vt:i4>
      </vt:variant>
      <vt:variant>
        <vt:i4>5</vt:i4>
      </vt:variant>
      <vt:variant>
        <vt:lpwstr/>
      </vt:variant>
      <vt:variant>
        <vt:lpwstr>_Toc454888111</vt:lpwstr>
      </vt:variant>
      <vt:variant>
        <vt:i4>1245241</vt:i4>
      </vt:variant>
      <vt:variant>
        <vt:i4>760</vt:i4>
      </vt:variant>
      <vt:variant>
        <vt:i4>0</vt:i4>
      </vt:variant>
      <vt:variant>
        <vt:i4>5</vt:i4>
      </vt:variant>
      <vt:variant>
        <vt:lpwstr/>
      </vt:variant>
      <vt:variant>
        <vt:lpwstr>_Toc454888110</vt:lpwstr>
      </vt:variant>
      <vt:variant>
        <vt:i4>1179705</vt:i4>
      </vt:variant>
      <vt:variant>
        <vt:i4>754</vt:i4>
      </vt:variant>
      <vt:variant>
        <vt:i4>0</vt:i4>
      </vt:variant>
      <vt:variant>
        <vt:i4>5</vt:i4>
      </vt:variant>
      <vt:variant>
        <vt:lpwstr/>
      </vt:variant>
      <vt:variant>
        <vt:lpwstr>_Toc454888109</vt:lpwstr>
      </vt:variant>
      <vt:variant>
        <vt:i4>1179705</vt:i4>
      </vt:variant>
      <vt:variant>
        <vt:i4>748</vt:i4>
      </vt:variant>
      <vt:variant>
        <vt:i4>0</vt:i4>
      </vt:variant>
      <vt:variant>
        <vt:i4>5</vt:i4>
      </vt:variant>
      <vt:variant>
        <vt:lpwstr/>
      </vt:variant>
      <vt:variant>
        <vt:lpwstr>_Toc454888108</vt:lpwstr>
      </vt:variant>
      <vt:variant>
        <vt:i4>1179705</vt:i4>
      </vt:variant>
      <vt:variant>
        <vt:i4>742</vt:i4>
      </vt:variant>
      <vt:variant>
        <vt:i4>0</vt:i4>
      </vt:variant>
      <vt:variant>
        <vt:i4>5</vt:i4>
      </vt:variant>
      <vt:variant>
        <vt:lpwstr/>
      </vt:variant>
      <vt:variant>
        <vt:lpwstr>_Toc454888107</vt:lpwstr>
      </vt:variant>
      <vt:variant>
        <vt:i4>1179705</vt:i4>
      </vt:variant>
      <vt:variant>
        <vt:i4>736</vt:i4>
      </vt:variant>
      <vt:variant>
        <vt:i4>0</vt:i4>
      </vt:variant>
      <vt:variant>
        <vt:i4>5</vt:i4>
      </vt:variant>
      <vt:variant>
        <vt:lpwstr/>
      </vt:variant>
      <vt:variant>
        <vt:lpwstr>_Toc454888106</vt:lpwstr>
      </vt:variant>
      <vt:variant>
        <vt:i4>1179705</vt:i4>
      </vt:variant>
      <vt:variant>
        <vt:i4>730</vt:i4>
      </vt:variant>
      <vt:variant>
        <vt:i4>0</vt:i4>
      </vt:variant>
      <vt:variant>
        <vt:i4>5</vt:i4>
      </vt:variant>
      <vt:variant>
        <vt:lpwstr/>
      </vt:variant>
      <vt:variant>
        <vt:lpwstr>_Toc454888105</vt:lpwstr>
      </vt:variant>
      <vt:variant>
        <vt:i4>1179705</vt:i4>
      </vt:variant>
      <vt:variant>
        <vt:i4>724</vt:i4>
      </vt:variant>
      <vt:variant>
        <vt:i4>0</vt:i4>
      </vt:variant>
      <vt:variant>
        <vt:i4>5</vt:i4>
      </vt:variant>
      <vt:variant>
        <vt:lpwstr/>
      </vt:variant>
      <vt:variant>
        <vt:lpwstr>_Toc454888104</vt:lpwstr>
      </vt:variant>
      <vt:variant>
        <vt:i4>1179705</vt:i4>
      </vt:variant>
      <vt:variant>
        <vt:i4>718</vt:i4>
      </vt:variant>
      <vt:variant>
        <vt:i4>0</vt:i4>
      </vt:variant>
      <vt:variant>
        <vt:i4>5</vt:i4>
      </vt:variant>
      <vt:variant>
        <vt:lpwstr/>
      </vt:variant>
      <vt:variant>
        <vt:lpwstr>_Toc454888103</vt:lpwstr>
      </vt:variant>
      <vt:variant>
        <vt:i4>1179705</vt:i4>
      </vt:variant>
      <vt:variant>
        <vt:i4>712</vt:i4>
      </vt:variant>
      <vt:variant>
        <vt:i4>0</vt:i4>
      </vt:variant>
      <vt:variant>
        <vt:i4>5</vt:i4>
      </vt:variant>
      <vt:variant>
        <vt:lpwstr/>
      </vt:variant>
      <vt:variant>
        <vt:lpwstr>_Toc454888102</vt:lpwstr>
      </vt:variant>
      <vt:variant>
        <vt:i4>1179705</vt:i4>
      </vt:variant>
      <vt:variant>
        <vt:i4>706</vt:i4>
      </vt:variant>
      <vt:variant>
        <vt:i4>0</vt:i4>
      </vt:variant>
      <vt:variant>
        <vt:i4>5</vt:i4>
      </vt:variant>
      <vt:variant>
        <vt:lpwstr/>
      </vt:variant>
      <vt:variant>
        <vt:lpwstr>_Toc454888101</vt:lpwstr>
      </vt:variant>
      <vt:variant>
        <vt:i4>1179705</vt:i4>
      </vt:variant>
      <vt:variant>
        <vt:i4>700</vt:i4>
      </vt:variant>
      <vt:variant>
        <vt:i4>0</vt:i4>
      </vt:variant>
      <vt:variant>
        <vt:i4>5</vt:i4>
      </vt:variant>
      <vt:variant>
        <vt:lpwstr/>
      </vt:variant>
      <vt:variant>
        <vt:lpwstr>_Toc454888100</vt:lpwstr>
      </vt:variant>
      <vt:variant>
        <vt:i4>1769528</vt:i4>
      </vt:variant>
      <vt:variant>
        <vt:i4>694</vt:i4>
      </vt:variant>
      <vt:variant>
        <vt:i4>0</vt:i4>
      </vt:variant>
      <vt:variant>
        <vt:i4>5</vt:i4>
      </vt:variant>
      <vt:variant>
        <vt:lpwstr/>
      </vt:variant>
      <vt:variant>
        <vt:lpwstr>_Toc454888099</vt:lpwstr>
      </vt:variant>
      <vt:variant>
        <vt:i4>1769528</vt:i4>
      </vt:variant>
      <vt:variant>
        <vt:i4>688</vt:i4>
      </vt:variant>
      <vt:variant>
        <vt:i4>0</vt:i4>
      </vt:variant>
      <vt:variant>
        <vt:i4>5</vt:i4>
      </vt:variant>
      <vt:variant>
        <vt:lpwstr/>
      </vt:variant>
      <vt:variant>
        <vt:lpwstr>_Toc454888098</vt:lpwstr>
      </vt:variant>
      <vt:variant>
        <vt:i4>1769528</vt:i4>
      </vt:variant>
      <vt:variant>
        <vt:i4>682</vt:i4>
      </vt:variant>
      <vt:variant>
        <vt:i4>0</vt:i4>
      </vt:variant>
      <vt:variant>
        <vt:i4>5</vt:i4>
      </vt:variant>
      <vt:variant>
        <vt:lpwstr/>
      </vt:variant>
      <vt:variant>
        <vt:lpwstr>_Toc454888097</vt:lpwstr>
      </vt:variant>
      <vt:variant>
        <vt:i4>1769528</vt:i4>
      </vt:variant>
      <vt:variant>
        <vt:i4>676</vt:i4>
      </vt:variant>
      <vt:variant>
        <vt:i4>0</vt:i4>
      </vt:variant>
      <vt:variant>
        <vt:i4>5</vt:i4>
      </vt:variant>
      <vt:variant>
        <vt:lpwstr/>
      </vt:variant>
      <vt:variant>
        <vt:lpwstr>_Toc454888096</vt:lpwstr>
      </vt:variant>
      <vt:variant>
        <vt:i4>1769528</vt:i4>
      </vt:variant>
      <vt:variant>
        <vt:i4>670</vt:i4>
      </vt:variant>
      <vt:variant>
        <vt:i4>0</vt:i4>
      </vt:variant>
      <vt:variant>
        <vt:i4>5</vt:i4>
      </vt:variant>
      <vt:variant>
        <vt:lpwstr/>
      </vt:variant>
      <vt:variant>
        <vt:lpwstr>_Toc454888095</vt:lpwstr>
      </vt:variant>
      <vt:variant>
        <vt:i4>1769528</vt:i4>
      </vt:variant>
      <vt:variant>
        <vt:i4>664</vt:i4>
      </vt:variant>
      <vt:variant>
        <vt:i4>0</vt:i4>
      </vt:variant>
      <vt:variant>
        <vt:i4>5</vt:i4>
      </vt:variant>
      <vt:variant>
        <vt:lpwstr/>
      </vt:variant>
      <vt:variant>
        <vt:lpwstr>_Toc454888094</vt:lpwstr>
      </vt:variant>
      <vt:variant>
        <vt:i4>1769528</vt:i4>
      </vt:variant>
      <vt:variant>
        <vt:i4>658</vt:i4>
      </vt:variant>
      <vt:variant>
        <vt:i4>0</vt:i4>
      </vt:variant>
      <vt:variant>
        <vt:i4>5</vt:i4>
      </vt:variant>
      <vt:variant>
        <vt:lpwstr/>
      </vt:variant>
      <vt:variant>
        <vt:lpwstr>_Toc454888093</vt:lpwstr>
      </vt:variant>
      <vt:variant>
        <vt:i4>1769528</vt:i4>
      </vt:variant>
      <vt:variant>
        <vt:i4>652</vt:i4>
      </vt:variant>
      <vt:variant>
        <vt:i4>0</vt:i4>
      </vt:variant>
      <vt:variant>
        <vt:i4>5</vt:i4>
      </vt:variant>
      <vt:variant>
        <vt:lpwstr/>
      </vt:variant>
      <vt:variant>
        <vt:lpwstr>_Toc454888092</vt:lpwstr>
      </vt:variant>
      <vt:variant>
        <vt:i4>1769528</vt:i4>
      </vt:variant>
      <vt:variant>
        <vt:i4>646</vt:i4>
      </vt:variant>
      <vt:variant>
        <vt:i4>0</vt:i4>
      </vt:variant>
      <vt:variant>
        <vt:i4>5</vt:i4>
      </vt:variant>
      <vt:variant>
        <vt:lpwstr/>
      </vt:variant>
      <vt:variant>
        <vt:lpwstr>_Toc454888091</vt:lpwstr>
      </vt:variant>
      <vt:variant>
        <vt:i4>1769528</vt:i4>
      </vt:variant>
      <vt:variant>
        <vt:i4>640</vt:i4>
      </vt:variant>
      <vt:variant>
        <vt:i4>0</vt:i4>
      </vt:variant>
      <vt:variant>
        <vt:i4>5</vt:i4>
      </vt:variant>
      <vt:variant>
        <vt:lpwstr/>
      </vt:variant>
      <vt:variant>
        <vt:lpwstr>_Toc454888090</vt:lpwstr>
      </vt:variant>
      <vt:variant>
        <vt:i4>1703992</vt:i4>
      </vt:variant>
      <vt:variant>
        <vt:i4>634</vt:i4>
      </vt:variant>
      <vt:variant>
        <vt:i4>0</vt:i4>
      </vt:variant>
      <vt:variant>
        <vt:i4>5</vt:i4>
      </vt:variant>
      <vt:variant>
        <vt:lpwstr/>
      </vt:variant>
      <vt:variant>
        <vt:lpwstr>_Toc454888089</vt:lpwstr>
      </vt:variant>
      <vt:variant>
        <vt:i4>1703992</vt:i4>
      </vt:variant>
      <vt:variant>
        <vt:i4>628</vt:i4>
      </vt:variant>
      <vt:variant>
        <vt:i4>0</vt:i4>
      </vt:variant>
      <vt:variant>
        <vt:i4>5</vt:i4>
      </vt:variant>
      <vt:variant>
        <vt:lpwstr/>
      </vt:variant>
      <vt:variant>
        <vt:lpwstr>_Toc454888088</vt:lpwstr>
      </vt:variant>
      <vt:variant>
        <vt:i4>1703992</vt:i4>
      </vt:variant>
      <vt:variant>
        <vt:i4>622</vt:i4>
      </vt:variant>
      <vt:variant>
        <vt:i4>0</vt:i4>
      </vt:variant>
      <vt:variant>
        <vt:i4>5</vt:i4>
      </vt:variant>
      <vt:variant>
        <vt:lpwstr/>
      </vt:variant>
      <vt:variant>
        <vt:lpwstr>_Toc454888087</vt:lpwstr>
      </vt:variant>
      <vt:variant>
        <vt:i4>1703992</vt:i4>
      </vt:variant>
      <vt:variant>
        <vt:i4>616</vt:i4>
      </vt:variant>
      <vt:variant>
        <vt:i4>0</vt:i4>
      </vt:variant>
      <vt:variant>
        <vt:i4>5</vt:i4>
      </vt:variant>
      <vt:variant>
        <vt:lpwstr/>
      </vt:variant>
      <vt:variant>
        <vt:lpwstr>_Toc454888086</vt:lpwstr>
      </vt:variant>
      <vt:variant>
        <vt:i4>1703992</vt:i4>
      </vt:variant>
      <vt:variant>
        <vt:i4>610</vt:i4>
      </vt:variant>
      <vt:variant>
        <vt:i4>0</vt:i4>
      </vt:variant>
      <vt:variant>
        <vt:i4>5</vt:i4>
      </vt:variant>
      <vt:variant>
        <vt:lpwstr/>
      </vt:variant>
      <vt:variant>
        <vt:lpwstr>_Toc454888085</vt:lpwstr>
      </vt:variant>
      <vt:variant>
        <vt:i4>1703992</vt:i4>
      </vt:variant>
      <vt:variant>
        <vt:i4>604</vt:i4>
      </vt:variant>
      <vt:variant>
        <vt:i4>0</vt:i4>
      </vt:variant>
      <vt:variant>
        <vt:i4>5</vt:i4>
      </vt:variant>
      <vt:variant>
        <vt:lpwstr/>
      </vt:variant>
      <vt:variant>
        <vt:lpwstr>_Toc454888084</vt:lpwstr>
      </vt:variant>
      <vt:variant>
        <vt:i4>1703992</vt:i4>
      </vt:variant>
      <vt:variant>
        <vt:i4>598</vt:i4>
      </vt:variant>
      <vt:variant>
        <vt:i4>0</vt:i4>
      </vt:variant>
      <vt:variant>
        <vt:i4>5</vt:i4>
      </vt:variant>
      <vt:variant>
        <vt:lpwstr/>
      </vt:variant>
      <vt:variant>
        <vt:lpwstr>_Toc454888083</vt:lpwstr>
      </vt:variant>
      <vt:variant>
        <vt:i4>1703992</vt:i4>
      </vt:variant>
      <vt:variant>
        <vt:i4>592</vt:i4>
      </vt:variant>
      <vt:variant>
        <vt:i4>0</vt:i4>
      </vt:variant>
      <vt:variant>
        <vt:i4>5</vt:i4>
      </vt:variant>
      <vt:variant>
        <vt:lpwstr/>
      </vt:variant>
      <vt:variant>
        <vt:lpwstr>_Toc454888082</vt:lpwstr>
      </vt:variant>
      <vt:variant>
        <vt:i4>1703992</vt:i4>
      </vt:variant>
      <vt:variant>
        <vt:i4>586</vt:i4>
      </vt:variant>
      <vt:variant>
        <vt:i4>0</vt:i4>
      </vt:variant>
      <vt:variant>
        <vt:i4>5</vt:i4>
      </vt:variant>
      <vt:variant>
        <vt:lpwstr/>
      </vt:variant>
      <vt:variant>
        <vt:lpwstr>_Toc454888081</vt:lpwstr>
      </vt:variant>
      <vt:variant>
        <vt:i4>1703992</vt:i4>
      </vt:variant>
      <vt:variant>
        <vt:i4>580</vt:i4>
      </vt:variant>
      <vt:variant>
        <vt:i4>0</vt:i4>
      </vt:variant>
      <vt:variant>
        <vt:i4>5</vt:i4>
      </vt:variant>
      <vt:variant>
        <vt:lpwstr/>
      </vt:variant>
      <vt:variant>
        <vt:lpwstr>_Toc454888080</vt:lpwstr>
      </vt:variant>
      <vt:variant>
        <vt:i4>1376312</vt:i4>
      </vt:variant>
      <vt:variant>
        <vt:i4>574</vt:i4>
      </vt:variant>
      <vt:variant>
        <vt:i4>0</vt:i4>
      </vt:variant>
      <vt:variant>
        <vt:i4>5</vt:i4>
      </vt:variant>
      <vt:variant>
        <vt:lpwstr/>
      </vt:variant>
      <vt:variant>
        <vt:lpwstr>_Toc454888079</vt:lpwstr>
      </vt:variant>
      <vt:variant>
        <vt:i4>1376312</vt:i4>
      </vt:variant>
      <vt:variant>
        <vt:i4>568</vt:i4>
      </vt:variant>
      <vt:variant>
        <vt:i4>0</vt:i4>
      </vt:variant>
      <vt:variant>
        <vt:i4>5</vt:i4>
      </vt:variant>
      <vt:variant>
        <vt:lpwstr/>
      </vt:variant>
      <vt:variant>
        <vt:lpwstr>_Toc454888078</vt:lpwstr>
      </vt:variant>
      <vt:variant>
        <vt:i4>1376312</vt:i4>
      </vt:variant>
      <vt:variant>
        <vt:i4>562</vt:i4>
      </vt:variant>
      <vt:variant>
        <vt:i4>0</vt:i4>
      </vt:variant>
      <vt:variant>
        <vt:i4>5</vt:i4>
      </vt:variant>
      <vt:variant>
        <vt:lpwstr/>
      </vt:variant>
      <vt:variant>
        <vt:lpwstr>_Toc454888077</vt:lpwstr>
      </vt:variant>
      <vt:variant>
        <vt:i4>1376312</vt:i4>
      </vt:variant>
      <vt:variant>
        <vt:i4>556</vt:i4>
      </vt:variant>
      <vt:variant>
        <vt:i4>0</vt:i4>
      </vt:variant>
      <vt:variant>
        <vt:i4>5</vt:i4>
      </vt:variant>
      <vt:variant>
        <vt:lpwstr/>
      </vt:variant>
      <vt:variant>
        <vt:lpwstr>_Toc454888076</vt:lpwstr>
      </vt:variant>
      <vt:variant>
        <vt:i4>1376312</vt:i4>
      </vt:variant>
      <vt:variant>
        <vt:i4>550</vt:i4>
      </vt:variant>
      <vt:variant>
        <vt:i4>0</vt:i4>
      </vt:variant>
      <vt:variant>
        <vt:i4>5</vt:i4>
      </vt:variant>
      <vt:variant>
        <vt:lpwstr/>
      </vt:variant>
      <vt:variant>
        <vt:lpwstr>_Toc454888075</vt:lpwstr>
      </vt:variant>
      <vt:variant>
        <vt:i4>1376312</vt:i4>
      </vt:variant>
      <vt:variant>
        <vt:i4>544</vt:i4>
      </vt:variant>
      <vt:variant>
        <vt:i4>0</vt:i4>
      </vt:variant>
      <vt:variant>
        <vt:i4>5</vt:i4>
      </vt:variant>
      <vt:variant>
        <vt:lpwstr/>
      </vt:variant>
      <vt:variant>
        <vt:lpwstr>_Toc454888074</vt:lpwstr>
      </vt:variant>
      <vt:variant>
        <vt:i4>1376312</vt:i4>
      </vt:variant>
      <vt:variant>
        <vt:i4>538</vt:i4>
      </vt:variant>
      <vt:variant>
        <vt:i4>0</vt:i4>
      </vt:variant>
      <vt:variant>
        <vt:i4>5</vt:i4>
      </vt:variant>
      <vt:variant>
        <vt:lpwstr/>
      </vt:variant>
      <vt:variant>
        <vt:lpwstr>_Toc454888073</vt:lpwstr>
      </vt:variant>
      <vt:variant>
        <vt:i4>1376312</vt:i4>
      </vt:variant>
      <vt:variant>
        <vt:i4>532</vt:i4>
      </vt:variant>
      <vt:variant>
        <vt:i4>0</vt:i4>
      </vt:variant>
      <vt:variant>
        <vt:i4>5</vt:i4>
      </vt:variant>
      <vt:variant>
        <vt:lpwstr/>
      </vt:variant>
      <vt:variant>
        <vt:lpwstr>_Toc454888072</vt:lpwstr>
      </vt:variant>
      <vt:variant>
        <vt:i4>1376312</vt:i4>
      </vt:variant>
      <vt:variant>
        <vt:i4>526</vt:i4>
      </vt:variant>
      <vt:variant>
        <vt:i4>0</vt:i4>
      </vt:variant>
      <vt:variant>
        <vt:i4>5</vt:i4>
      </vt:variant>
      <vt:variant>
        <vt:lpwstr/>
      </vt:variant>
      <vt:variant>
        <vt:lpwstr>_Toc454888071</vt:lpwstr>
      </vt:variant>
      <vt:variant>
        <vt:i4>1376312</vt:i4>
      </vt:variant>
      <vt:variant>
        <vt:i4>520</vt:i4>
      </vt:variant>
      <vt:variant>
        <vt:i4>0</vt:i4>
      </vt:variant>
      <vt:variant>
        <vt:i4>5</vt:i4>
      </vt:variant>
      <vt:variant>
        <vt:lpwstr/>
      </vt:variant>
      <vt:variant>
        <vt:lpwstr>_Toc454888070</vt:lpwstr>
      </vt:variant>
      <vt:variant>
        <vt:i4>1310776</vt:i4>
      </vt:variant>
      <vt:variant>
        <vt:i4>514</vt:i4>
      </vt:variant>
      <vt:variant>
        <vt:i4>0</vt:i4>
      </vt:variant>
      <vt:variant>
        <vt:i4>5</vt:i4>
      </vt:variant>
      <vt:variant>
        <vt:lpwstr/>
      </vt:variant>
      <vt:variant>
        <vt:lpwstr>_Toc454888069</vt:lpwstr>
      </vt:variant>
      <vt:variant>
        <vt:i4>1310776</vt:i4>
      </vt:variant>
      <vt:variant>
        <vt:i4>508</vt:i4>
      </vt:variant>
      <vt:variant>
        <vt:i4>0</vt:i4>
      </vt:variant>
      <vt:variant>
        <vt:i4>5</vt:i4>
      </vt:variant>
      <vt:variant>
        <vt:lpwstr/>
      </vt:variant>
      <vt:variant>
        <vt:lpwstr>_Toc454888068</vt:lpwstr>
      </vt:variant>
      <vt:variant>
        <vt:i4>1310776</vt:i4>
      </vt:variant>
      <vt:variant>
        <vt:i4>502</vt:i4>
      </vt:variant>
      <vt:variant>
        <vt:i4>0</vt:i4>
      </vt:variant>
      <vt:variant>
        <vt:i4>5</vt:i4>
      </vt:variant>
      <vt:variant>
        <vt:lpwstr/>
      </vt:variant>
      <vt:variant>
        <vt:lpwstr>_Toc454888067</vt:lpwstr>
      </vt:variant>
      <vt:variant>
        <vt:i4>1310776</vt:i4>
      </vt:variant>
      <vt:variant>
        <vt:i4>496</vt:i4>
      </vt:variant>
      <vt:variant>
        <vt:i4>0</vt:i4>
      </vt:variant>
      <vt:variant>
        <vt:i4>5</vt:i4>
      </vt:variant>
      <vt:variant>
        <vt:lpwstr/>
      </vt:variant>
      <vt:variant>
        <vt:lpwstr>_Toc454888066</vt:lpwstr>
      </vt:variant>
      <vt:variant>
        <vt:i4>1310776</vt:i4>
      </vt:variant>
      <vt:variant>
        <vt:i4>490</vt:i4>
      </vt:variant>
      <vt:variant>
        <vt:i4>0</vt:i4>
      </vt:variant>
      <vt:variant>
        <vt:i4>5</vt:i4>
      </vt:variant>
      <vt:variant>
        <vt:lpwstr/>
      </vt:variant>
      <vt:variant>
        <vt:lpwstr>_Toc454888065</vt:lpwstr>
      </vt:variant>
      <vt:variant>
        <vt:i4>1310776</vt:i4>
      </vt:variant>
      <vt:variant>
        <vt:i4>484</vt:i4>
      </vt:variant>
      <vt:variant>
        <vt:i4>0</vt:i4>
      </vt:variant>
      <vt:variant>
        <vt:i4>5</vt:i4>
      </vt:variant>
      <vt:variant>
        <vt:lpwstr/>
      </vt:variant>
      <vt:variant>
        <vt:lpwstr>_Toc454888064</vt:lpwstr>
      </vt:variant>
      <vt:variant>
        <vt:i4>1310776</vt:i4>
      </vt:variant>
      <vt:variant>
        <vt:i4>478</vt:i4>
      </vt:variant>
      <vt:variant>
        <vt:i4>0</vt:i4>
      </vt:variant>
      <vt:variant>
        <vt:i4>5</vt:i4>
      </vt:variant>
      <vt:variant>
        <vt:lpwstr/>
      </vt:variant>
      <vt:variant>
        <vt:lpwstr>_Toc454888063</vt:lpwstr>
      </vt:variant>
      <vt:variant>
        <vt:i4>1310776</vt:i4>
      </vt:variant>
      <vt:variant>
        <vt:i4>472</vt:i4>
      </vt:variant>
      <vt:variant>
        <vt:i4>0</vt:i4>
      </vt:variant>
      <vt:variant>
        <vt:i4>5</vt:i4>
      </vt:variant>
      <vt:variant>
        <vt:lpwstr/>
      </vt:variant>
      <vt:variant>
        <vt:lpwstr>_Toc454888062</vt:lpwstr>
      </vt:variant>
      <vt:variant>
        <vt:i4>1310776</vt:i4>
      </vt:variant>
      <vt:variant>
        <vt:i4>466</vt:i4>
      </vt:variant>
      <vt:variant>
        <vt:i4>0</vt:i4>
      </vt:variant>
      <vt:variant>
        <vt:i4>5</vt:i4>
      </vt:variant>
      <vt:variant>
        <vt:lpwstr/>
      </vt:variant>
      <vt:variant>
        <vt:lpwstr>_Toc454888061</vt:lpwstr>
      </vt:variant>
      <vt:variant>
        <vt:i4>1310776</vt:i4>
      </vt:variant>
      <vt:variant>
        <vt:i4>460</vt:i4>
      </vt:variant>
      <vt:variant>
        <vt:i4>0</vt:i4>
      </vt:variant>
      <vt:variant>
        <vt:i4>5</vt:i4>
      </vt:variant>
      <vt:variant>
        <vt:lpwstr/>
      </vt:variant>
      <vt:variant>
        <vt:lpwstr>_Toc454888060</vt:lpwstr>
      </vt:variant>
      <vt:variant>
        <vt:i4>1507384</vt:i4>
      </vt:variant>
      <vt:variant>
        <vt:i4>454</vt:i4>
      </vt:variant>
      <vt:variant>
        <vt:i4>0</vt:i4>
      </vt:variant>
      <vt:variant>
        <vt:i4>5</vt:i4>
      </vt:variant>
      <vt:variant>
        <vt:lpwstr/>
      </vt:variant>
      <vt:variant>
        <vt:lpwstr>_Toc454888059</vt:lpwstr>
      </vt:variant>
      <vt:variant>
        <vt:i4>1507384</vt:i4>
      </vt:variant>
      <vt:variant>
        <vt:i4>448</vt:i4>
      </vt:variant>
      <vt:variant>
        <vt:i4>0</vt:i4>
      </vt:variant>
      <vt:variant>
        <vt:i4>5</vt:i4>
      </vt:variant>
      <vt:variant>
        <vt:lpwstr/>
      </vt:variant>
      <vt:variant>
        <vt:lpwstr>_Toc454888058</vt:lpwstr>
      </vt:variant>
      <vt:variant>
        <vt:i4>1507384</vt:i4>
      </vt:variant>
      <vt:variant>
        <vt:i4>442</vt:i4>
      </vt:variant>
      <vt:variant>
        <vt:i4>0</vt:i4>
      </vt:variant>
      <vt:variant>
        <vt:i4>5</vt:i4>
      </vt:variant>
      <vt:variant>
        <vt:lpwstr/>
      </vt:variant>
      <vt:variant>
        <vt:lpwstr>_Toc454888057</vt:lpwstr>
      </vt:variant>
      <vt:variant>
        <vt:i4>1507384</vt:i4>
      </vt:variant>
      <vt:variant>
        <vt:i4>436</vt:i4>
      </vt:variant>
      <vt:variant>
        <vt:i4>0</vt:i4>
      </vt:variant>
      <vt:variant>
        <vt:i4>5</vt:i4>
      </vt:variant>
      <vt:variant>
        <vt:lpwstr/>
      </vt:variant>
      <vt:variant>
        <vt:lpwstr>_Toc454888056</vt:lpwstr>
      </vt:variant>
      <vt:variant>
        <vt:i4>1507384</vt:i4>
      </vt:variant>
      <vt:variant>
        <vt:i4>430</vt:i4>
      </vt:variant>
      <vt:variant>
        <vt:i4>0</vt:i4>
      </vt:variant>
      <vt:variant>
        <vt:i4>5</vt:i4>
      </vt:variant>
      <vt:variant>
        <vt:lpwstr/>
      </vt:variant>
      <vt:variant>
        <vt:lpwstr>_Toc454888055</vt:lpwstr>
      </vt:variant>
      <vt:variant>
        <vt:i4>1507384</vt:i4>
      </vt:variant>
      <vt:variant>
        <vt:i4>424</vt:i4>
      </vt:variant>
      <vt:variant>
        <vt:i4>0</vt:i4>
      </vt:variant>
      <vt:variant>
        <vt:i4>5</vt:i4>
      </vt:variant>
      <vt:variant>
        <vt:lpwstr/>
      </vt:variant>
      <vt:variant>
        <vt:lpwstr>_Toc454888054</vt:lpwstr>
      </vt:variant>
      <vt:variant>
        <vt:i4>1507384</vt:i4>
      </vt:variant>
      <vt:variant>
        <vt:i4>418</vt:i4>
      </vt:variant>
      <vt:variant>
        <vt:i4>0</vt:i4>
      </vt:variant>
      <vt:variant>
        <vt:i4>5</vt:i4>
      </vt:variant>
      <vt:variant>
        <vt:lpwstr/>
      </vt:variant>
      <vt:variant>
        <vt:lpwstr>_Toc454888053</vt:lpwstr>
      </vt:variant>
      <vt:variant>
        <vt:i4>1507384</vt:i4>
      </vt:variant>
      <vt:variant>
        <vt:i4>412</vt:i4>
      </vt:variant>
      <vt:variant>
        <vt:i4>0</vt:i4>
      </vt:variant>
      <vt:variant>
        <vt:i4>5</vt:i4>
      </vt:variant>
      <vt:variant>
        <vt:lpwstr/>
      </vt:variant>
      <vt:variant>
        <vt:lpwstr>_Toc454888052</vt:lpwstr>
      </vt:variant>
      <vt:variant>
        <vt:i4>1507384</vt:i4>
      </vt:variant>
      <vt:variant>
        <vt:i4>406</vt:i4>
      </vt:variant>
      <vt:variant>
        <vt:i4>0</vt:i4>
      </vt:variant>
      <vt:variant>
        <vt:i4>5</vt:i4>
      </vt:variant>
      <vt:variant>
        <vt:lpwstr/>
      </vt:variant>
      <vt:variant>
        <vt:lpwstr>_Toc454888051</vt:lpwstr>
      </vt:variant>
      <vt:variant>
        <vt:i4>1507384</vt:i4>
      </vt:variant>
      <vt:variant>
        <vt:i4>400</vt:i4>
      </vt:variant>
      <vt:variant>
        <vt:i4>0</vt:i4>
      </vt:variant>
      <vt:variant>
        <vt:i4>5</vt:i4>
      </vt:variant>
      <vt:variant>
        <vt:lpwstr/>
      </vt:variant>
      <vt:variant>
        <vt:lpwstr>_Toc454888050</vt:lpwstr>
      </vt:variant>
      <vt:variant>
        <vt:i4>1441848</vt:i4>
      </vt:variant>
      <vt:variant>
        <vt:i4>394</vt:i4>
      </vt:variant>
      <vt:variant>
        <vt:i4>0</vt:i4>
      </vt:variant>
      <vt:variant>
        <vt:i4>5</vt:i4>
      </vt:variant>
      <vt:variant>
        <vt:lpwstr/>
      </vt:variant>
      <vt:variant>
        <vt:lpwstr>_Toc454888049</vt:lpwstr>
      </vt:variant>
      <vt:variant>
        <vt:i4>1441848</vt:i4>
      </vt:variant>
      <vt:variant>
        <vt:i4>388</vt:i4>
      </vt:variant>
      <vt:variant>
        <vt:i4>0</vt:i4>
      </vt:variant>
      <vt:variant>
        <vt:i4>5</vt:i4>
      </vt:variant>
      <vt:variant>
        <vt:lpwstr/>
      </vt:variant>
      <vt:variant>
        <vt:lpwstr>_Toc454888048</vt:lpwstr>
      </vt:variant>
      <vt:variant>
        <vt:i4>1441848</vt:i4>
      </vt:variant>
      <vt:variant>
        <vt:i4>382</vt:i4>
      </vt:variant>
      <vt:variant>
        <vt:i4>0</vt:i4>
      </vt:variant>
      <vt:variant>
        <vt:i4>5</vt:i4>
      </vt:variant>
      <vt:variant>
        <vt:lpwstr/>
      </vt:variant>
      <vt:variant>
        <vt:lpwstr>_Toc454888047</vt:lpwstr>
      </vt:variant>
      <vt:variant>
        <vt:i4>1441848</vt:i4>
      </vt:variant>
      <vt:variant>
        <vt:i4>376</vt:i4>
      </vt:variant>
      <vt:variant>
        <vt:i4>0</vt:i4>
      </vt:variant>
      <vt:variant>
        <vt:i4>5</vt:i4>
      </vt:variant>
      <vt:variant>
        <vt:lpwstr/>
      </vt:variant>
      <vt:variant>
        <vt:lpwstr>_Toc454888046</vt:lpwstr>
      </vt:variant>
      <vt:variant>
        <vt:i4>1441848</vt:i4>
      </vt:variant>
      <vt:variant>
        <vt:i4>370</vt:i4>
      </vt:variant>
      <vt:variant>
        <vt:i4>0</vt:i4>
      </vt:variant>
      <vt:variant>
        <vt:i4>5</vt:i4>
      </vt:variant>
      <vt:variant>
        <vt:lpwstr/>
      </vt:variant>
      <vt:variant>
        <vt:lpwstr>_Toc454888045</vt:lpwstr>
      </vt:variant>
      <vt:variant>
        <vt:i4>1441848</vt:i4>
      </vt:variant>
      <vt:variant>
        <vt:i4>364</vt:i4>
      </vt:variant>
      <vt:variant>
        <vt:i4>0</vt:i4>
      </vt:variant>
      <vt:variant>
        <vt:i4>5</vt:i4>
      </vt:variant>
      <vt:variant>
        <vt:lpwstr/>
      </vt:variant>
      <vt:variant>
        <vt:lpwstr>_Toc454888044</vt:lpwstr>
      </vt:variant>
      <vt:variant>
        <vt:i4>1441848</vt:i4>
      </vt:variant>
      <vt:variant>
        <vt:i4>358</vt:i4>
      </vt:variant>
      <vt:variant>
        <vt:i4>0</vt:i4>
      </vt:variant>
      <vt:variant>
        <vt:i4>5</vt:i4>
      </vt:variant>
      <vt:variant>
        <vt:lpwstr/>
      </vt:variant>
      <vt:variant>
        <vt:lpwstr>_Toc454888043</vt:lpwstr>
      </vt:variant>
      <vt:variant>
        <vt:i4>1441848</vt:i4>
      </vt:variant>
      <vt:variant>
        <vt:i4>352</vt:i4>
      </vt:variant>
      <vt:variant>
        <vt:i4>0</vt:i4>
      </vt:variant>
      <vt:variant>
        <vt:i4>5</vt:i4>
      </vt:variant>
      <vt:variant>
        <vt:lpwstr/>
      </vt:variant>
      <vt:variant>
        <vt:lpwstr>_Toc454888042</vt:lpwstr>
      </vt:variant>
      <vt:variant>
        <vt:i4>1441848</vt:i4>
      </vt:variant>
      <vt:variant>
        <vt:i4>346</vt:i4>
      </vt:variant>
      <vt:variant>
        <vt:i4>0</vt:i4>
      </vt:variant>
      <vt:variant>
        <vt:i4>5</vt:i4>
      </vt:variant>
      <vt:variant>
        <vt:lpwstr/>
      </vt:variant>
      <vt:variant>
        <vt:lpwstr>_Toc454888041</vt:lpwstr>
      </vt:variant>
      <vt:variant>
        <vt:i4>1441848</vt:i4>
      </vt:variant>
      <vt:variant>
        <vt:i4>340</vt:i4>
      </vt:variant>
      <vt:variant>
        <vt:i4>0</vt:i4>
      </vt:variant>
      <vt:variant>
        <vt:i4>5</vt:i4>
      </vt:variant>
      <vt:variant>
        <vt:lpwstr/>
      </vt:variant>
      <vt:variant>
        <vt:lpwstr>_Toc454888040</vt:lpwstr>
      </vt:variant>
      <vt:variant>
        <vt:i4>1114168</vt:i4>
      </vt:variant>
      <vt:variant>
        <vt:i4>334</vt:i4>
      </vt:variant>
      <vt:variant>
        <vt:i4>0</vt:i4>
      </vt:variant>
      <vt:variant>
        <vt:i4>5</vt:i4>
      </vt:variant>
      <vt:variant>
        <vt:lpwstr/>
      </vt:variant>
      <vt:variant>
        <vt:lpwstr>_Toc454888039</vt:lpwstr>
      </vt:variant>
      <vt:variant>
        <vt:i4>1114168</vt:i4>
      </vt:variant>
      <vt:variant>
        <vt:i4>328</vt:i4>
      </vt:variant>
      <vt:variant>
        <vt:i4>0</vt:i4>
      </vt:variant>
      <vt:variant>
        <vt:i4>5</vt:i4>
      </vt:variant>
      <vt:variant>
        <vt:lpwstr/>
      </vt:variant>
      <vt:variant>
        <vt:lpwstr>_Toc454888038</vt:lpwstr>
      </vt:variant>
      <vt:variant>
        <vt:i4>1114168</vt:i4>
      </vt:variant>
      <vt:variant>
        <vt:i4>322</vt:i4>
      </vt:variant>
      <vt:variant>
        <vt:i4>0</vt:i4>
      </vt:variant>
      <vt:variant>
        <vt:i4>5</vt:i4>
      </vt:variant>
      <vt:variant>
        <vt:lpwstr/>
      </vt:variant>
      <vt:variant>
        <vt:lpwstr>_Toc454888037</vt:lpwstr>
      </vt:variant>
      <vt:variant>
        <vt:i4>1114168</vt:i4>
      </vt:variant>
      <vt:variant>
        <vt:i4>316</vt:i4>
      </vt:variant>
      <vt:variant>
        <vt:i4>0</vt:i4>
      </vt:variant>
      <vt:variant>
        <vt:i4>5</vt:i4>
      </vt:variant>
      <vt:variant>
        <vt:lpwstr/>
      </vt:variant>
      <vt:variant>
        <vt:lpwstr>_Toc454888036</vt:lpwstr>
      </vt:variant>
      <vt:variant>
        <vt:i4>1114168</vt:i4>
      </vt:variant>
      <vt:variant>
        <vt:i4>310</vt:i4>
      </vt:variant>
      <vt:variant>
        <vt:i4>0</vt:i4>
      </vt:variant>
      <vt:variant>
        <vt:i4>5</vt:i4>
      </vt:variant>
      <vt:variant>
        <vt:lpwstr/>
      </vt:variant>
      <vt:variant>
        <vt:lpwstr>_Toc454888035</vt:lpwstr>
      </vt:variant>
      <vt:variant>
        <vt:i4>1114168</vt:i4>
      </vt:variant>
      <vt:variant>
        <vt:i4>304</vt:i4>
      </vt:variant>
      <vt:variant>
        <vt:i4>0</vt:i4>
      </vt:variant>
      <vt:variant>
        <vt:i4>5</vt:i4>
      </vt:variant>
      <vt:variant>
        <vt:lpwstr/>
      </vt:variant>
      <vt:variant>
        <vt:lpwstr>_Toc454888034</vt:lpwstr>
      </vt:variant>
      <vt:variant>
        <vt:i4>1114168</vt:i4>
      </vt:variant>
      <vt:variant>
        <vt:i4>298</vt:i4>
      </vt:variant>
      <vt:variant>
        <vt:i4>0</vt:i4>
      </vt:variant>
      <vt:variant>
        <vt:i4>5</vt:i4>
      </vt:variant>
      <vt:variant>
        <vt:lpwstr/>
      </vt:variant>
      <vt:variant>
        <vt:lpwstr>_Toc454888033</vt:lpwstr>
      </vt:variant>
      <vt:variant>
        <vt:i4>1114168</vt:i4>
      </vt:variant>
      <vt:variant>
        <vt:i4>292</vt:i4>
      </vt:variant>
      <vt:variant>
        <vt:i4>0</vt:i4>
      </vt:variant>
      <vt:variant>
        <vt:i4>5</vt:i4>
      </vt:variant>
      <vt:variant>
        <vt:lpwstr/>
      </vt:variant>
      <vt:variant>
        <vt:lpwstr>_Toc454888032</vt:lpwstr>
      </vt:variant>
      <vt:variant>
        <vt:i4>1114168</vt:i4>
      </vt:variant>
      <vt:variant>
        <vt:i4>286</vt:i4>
      </vt:variant>
      <vt:variant>
        <vt:i4>0</vt:i4>
      </vt:variant>
      <vt:variant>
        <vt:i4>5</vt:i4>
      </vt:variant>
      <vt:variant>
        <vt:lpwstr/>
      </vt:variant>
      <vt:variant>
        <vt:lpwstr>_Toc454888031</vt:lpwstr>
      </vt:variant>
      <vt:variant>
        <vt:i4>1114168</vt:i4>
      </vt:variant>
      <vt:variant>
        <vt:i4>280</vt:i4>
      </vt:variant>
      <vt:variant>
        <vt:i4>0</vt:i4>
      </vt:variant>
      <vt:variant>
        <vt:i4>5</vt:i4>
      </vt:variant>
      <vt:variant>
        <vt:lpwstr/>
      </vt:variant>
      <vt:variant>
        <vt:lpwstr>_Toc454888030</vt:lpwstr>
      </vt:variant>
      <vt:variant>
        <vt:i4>1048632</vt:i4>
      </vt:variant>
      <vt:variant>
        <vt:i4>274</vt:i4>
      </vt:variant>
      <vt:variant>
        <vt:i4>0</vt:i4>
      </vt:variant>
      <vt:variant>
        <vt:i4>5</vt:i4>
      </vt:variant>
      <vt:variant>
        <vt:lpwstr/>
      </vt:variant>
      <vt:variant>
        <vt:lpwstr>_Toc454888029</vt:lpwstr>
      </vt:variant>
      <vt:variant>
        <vt:i4>1048632</vt:i4>
      </vt:variant>
      <vt:variant>
        <vt:i4>268</vt:i4>
      </vt:variant>
      <vt:variant>
        <vt:i4>0</vt:i4>
      </vt:variant>
      <vt:variant>
        <vt:i4>5</vt:i4>
      </vt:variant>
      <vt:variant>
        <vt:lpwstr/>
      </vt:variant>
      <vt:variant>
        <vt:lpwstr>_Toc454888028</vt:lpwstr>
      </vt:variant>
      <vt:variant>
        <vt:i4>1048632</vt:i4>
      </vt:variant>
      <vt:variant>
        <vt:i4>262</vt:i4>
      </vt:variant>
      <vt:variant>
        <vt:i4>0</vt:i4>
      </vt:variant>
      <vt:variant>
        <vt:i4>5</vt:i4>
      </vt:variant>
      <vt:variant>
        <vt:lpwstr/>
      </vt:variant>
      <vt:variant>
        <vt:lpwstr>_Toc454888027</vt:lpwstr>
      </vt:variant>
      <vt:variant>
        <vt:i4>1048632</vt:i4>
      </vt:variant>
      <vt:variant>
        <vt:i4>256</vt:i4>
      </vt:variant>
      <vt:variant>
        <vt:i4>0</vt:i4>
      </vt:variant>
      <vt:variant>
        <vt:i4>5</vt:i4>
      </vt:variant>
      <vt:variant>
        <vt:lpwstr/>
      </vt:variant>
      <vt:variant>
        <vt:lpwstr>_Toc454888026</vt:lpwstr>
      </vt:variant>
      <vt:variant>
        <vt:i4>1048632</vt:i4>
      </vt:variant>
      <vt:variant>
        <vt:i4>250</vt:i4>
      </vt:variant>
      <vt:variant>
        <vt:i4>0</vt:i4>
      </vt:variant>
      <vt:variant>
        <vt:i4>5</vt:i4>
      </vt:variant>
      <vt:variant>
        <vt:lpwstr/>
      </vt:variant>
      <vt:variant>
        <vt:lpwstr>_Toc454888025</vt:lpwstr>
      </vt:variant>
      <vt:variant>
        <vt:i4>1048632</vt:i4>
      </vt:variant>
      <vt:variant>
        <vt:i4>244</vt:i4>
      </vt:variant>
      <vt:variant>
        <vt:i4>0</vt:i4>
      </vt:variant>
      <vt:variant>
        <vt:i4>5</vt:i4>
      </vt:variant>
      <vt:variant>
        <vt:lpwstr/>
      </vt:variant>
      <vt:variant>
        <vt:lpwstr>_Toc454888024</vt:lpwstr>
      </vt:variant>
      <vt:variant>
        <vt:i4>1048632</vt:i4>
      </vt:variant>
      <vt:variant>
        <vt:i4>238</vt:i4>
      </vt:variant>
      <vt:variant>
        <vt:i4>0</vt:i4>
      </vt:variant>
      <vt:variant>
        <vt:i4>5</vt:i4>
      </vt:variant>
      <vt:variant>
        <vt:lpwstr/>
      </vt:variant>
      <vt:variant>
        <vt:lpwstr>_Toc454888023</vt:lpwstr>
      </vt:variant>
      <vt:variant>
        <vt:i4>1048632</vt:i4>
      </vt:variant>
      <vt:variant>
        <vt:i4>232</vt:i4>
      </vt:variant>
      <vt:variant>
        <vt:i4>0</vt:i4>
      </vt:variant>
      <vt:variant>
        <vt:i4>5</vt:i4>
      </vt:variant>
      <vt:variant>
        <vt:lpwstr/>
      </vt:variant>
      <vt:variant>
        <vt:lpwstr>_Toc454888022</vt:lpwstr>
      </vt:variant>
      <vt:variant>
        <vt:i4>1048632</vt:i4>
      </vt:variant>
      <vt:variant>
        <vt:i4>226</vt:i4>
      </vt:variant>
      <vt:variant>
        <vt:i4>0</vt:i4>
      </vt:variant>
      <vt:variant>
        <vt:i4>5</vt:i4>
      </vt:variant>
      <vt:variant>
        <vt:lpwstr/>
      </vt:variant>
      <vt:variant>
        <vt:lpwstr>_Toc454888021</vt:lpwstr>
      </vt:variant>
      <vt:variant>
        <vt:i4>1048632</vt:i4>
      </vt:variant>
      <vt:variant>
        <vt:i4>220</vt:i4>
      </vt:variant>
      <vt:variant>
        <vt:i4>0</vt:i4>
      </vt:variant>
      <vt:variant>
        <vt:i4>5</vt:i4>
      </vt:variant>
      <vt:variant>
        <vt:lpwstr/>
      </vt:variant>
      <vt:variant>
        <vt:lpwstr>_Toc454888020</vt:lpwstr>
      </vt:variant>
      <vt:variant>
        <vt:i4>1245240</vt:i4>
      </vt:variant>
      <vt:variant>
        <vt:i4>214</vt:i4>
      </vt:variant>
      <vt:variant>
        <vt:i4>0</vt:i4>
      </vt:variant>
      <vt:variant>
        <vt:i4>5</vt:i4>
      </vt:variant>
      <vt:variant>
        <vt:lpwstr/>
      </vt:variant>
      <vt:variant>
        <vt:lpwstr>_Toc454888019</vt:lpwstr>
      </vt:variant>
      <vt:variant>
        <vt:i4>1245240</vt:i4>
      </vt:variant>
      <vt:variant>
        <vt:i4>208</vt:i4>
      </vt:variant>
      <vt:variant>
        <vt:i4>0</vt:i4>
      </vt:variant>
      <vt:variant>
        <vt:i4>5</vt:i4>
      </vt:variant>
      <vt:variant>
        <vt:lpwstr/>
      </vt:variant>
      <vt:variant>
        <vt:lpwstr>_Toc454888018</vt:lpwstr>
      </vt:variant>
      <vt:variant>
        <vt:i4>1245240</vt:i4>
      </vt:variant>
      <vt:variant>
        <vt:i4>202</vt:i4>
      </vt:variant>
      <vt:variant>
        <vt:i4>0</vt:i4>
      </vt:variant>
      <vt:variant>
        <vt:i4>5</vt:i4>
      </vt:variant>
      <vt:variant>
        <vt:lpwstr/>
      </vt:variant>
      <vt:variant>
        <vt:lpwstr>_Toc454888017</vt:lpwstr>
      </vt:variant>
      <vt:variant>
        <vt:i4>1245240</vt:i4>
      </vt:variant>
      <vt:variant>
        <vt:i4>196</vt:i4>
      </vt:variant>
      <vt:variant>
        <vt:i4>0</vt:i4>
      </vt:variant>
      <vt:variant>
        <vt:i4>5</vt:i4>
      </vt:variant>
      <vt:variant>
        <vt:lpwstr/>
      </vt:variant>
      <vt:variant>
        <vt:lpwstr>_Toc454888016</vt:lpwstr>
      </vt:variant>
      <vt:variant>
        <vt:i4>1245240</vt:i4>
      </vt:variant>
      <vt:variant>
        <vt:i4>190</vt:i4>
      </vt:variant>
      <vt:variant>
        <vt:i4>0</vt:i4>
      </vt:variant>
      <vt:variant>
        <vt:i4>5</vt:i4>
      </vt:variant>
      <vt:variant>
        <vt:lpwstr/>
      </vt:variant>
      <vt:variant>
        <vt:lpwstr>_Toc454888015</vt:lpwstr>
      </vt:variant>
      <vt:variant>
        <vt:i4>1245240</vt:i4>
      </vt:variant>
      <vt:variant>
        <vt:i4>184</vt:i4>
      </vt:variant>
      <vt:variant>
        <vt:i4>0</vt:i4>
      </vt:variant>
      <vt:variant>
        <vt:i4>5</vt:i4>
      </vt:variant>
      <vt:variant>
        <vt:lpwstr/>
      </vt:variant>
      <vt:variant>
        <vt:lpwstr>_Toc454888014</vt:lpwstr>
      </vt:variant>
      <vt:variant>
        <vt:i4>1245240</vt:i4>
      </vt:variant>
      <vt:variant>
        <vt:i4>178</vt:i4>
      </vt:variant>
      <vt:variant>
        <vt:i4>0</vt:i4>
      </vt:variant>
      <vt:variant>
        <vt:i4>5</vt:i4>
      </vt:variant>
      <vt:variant>
        <vt:lpwstr/>
      </vt:variant>
      <vt:variant>
        <vt:lpwstr>_Toc454888013</vt:lpwstr>
      </vt:variant>
      <vt:variant>
        <vt:i4>1245240</vt:i4>
      </vt:variant>
      <vt:variant>
        <vt:i4>172</vt:i4>
      </vt:variant>
      <vt:variant>
        <vt:i4>0</vt:i4>
      </vt:variant>
      <vt:variant>
        <vt:i4>5</vt:i4>
      </vt:variant>
      <vt:variant>
        <vt:lpwstr/>
      </vt:variant>
      <vt:variant>
        <vt:lpwstr>_Toc454888012</vt:lpwstr>
      </vt:variant>
      <vt:variant>
        <vt:i4>1245240</vt:i4>
      </vt:variant>
      <vt:variant>
        <vt:i4>166</vt:i4>
      </vt:variant>
      <vt:variant>
        <vt:i4>0</vt:i4>
      </vt:variant>
      <vt:variant>
        <vt:i4>5</vt:i4>
      </vt:variant>
      <vt:variant>
        <vt:lpwstr/>
      </vt:variant>
      <vt:variant>
        <vt:lpwstr>_Toc454888011</vt:lpwstr>
      </vt:variant>
      <vt:variant>
        <vt:i4>1245240</vt:i4>
      </vt:variant>
      <vt:variant>
        <vt:i4>160</vt:i4>
      </vt:variant>
      <vt:variant>
        <vt:i4>0</vt:i4>
      </vt:variant>
      <vt:variant>
        <vt:i4>5</vt:i4>
      </vt:variant>
      <vt:variant>
        <vt:lpwstr/>
      </vt:variant>
      <vt:variant>
        <vt:lpwstr>_Toc454888010</vt:lpwstr>
      </vt:variant>
      <vt:variant>
        <vt:i4>1179704</vt:i4>
      </vt:variant>
      <vt:variant>
        <vt:i4>154</vt:i4>
      </vt:variant>
      <vt:variant>
        <vt:i4>0</vt:i4>
      </vt:variant>
      <vt:variant>
        <vt:i4>5</vt:i4>
      </vt:variant>
      <vt:variant>
        <vt:lpwstr/>
      </vt:variant>
      <vt:variant>
        <vt:lpwstr>_Toc454888009</vt:lpwstr>
      </vt:variant>
      <vt:variant>
        <vt:i4>1179704</vt:i4>
      </vt:variant>
      <vt:variant>
        <vt:i4>148</vt:i4>
      </vt:variant>
      <vt:variant>
        <vt:i4>0</vt:i4>
      </vt:variant>
      <vt:variant>
        <vt:i4>5</vt:i4>
      </vt:variant>
      <vt:variant>
        <vt:lpwstr/>
      </vt:variant>
      <vt:variant>
        <vt:lpwstr>_Toc454888008</vt:lpwstr>
      </vt:variant>
      <vt:variant>
        <vt:i4>1179704</vt:i4>
      </vt:variant>
      <vt:variant>
        <vt:i4>142</vt:i4>
      </vt:variant>
      <vt:variant>
        <vt:i4>0</vt:i4>
      </vt:variant>
      <vt:variant>
        <vt:i4>5</vt:i4>
      </vt:variant>
      <vt:variant>
        <vt:lpwstr/>
      </vt:variant>
      <vt:variant>
        <vt:lpwstr>_Toc454888007</vt:lpwstr>
      </vt:variant>
      <vt:variant>
        <vt:i4>1179704</vt:i4>
      </vt:variant>
      <vt:variant>
        <vt:i4>136</vt:i4>
      </vt:variant>
      <vt:variant>
        <vt:i4>0</vt:i4>
      </vt:variant>
      <vt:variant>
        <vt:i4>5</vt:i4>
      </vt:variant>
      <vt:variant>
        <vt:lpwstr/>
      </vt:variant>
      <vt:variant>
        <vt:lpwstr>_Toc454888006</vt:lpwstr>
      </vt:variant>
      <vt:variant>
        <vt:i4>1179704</vt:i4>
      </vt:variant>
      <vt:variant>
        <vt:i4>130</vt:i4>
      </vt:variant>
      <vt:variant>
        <vt:i4>0</vt:i4>
      </vt:variant>
      <vt:variant>
        <vt:i4>5</vt:i4>
      </vt:variant>
      <vt:variant>
        <vt:lpwstr/>
      </vt:variant>
      <vt:variant>
        <vt:lpwstr>_Toc454888005</vt:lpwstr>
      </vt:variant>
      <vt:variant>
        <vt:i4>1179704</vt:i4>
      </vt:variant>
      <vt:variant>
        <vt:i4>124</vt:i4>
      </vt:variant>
      <vt:variant>
        <vt:i4>0</vt:i4>
      </vt:variant>
      <vt:variant>
        <vt:i4>5</vt:i4>
      </vt:variant>
      <vt:variant>
        <vt:lpwstr/>
      </vt:variant>
      <vt:variant>
        <vt:lpwstr>_Toc454888004</vt:lpwstr>
      </vt:variant>
      <vt:variant>
        <vt:i4>1179704</vt:i4>
      </vt:variant>
      <vt:variant>
        <vt:i4>118</vt:i4>
      </vt:variant>
      <vt:variant>
        <vt:i4>0</vt:i4>
      </vt:variant>
      <vt:variant>
        <vt:i4>5</vt:i4>
      </vt:variant>
      <vt:variant>
        <vt:lpwstr/>
      </vt:variant>
      <vt:variant>
        <vt:lpwstr>_Toc454888003</vt:lpwstr>
      </vt:variant>
      <vt:variant>
        <vt:i4>1179704</vt:i4>
      </vt:variant>
      <vt:variant>
        <vt:i4>112</vt:i4>
      </vt:variant>
      <vt:variant>
        <vt:i4>0</vt:i4>
      </vt:variant>
      <vt:variant>
        <vt:i4>5</vt:i4>
      </vt:variant>
      <vt:variant>
        <vt:lpwstr/>
      </vt:variant>
      <vt:variant>
        <vt:lpwstr>_Toc454888002</vt:lpwstr>
      </vt:variant>
      <vt:variant>
        <vt:i4>1179704</vt:i4>
      </vt:variant>
      <vt:variant>
        <vt:i4>106</vt:i4>
      </vt:variant>
      <vt:variant>
        <vt:i4>0</vt:i4>
      </vt:variant>
      <vt:variant>
        <vt:i4>5</vt:i4>
      </vt:variant>
      <vt:variant>
        <vt:lpwstr/>
      </vt:variant>
      <vt:variant>
        <vt:lpwstr>_Toc454888001</vt:lpwstr>
      </vt:variant>
      <vt:variant>
        <vt:i4>1179704</vt:i4>
      </vt:variant>
      <vt:variant>
        <vt:i4>100</vt:i4>
      </vt:variant>
      <vt:variant>
        <vt:i4>0</vt:i4>
      </vt:variant>
      <vt:variant>
        <vt:i4>5</vt:i4>
      </vt:variant>
      <vt:variant>
        <vt:lpwstr/>
      </vt:variant>
      <vt:variant>
        <vt:lpwstr>_Toc454888000</vt:lpwstr>
      </vt:variant>
      <vt:variant>
        <vt:i4>1310769</vt:i4>
      </vt:variant>
      <vt:variant>
        <vt:i4>94</vt:i4>
      </vt:variant>
      <vt:variant>
        <vt:i4>0</vt:i4>
      </vt:variant>
      <vt:variant>
        <vt:i4>5</vt:i4>
      </vt:variant>
      <vt:variant>
        <vt:lpwstr/>
      </vt:variant>
      <vt:variant>
        <vt:lpwstr>_Toc454887999</vt:lpwstr>
      </vt:variant>
      <vt:variant>
        <vt:i4>1310769</vt:i4>
      </vt:variant>
      <vt:variant>
        <vt:i4>88</vt:i4>
      </vt:variant>
      <vt:variant>
        <vt:i4>0</vt:i4>
      </vt:variant>
      <vt:variant>
        <vt:i4>5</vt:i4>
      </vt:variant>
      <vt:variant>
        <vt:lpwstr/>
      </vt:variant>
      <vt:variant>
        <vt:lpwstr>_Toc454887998</vt:lpwstr>
      </vt:variant>
      <vt:variant>
        <vt:i4>1310769</vt:i4>
      </vt:variant>
      <vt:variant>
        <vt:i4>82</vt:i4>
      </vt:variant>
      <vt:variant>
        <vt:i4>0</vt:i4>
      </vt:variant>
      <vt:variant>
        <vt:i4>5</vt:i4>
      </vt:variant>
      <vt:variant>
        <vt:lpwstr/>
      </vt:variant>
      <vt:variant>
        <vt:lpwstr>_Toc454887997</vt:lpwstr>
      </vt:variant>
      <vt:variant>
        <vt:i4>1310769</vt:i4>
      </vt:variant>
      <vt:variant>
        <vt:i4>76</vt:i4>
      </vt:variant>
      <vt:variant>
        <vt:i4>0</vt:i4>
      </vt:variant>
      <vt:variant>
        <vt:i4>5</vt:i4>
      </vt:variant>
      <vt:variant>
        <vt:lpwstr/>
      </vt:variant>
      <vt:variant>
        <vt:lpwstr>_Toc454887996</vt:lpwstr>
      </vt:variant>
      <vt:variant>
        <vt:i4>1310769</vt:i4>
      </vt:variant>
      <vt:variant>
        <vt:i4>70</vt:i4>
      </vt:variant>
      <vt:variant>
        <vt:i4>0</vt:i4>
      </vt:variant>
      <vt:variant>
        <vt:i4>5</vt:i4>
      </vt:variant>
      <vt:variant>
        <vt:lpwstr/>
      </vt:variant>
      <vt:variant>
        <vt:lpwstr>_Toc454887995</vt:lpwstr>
      </vt:variant>
      <vt:variant>
        <vt:i4>2752613</vt:i4>
      </vt:variant>
      <vt:variant>
        <vt:i4>65</vt:i4>
      </vt:variant>
      <vt:variant>
        <vt:i4>0</vt:i4>
      </vt:variant>
      <vt:variant>
        <vt:i4>5</vt:i4>
      </vt:variant>
      <vt:variant>
        <vt:lpwstr/>
      </vt:variant>
      <vt:variant>
        <vt:lpwstr>Titre13</vt:lpwstr>
      </vt:variant>
      <vt:variant>
        <vt:i4>2752613</vt:i4>
      </vt:variant>
      <vt:variant>
        <vt:i4>62</vt:i4>
      </vt:variant>
      <vt:variant>
        <vt:i4>0</vt:i4>
      </vt:variant>
      <vt:variant>
        <vt:i4>5</vt:i4>
      </vt:variant>
      <vt:variant>
        <vt:lpwstr/>
      </vt:variant>
      <vt:variant>
        <vt:lpwstr>Titre11</vt:lpwstr>
      </vt:variant>
      <vt:variant>
        <vt:i4>2228325</vt:i4>
      </vt:variant>
      <vt:variant>
        <vt:i4>59</vt:i4>
      </vt:variant>
      <vt:variant>
        <vt:i4>0</vt:i4>
      </vt:variant>
      <vt:variant>
        <vt:i4>5</vt:i4>
      </vt:variant>
      <vt:variant>
        <vt:lpwstr/>
      </vt:variant>
      <vt:variant>
        <vt:lpwstr>Titre9</vt:lpwstr>
      </vt:variant>
      <vt:variant>
        <vt:i4>4718615</vt:i4>
      </vt:variant>
      <vt:variant>
        <vt:i4>56</vt:i4>
      </vt:variant>
      <vt:variant>
        <vt:i4>0</vt:i4>
      </vt:variant>
      <vt:variant>
        <vt:i4>5</vt:i4>
      </vt:variant>
      <vt:variant>
        <vt:lpwstr/>
      </vt:variant>
      <vt:variant>
        <vt:lpwstr>Section6_2_2_2_2</vt:lpwstr>
      </vt:variant>
      <vt:variant>
        <vt:i4>7929928</vt:i4>
      </vt:variant>
      <vt:variant>
        <vt:i4>53</vt:i4>
      </vt:variant>
      <vt:variant>
        <vt:i4>0</vt:i4>
      </vt:variant>
      <vt:variant>
        <vt:i4>5</vt:i4>
      </vt:variant>
      <vt:variant>
        <vt:lpwstr/>
      </vt:variant>
      <vt:variant>
        <vt:lpwstr>Section6_2_2_1</vt:lpwstr>
      </vt:variant>
      <vt:variant>
        <vt:i4>4718615</vt:i4>
      </vt:variant>
      <vt:variant>
        <vt:i4>50</vt:i4>
      </vt:variant>
      <vt:variant>
        <vt:i4>0</vt:i4>
      </vt:variant>
      <vt:variant>
        <vt:i4>5</vt:i4>
      </vt:variant>
      <vt:variant>
        <vt:lpwstr/>
      </vt:variant>
      <vt:variant>
        <vt:lpwstr>Section4_1_3</vt:lpwstr>
      </vt:variant>
      <vt:variant>
        <vt:i4>5111831</vt:i4>
      </vt:variant>
      <vt:variant>
        <vt:i4>47</vt:i4>
      </vt:variant>
      <vt:variant>
        <vt:i4>0</vt:i4>
      </vt:variant>
      <vt:variant>
        <vt:i4>5</vt:i4>
      </vt:variant>
      <vt:variant>
        <vt:lpwstr/>
      </vt:variant>
      <vt:variant>
        <vt:lpwstr>Section3_2_11</vt:lpwstr>
      </vt:variant>
      <vt:variant>
        <vt:i4>5636141</vt:i4>
      </vt:variant>
      <vt:variant>
        <vt:i4>44</vt:i4>
      </vt:variant>
      <vt:variant>
        <vt:i4>0</vt:i4>
      </vt:variant>
      <vt:variant>
        <vt:i4>5</vt:i4>
      </vt:variant>
      <vt:variant>
        <vt:lpwstr/>
      </vt:variant>
      <vt:variant>
        <vt:lpwstr>Chapitre4_3</vt:lpwstr>
      </vt:variant>
      <vt:variant>
        <vt:i4>5111831</vt:i4>
      </vt:variant>
      <vt:variant>
        <vt:i4>41</vt:i4>
      </vt:variant>
      <vt:variant>
        <vt:i4>0</vt:i4>
      </vt:variant>
      <vt:variant>
        <vt:i4>5</vt:i4>
      </vt:variant>
      <vt:variant>
        <vt:lpwstr/>
      </vt:variant>
      <vt:variant>
        <vt:lpwstr>section3_2_10</vt:lpwstr>
      </vt:variant>
      <vt:variant>
        <vt:i4>5177367</vt:i4>
      </vt:variant>
      <vt:variant>
        <vt:i4>38</vt:i4>
      </vt:variant>
      <vt:variant>
        <vt:i4>0</vt:i4>
      </vt:variant>
      <vt:variant>
        <vt:i4>5</vt:i4>
      </vt:variant>
      <vt:variant>
        <vt:lpwstr/>
      </vt:variant>
      <vt:variant>
        <vt:lpwstr>Section3_4_6</vt:lpwstr>
      </vt:variant>
      <vt:variant>
        <vt:i4>4587543</vt:i4>
      </vt:variant>
      <vt:variant>
        <vt:i4>35</vt:i4>
      </vt:variant>
      <vt:variant>
        <vt:i4>0</vt:i4>
      </vt:variant>
      <vt:variant>
        <vt:i4>5</vt:i4>
      </vt:variant>
      <vt:variant>
        <vt:lpwstr/>
      </vt:variant>
      <vt:variant>
        <vt:lpwstr>Section3_2_9</vt:lpwstr>
      </vt:variant>
      <vt:variant>
        <vt:i4>5177367</vt:i4>
      </vt:variant>
      <vt:variant>
        <vt:i4>32</vt:i4>
      </vt:variant>
      <vt:variant>
        <vt:i4>0</vt:i4>
      </vt:variant>
      <vt:variant>
        <vt:i4>5</vt:i4>
      </vt:variant>
      <vt:variant>
        <vt:lpwstr/>
      </vt:variant>
      <vt:variant>
        <vt:lpwstr>Section3_1_3</vt:lpwstr>
      </vt:variant>
      <vt:variant>
        <vt:i4>5111831</vt:i4>
      </vt:variant>
      <vt:variant>
        <vt:i4>29</vt:i4>
      </vt:variant>
      <vt:variant>
        <vt:i4>0</vt:i4>
      </vt:variant>
      <vt:variant>
        <vt:i4>5</vt:i4>
      </vt:variant>
      <vt:variant>
        <vt:lpwstr/>
      </vt:variant>
      <vt:variant>
        <vt:lpwstr>Section2_3_1</vt:lpwstr>
      </vt:variant>
      <vt:variant>
        <vt:i4>2097243</vt:i4>
      </vt:variant>
      <vt:variant>
        <vt:i4>26</vt:i4>
      </vt:variant>
      <vt:variant>
        <vt:i4>0</vt:i4>
      </vt:variant>
      <vt:variant>
        <vt:i4>5</vt:i4>
      </vt:variant>
      <vt:variant>
        <vt:lpwstr>mailto:secretariat.fondamental@cfwb.be</vt:lpwstr>
      </vt:variant>
      <vt:variant>
        <vt:lpwstr/>
      </vt:variant>
      <vt:variant>
        <vt:i4>5636139</vt:i4>
      </vt:variant>
      <vt:variant>
        <vt:i4>30</vt:i4>
      </vt:variant>
      <vt:variant>
        <vt:i4>0</vt:i4>
      </vt:variant>
      <vt:variant>
        <vt:i4>5</vt:i4>
      </vt:variant>
      <vt:variant>
        <vt:lpwstr/>
      </vt:variant>
      <vt:variant>
        <vt:lpwstr>Chapitre2_2</vt:lpwstr>
      </vt:variant>
      <vt:variant>
        <vt:i4>7077915</vt:i4>
      </vt:variant>
      <vt:variant>
        <vt:i4>27</vt:i4>
      </vt:variant>
      <vt:variant>
        <vt:i4>0</vt:i4>
      </vt:variant>
      <vt:variant>
        <vt:i4>5</vt:i4>
      </vt:variant>
      <vt:variant>
        <vt:lpwstr/>
      </vt:variant>
      <vt:variant>
        <vt:lpwstr>Annexe_331</vt:lpwstr>
      </vt:variant>
      <vt:variant>
        <vt:i4>7274523</vt:i4>
      </vt:variant>
      <vt:variant>
        <vt:i4>24</vt:i4>
      </vt:variant>
      <vt:variant>
        <vt:i4>0</vt:i4>
      </vt:variant>
      <vt:variant>
        <vt:i4>5</vt:i4>
      </vt:variant>
      <vt:variant>
        <vt:lpwstr/>
      </vt:variant>
      <vt:variant>
        <vt:lpwstr>Annexe_332</vt:lpwstr>
      </vt:variant>
      <vt:variant>
        <vt:i4>3145752</vt:i4>
      </vt:variant>
      <vt:variant>
        <vt:i4>21</vt:i4>
      </vt:variant>
      <vt:variant>
        <vt:i4>0</vt:i4>
      </vt:variant>
      <vt:variant>
        <vt:i4>5</vt:i4>
      </vt:variant>
      <vt:variant>
        <vt:lpwstr>http://www.enseignement.be/index.php?page=26823&amp;do_id=5185</vt:lpwstr>
      </vt:variant>
      <vt:variant>
        <vt:lpwstr/>
      </vt:variant>
      <vt:variant>
        <vt:i4>6881385</vt:i4>
      </vt:variant>
      <vt:variant>
        <vt:i4>18</vt:i4>
      </vt:variant>
      <vt:variant>
        <vt:i4>0</vt:i4>
      </vt:variant>
      <vt:variant>
        <vt:i4>5</vt:i4>
      </vt:variant>
      <vt:variant>
        <vt:lpwstr>http://www.gallilex.cfwb.be/fr/leg_res_01.php?ncda=40252&amp;referant=l02&amp;bck_ncda=40252&amp;bck_referant=l00</vt:lpwstr>
      </vt:variant>
      <vt:variant>
        <vt:lpwstr/>
      </vt:variant>
      <vt:variant>
        <vt:i4>3670038</vt:i4>
      </vt:variant>
      <vt:variant>
        <vt:i4>15</vt:i4>
      </vt:variant>
      <vt:variant>
        <vt:i4>0</vt:i4>
      </vt:variant>
      <vt:variant>
        <vt:i4>5</vt:i4>
      </vt:variant>
      <vt:variant>
        <vt:lpwstr>http://www.enseignement.be/index.php?page=26823&amp;do_id=2519</vt:lpwstr>
      </vt:variant>
      <vt:variant>
        <vt:lpwstr/>
      </vt:variant>
      <vt:variant>
        <vt:i4>6881385</vt:i4>
      </vt:variant>
      <vt:variant>
        <vt:i4>12</vt:i4>
      </vt:variant>
      <vt:variant>
        <vt:i4>0</vt:i4>
      </vt:variant>
      <vt:variant>
        <vt:i4>5</vt:i4>
      </vt:variant>
      <vt:variant>
        <vt:lpwstr>http://www.gallilex.cfwb.be/fr/leg_res_01.php?ncda=32771&amp;referant=l02&amp;bck_ncda=32771&amp;bck_referant=l00</vt:lpwstr>
      </vt:variant>
      <vt:variant>
        <vt:lpwstr/>
      </vt:variant>
      <vt:variant>
        <vt:i4>4718595</vt:i4>
      </vt:variant>
      <vt:variant>
        <vt:i4>9</vt:i4>
      </vt:variant>
      <vt:variant>
        <vt:i4>0</vt:i4>
      </vt:variant>
      <vt:variant>
        <vt:i4>5</vt:i4>
      </vt:variant>
      <vt:variant>
        <vt:lpwstr>http://www.gallilex.cfwb.be/fr/leg_res_01.php?ncda=32771&amp;referant=l01</vt:lpwstr>
      </vt:variant>
      <vt:variant>
        <vt:lpwstr/>
      </vt:variant>
      <vt:variant>
        <vt:i4>3932185</vt:i4>
      </vt:variant>
      <vt:variant>
        <vt:i4>6</vt:i4>
      </vt:variant>
      <vt:variant>
        <vt:i4>0</vt:i4>
      </vt:variant>
      <vt:variant>
        <vt:i4>5</vt:i4>
      </vt:variant>
      <vt:variant>
        <vt:lpwstr>http://www.enseignement.be/index.php?page=26823&amp;do_id=4189</vt:lpwstr>
      </vt:variant>
      <vt:variant>
        <vt:lpwstr/>
      </vt:variant>
      <vt:variant>
        <vt:i4>3473431</vt:i4>
      </vt:variant>
      <vt:variant>
        <vt:i4>3</vt:i4>
      </vt:variant>
      <vt:variant>
        <vt:i4>0</vt:i4>
      </vt:variant>
      <vt:variant>
        <vt:i4>5</vt:i4>
      </vt:variant>
      <vt:variant>
        <vt:lpwstr>http://www.enseignement.be/index.php?page=26823&amp;do_id=2405</vt:lpwstr>
      </vt:variant>
      <vt:variant>
        <vt:lpwstr/>
      </vt:variant>
      <vt:variant>
        <vt:i4>3997725</vt:i4>
      </vt:variant>
      <vt:variant>
        <vt:i4>0</vt:i4>
      </vt:variant>
      <vt:variant>
        <vt:i4>0</vt:i4>
      </vt:variant>
      <vt:variant>
        <vt:i4>5</vt:i4>
      </vt:variant>
      <vt:variant>
        <vt:lpwstr/>
      </vt:variant>
      <vt:variant>
        <vt:lpwstr>Annexe_25A</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GARNIER Martine</dc:creator>
  <cp:lastModifiedBy>ROLAND Pierre</cp:lastModifiedBy>
  <cp:revision>17</cp:revision>
  <cp:lastPrinted>2017-06-30T14:05:00Z</cp:lastPrinted>
  <dcterms:created xsi:type="dcterms:W3CDTF">2017-06-29T11:26:00Z</dcterms:created>
  <dcterms:modified xsi:type="dcterms:W3CDTF">2017-06-30T14:06:00Z</dcterms:modified>
</cp:coreProperties>
</file>